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на сертификати (77 серии, 20 сорти)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certificate-register results (77 batches, 20 strains)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— и врз нив предлага нови опсези по класи (номинала ± толеранција) за залихата од Траншите 1, 2 и 3. | This study brings every Total Δ⁹-THC result ever tested into one place — 99 certificate-register results (77 batches, 20 strains) — and proposes new grade ranges (nominal ± tolerance) for the Tranche 1/2/3 stock on top of them.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present. | Corpus compiled from the eCoA register and live-verified against the Letta knowledgebase: 4,134 passages scanned live (ImB_QC_COAs); 176 unique Total-THC lines; all 99 register values present.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96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Бр. тестирани резултати | Number of results tested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на тестираните резултати | Range of tested results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14.83% – 26.32%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21.80% – 26.14%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 – 25.27%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 – 25.01%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 – 24.96%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14.97% – 22.43%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 – 22.11%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 – 21.92%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12.39% – 20.83%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13.93% – 20.54%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 – 20.03%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 – 18.98%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 – 18.67%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13.35% – 17.67%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 – 17.04%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 – 16.93%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 – 14.06%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 – 11.53%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 – 11.20%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 – 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Ова е опсегот на СИТЕ некогаш тестирани резултати за сортата — не е предложениот опсег на потенција по класа (тој е даден подолу, во Поглавје 4, по Pot.- класи). Резултатите вклучуваат и повторени мерења на исти серии: бројката ја опишува популацијата на ТЕСТИРАНИ РЕЗУЛТАТИ, не независни серии. | This is the range of ALL results ever tested for the strain — not the proposed potency grade range (given below, in Chapter 4, per Pot.- tier). Results include repeat measurements of the same batches: the count describes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Оска 0,00%–30,00% Вкупен Δ⁹-THC; секој резултат носи зона од ±1,50% (сините појаси — натрупувањето е визуелна густина); крива на дистрибуција за n≥3 (само облик — без збирни статистики); предложени класи Pot.-x (зелено, целосна висина); старите стандардни граници (испрекинато). | 0.00%–30.00% axis; each result carries a ±1.50% zone (blue bands — stacking is visual density); distribution curve for n≥3 (shape only — no summary statistics); proposed Pot.-x tiers (green, full height); old standard boundaries (dashed).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23.40% – 28.60%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18.20% – 21.80%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2.19%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21.81% – 26.19%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BSS1024_01/1, BSS1024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23.42%, 25.01%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14.80% – 17.20%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17.21% – 20.79%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18.29%, 18.91%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20.80% – 25.20%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CJ062501/1, CJ092501, CJ1024, CJ072501, CJ052501/01, CJ082501/1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21.51%, 22.30%, 23.00%, 23.70%, 24.05%, 24.96%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0.64%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11.36% – 12.64%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1.35%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12.65% – 15.35%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15.36% – 18.64%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7.20% – 8.80%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1.35%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13.65% – 16.35%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1.64%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16.36% – 19.64%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FB112501, FB012603V, FB012602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16.69%, 18.29%, 18.86%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1.35%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19.65% – 22.35%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12.70% – 15.30%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15.31% – 18.69%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GG012601, GG1024_02, GG012603, GG112501, GG1024_01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15.35%, 15.95%, 16.70%, 17.94%, 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1.35%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15.65% – 18.35%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1.64%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18.36% – 21.64%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GP052501, GP072501/2, GP082501/1, GP072501/1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18.52%, 19.81%, 21.29%, 21.36%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2.35%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21.65% – 26.35%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GP0824_02, GP062501, GP0824_03, GP092501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22.61%, 24.89%, 25.45%, 25.73%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6.30% – 7.70%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10.80% – 13.20%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7.70%–10.80%: ниту еден тестиран резултат на оваа сорта не паѓа во оваа зона, и ниту еден цел број не може да ги премости соседните класи во рамки на 10%-ограничувањето — резултат тука би побарал индивидуална ОК проценка. | No established grade 7.70%–10.80%: no tested result of this strain falls in this zone, and no whole number can bridge the neighbouring tiers within the 10%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1.35%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16.65% – 19.35%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1.64%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19.36% – 22.64%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HPA052501, HPA1024_01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20.39%, 21.61%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1.27%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14.73% – 17.27%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15.16%, 16.71%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1.72%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17.28% – 20.72%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18.16%, 20.32%, 20.54%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1.35%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16.65% – 19.35%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1.64%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19.36% – 22.64%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J31112501, J31122501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20.21%, 21.84%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16.82%, 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0.33%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7.67% – 8.33%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7.91%, 8.00%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0.66%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8.34% – 9.66%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0.90%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14.10% – 15.90%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14.16%, 15.38%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1.09%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15.91% – 18.09%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OPM1024_03, OPM1024_02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16.55%, 18.04%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18.10% – 21.90%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9.66%–14.10%: ниту еден тестиран резултат на оваа сорта не паѓа во оваа зона, и ниту еден цел број не може да ги премости соседните класи во рамки на 10%-ограничувањето — резултат тука би побарал индивидуална ОК проценка. | No established grade 9.66%–14.10%: no tested result of this strain falls in this zone, and no whole number can bridge the neighbouring tiers within the 10%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1.05%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9.95% – 12.05%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0.94%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12.06% – 13.94%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PM092501, PM112501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12.25%, 13.33%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16.21% – 19.79%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17.13%, 17.84%, 18.07%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8.10% – 9.90%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1.09%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9.91% – 12.09%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SJ092501, SJ102501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10.96%, 11.20%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21.67%, 22.11%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 надолу = растојание од сидрото до долната граница на класата. | Anchor = latest verified result; where no certificate exists the declared value is the basis (flagged). Downward headroom = distance from the anchor to the grade floor.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2.19%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1.64%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1.35%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1.72%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1.35%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1.09%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0.33%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0.94%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4.16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0.64%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1.35%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3.80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4.08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1.64%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1.27%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1.72%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1.27%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0.43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0.90%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0.66%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1.09%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0.94%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1.09%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2.19%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1.35%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1.64%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1.72%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1.64%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0.90%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0.33%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1.05%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1.09%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0,00%–30,00%: резултати и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0.00%–30.00% axis: results and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