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tblHeader w:val="true"/>
        </w:trPr>
        <w:tc>
          <w:tcPr>
            <w:shd w:val="clear" w:color="auto" w:fill="E2EFDA"/>
            <w:tcW w:type="dxa" w:w="1046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375623"/>
                <w:sz w:val="20"/>
                <w:spacing w:val="0"/>
                <w:kern w:val="0"/>
              </w:rPr>
              <w:t>Како се одредени класите — важи за секоја сорта подолу, наведено само овде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  <w:spacing w:val="0"/>
                <w:kern w:val="0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375623"/>
                <w:sz w:val="20"/>
                <w:spacing w:val="0"/>
                <w:kern w:val="0"/>
              </w:rPr>
              <w:t>How the grades were set — governs every strain below, stated here only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Правило | Rule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Зошто | Why</w:t>
            </w:r>
          </w:p>
        </w:tc>
      </w:tr>
      <w:tr>
        <w:tc>
          <w:tcPr>
            <w:tcW w:type="dxa" w:w="45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Најсилната класа прва: највисоката класа ја зема својата полна ±10,00% | Strongest tier first: the highest tier takes its full ±10.00%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Над неа ништо не ја ограничува — најсилната класа никогаш не се стеснува | Nothing constrains it from above — the strongest grade is never squeezed</w:t>
            </w:r>
          </w:p>
        </w:tc>
      </w:tr>
      <w:tr>
        <w:tc>
          <w:tcPr>
            <w:tcW w:type="dxa" w:w="45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487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Надолу до допир: горната граница на секоја пониска класа е точно 0,01 под долната граница на класата над неа | Extend downward: each lower tier's ceiling sits exactly 0.01 below the floor of the tier above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Без празен простор меѓу класите, и зема онолку од своите ±10,00% колку што стигнува | No blind gap, taking as much of its own ±10.00% as reaches that ceiling</w:t>
            </w:r>
          </w:p>
        </w:tc>
      </w:tr>
      <w:tr>
        <w:tc>
          <w:tcPr>
            <w:tcW w:type="dxa" w:w="45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Потесна само ако мора | Narrower only if forced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Пониска класа е потесна од полните ±10% само кога допирањето не остава простор — никогаш поради друга причина | Only when meeting the tier above leaves no more room — never for any other reason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Параметри | Parameters: толеранција ≤ 10,00% од номиналата; номинала на чекор 0,50% (nn,00% или nn,50%); допир на класи на 0,01; под 5,00% Вкупен THC; сидро = најнов верификуван резултат. | Tolerance ≤ 10.00% of nominal; nominal on a 0.50% grid; tiers meet at 0.01; floor 5.00% Total THC; anchor = most recent verified result.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6"/>
          <w:spacing w:val="0"/>
          <w:kern w:val="0"/>
        </w:rPr>
        <w:t>Пример | Worked example — Blue Sunset Sherbet (сидра | anchors 20,39 / 23,42 / 25,01): Pot.-2 24,50% ± 2,45% (22,05%–26,95%) ја зема полната ширина; нејзиниот под 22,05 ја дава горната граница 22,04 за Pot.-1 20,50% ± 1,54% (18,96%–22,04%). | Pot.-2 takes the full cap; its floor 22.05 sets the ceiling 22.04 for Pot.-1.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7"/>
          <w:spacing w:val="0"/>
          <w:kern w:val="0"/>
        </w:rPr>
        <w:t>Накратко | In short: највисоката класа зема полни ±10%, секоја следна се протега надолу до допир на 0,01, и ниту една не е потесна освен ако мора. Вистински јаз останува само таму каде ниту еден пар номинали не може да премости два тестирани резултати во рамки на 10% — означен, никогаш измислена преодна класа. | The highest tier takes its full ±10%, each next extends down to touch it at 0.01, and none is narrower unless forced. A genuine gap remains only where no nominal pair can bridge two tested results within the 10% cap — flagged, never a fabricated bridge tier.</w:t>
      </w:r>
    </w:p>
    <w:p>
      <w:pPr>
        <w:spacing w:before="0" w:after="0" w:line="120" w:lineRule="exact"/>
      </w:pP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18.96% – 22.04%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22.05% – 26.95%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23.42%, 25.01%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14.70% – 17.30%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 – 20.69%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20.70% – 25.30%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21.51%, 22.30%, 23.00%, 23.70%, 24.05%, 24.96%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12.16% – 14.84%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12.32%, 13.35%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14.85% – 18.15%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14.46% – 17.54%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14.68%, 16.69%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17.55% – 21.45%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18.86%, 20.83%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13.26% – 15.74%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13.34%, 15.35%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15.75% – 19.25%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15.95%, 16.70%, 17.94%, 18.67%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15.60% – 18.40%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18.41% – 21.59%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18.52%, 19.81%, 21.29%, 21.36%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21.60% – 26.40%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GP0824_02, 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22.61%, 24.89%, 25.45%, 25.73%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10.35% – 12.65%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7.70%–10.35%: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7.70%–10.35%: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21.61%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15.01% – 17.99%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– 22.00%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20.21%, 21.84%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16.20% – 19.80%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7.46% – 8.54%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8.55% – 10.45%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13.45% – 15.55%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15.56% – 18.44%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16.55%, 18.04%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18.45% – 22.55%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10.45%–13.45%: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10.45%–13.45%: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9.76% – 11.24%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11.25% – 13.75%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16.21% – 19.79%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8.11% – 9.89%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9.90% – 12.10%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SJ092501, 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10.96%, 11.20%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4.13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1.55%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