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80"/>
        <w:jc w:val="center"/>
      </w:pPr>
      <w:r>
        <w:rPr>
          <w:rFonts w:ascii="Calibri" w:hAnsi="Calibri"/>
          <w:b/>
          <w:i w:val="0"/>
          <w:color w:val="2B547E"/>
          <w:sz w:val="48"/>
        </w:rPr>
        <w:t>СТАНДАРДНА ОПЕРАТИВНА ПРОЦЕДУРА</w:t>
      </w:r>
    </w:p>
    <w:p>
      <w:pPr>
        <w:spacing w:before="120" w:after="80"/>
        <w:jc w:val="center"/>
      </w:pPr>
      <w:r>
        <w:rPr>
          <w:rFonts w:ascii="Calibri" w:hAnsi="Calibri"/>
          <w:b w:val="0"/>
          <w:i w:val="0"/>
          <w:color w:val="595959"/>
          <w:sz w:val="28"/>
        </w:rPr>
        <w:t>STANDARD OPERATING PROCEDURE</w:t>
      </w:r>
    </w:p>
    <w:p>
      <w:pPr>
        <w:spacing w:before="120" w:after="80"/>
        <w:jc w:val="center"/>
      </w:pPr>
      <w:r>
        <w:rPr>
          <w:rFonts w:ascii="Calibri" w:hAnsi="Calibri"/>
          <w:b/>
          <w:i w:val="0"/>
          <w:color w:val="2B547E"/>
          <w:sz w:val="36"/>
        </w:rPr>
        <w:t>QASOP_0XX · DRAFT</w:t>
      </w:r>
    </w:p>
    <w:p>
      <w:pPr>
        <w:spacing w:before="80" w:after="160"/>
        <w:jc w:val="center"/>
      </w:pPr>
      <w:r>
        <w:rPr>
          <w:rFonts w:ascii="Calibri" w:hAnsi="Calibri"/>
          <w:b/>
          <w:i w:val="0"/>
          <w:color w:val="000000"/>
          <w:sz w:val="24"/>
        </w:rPr>
        <w:t>Валидација на транспорт — квалификација на транспортни рути (OQ/PQ)</w:t>
      </w:r>
      <w:r>
        <w:rPr>
          <w:rFonts w:ascii="Calibri" w:hAnsi="Calibri"/>
          <w:b w:val="0"/>
          <w:i w:val="0"/>
          <w:color w:val="595959"/>
          <w:sz w:val="20"/>
        </w:rPr>
        <w:t xml:space="preserve"> | </w:t>
      </w:r>
      <w:r>
        <w:rPr>
          <w:rFonts w:ascii="Calibri" w:hAnsi="Calibri"/>
          <w:b/>
          <w:i w:val="0"/>
          <w:color w:val="595959"/>
          <w:sz w:val="24"/>
        </w:rPr>
        <w:t>Transport Validation — Qualification of Transport Lanes (OQ/PQ)</w:t>
      </w:r>
    </w:p>
    <w:tbl>
      <w:tblPr>
        <w:tblW w:type="auto" w:w="0"/>
        <w:jc w:val="center"/>
        <w:tblLayout w:type="fixed"/>
        <w:tblLook w:firstColumn="1" w:firstRow="1" w:lastColumn="0" w:lastRow="0" w:noHBand="0" w:noVBand="1" w:val="04A0"/>
        <w:tblLayout w:type="fixed"/>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0466"/>
      </w:tblGrid>
      <w:tr>
        <w:tc>
          <w:tcPr>
            <w:tcW w:type="dxa" w:w="10205"/>
            <w:shd w:val="clear" w:color="auto" w:fill="FDEDEC"/>
            <w:tcMar>
              <w:top w:w="46" w:type="dxa"/>
              <w:left w:w="86" w:type="dxa"/>
              <w:bottom w:w="46" w:type="dxa"/>
              <w:right w:w="86" w:type="dxa"/>
            </w:tcMar>
          </w:tcPr>
          <w:p>
            <w:pPr>
              <w:spacing w:before="20" w:after="20"/>
              <w:jc w:val="center"/>
            </w:pPr>
            <w:r>
              <w:rPr>
                <w:rFonts w:ascii="Calibri" w:hAnsi="Calibri"/>
                <w:b/>
                <w:i w:val="0"/>
                <w:color w:val="C00000"/>
                <w:sz w:val="24"/>
              </w:rPr>
              <w:t>РАБОТНА ВЕРЗИЈА — НЕ ЗА УПОТРЕБА | DRAFT — NOT FOR USE</w:t>
            </w:r>
          </w:p>
          <w:p>
            <w:pPr>
              <w:spacing w:before="20" w:after="20"/>
              <w:jc w:val="center"/>
            </w:pPr>
            <w:r>
              <w:rPr>
                <w:rFonts w:ascii="Calibri" w:hAnsi="Calibri"/>
                <w:b/>
                <w:i w:val="0"/>
                <w:color w:val="000000"/>
                <w:sz w:val="20"/>
              </w:rPr>
              <w:t>Верзија | Version: DRAFT</w:t>
            </w:r>
            <w:r>
              <w:rPr>
                <w:rFonts w:ascii="Calibri" w:hAnsi="Calibri"/>
                <w:b w:val="0"/>
                <w:i w:val="0"/>
                <w:color w:val="595959"/>
                <w:sz w:val="20"/>
              </w:rPr>
              <w:t xml:space="preserve">     </w:t>
            </w:r>
            <w:r>
              <w:rPr>
                <w:rFonts w:ascii="Calibri" w:hAnsi="Calibri"/>
                <w:b/>
                <w:i w:val="0"/>
                <w:color w:val="000000"/>
                <w:sz w:val="20"/>
              </w:rPr>
              <w:t>Датум на важност | Effective date: —</w:t>
            </w:r>
          </w:p>
        </w:tc>
      </w:tr>
    </w:tbl>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16"/>
        <w:gridCol w:w="2616"/>
        <w:gridCol w:w="2616"/>
        <w:gridCol w:w="2616"/>
      </w:tblGrid>
      <w:tr>
        <w:tc>
          <w:tcPr>
            <w:tcW w:type="dxa" w:w="2665"/>
            <w:shd w:val="clear" w:color="auto" w:fill="D9E2F3"/>
          </w:tcPr>
          <w:p>
            <w:r/>
            <w:r>
              <w:rPr>
                <w:rFonts w:ascii="Calibri" w:hAnsi="Calibri"/>
                <w:b/>
                <w:i w:val="0"/>
                <w:color w:val="000000"/>
                <w:sz w:val="22"/>
              </w:rPr>
              <w:t>Дејство</w:t>
            </w:r>
            <w:r>
              <w:rPr>
                <w:rFonts w:ascii="Calibri" w:hAnsi="Calibri"/>
                <w:b w:val="0"/>
                <w:i w:val="0"/>
                <w:color w:val="000000"/>
                <w:sz w:val="14"/>
              </w:rPr>
              <w:t xml:space="preserve"> | </w:t>
            </w:r>
            <w:r>
              <w:rPr>
                <w:rFonts w:ascii="Calibri" w:hAnsi="Calibri"/>
                <w:b/>
                <w:i w:val="0"/>
                <w:color w:val="000000"/>
                <w:sz w:val="14"/>
              </w:rPr>
              <w:t>Action</w:t>
            </w:r>
          </w:p>
        </w:tc>
        <w:tc>
          <w:tcPr>
            <w:tcW w:type="dxa" w:w="2665"/>
            <w:shd w:val="clear" w:color="auto" w:fill="D9E2F3"/>
          </w:tcPr>
          <w:p>
            <w:r/>
            <w:r>
              <w:rPr>
                <w:rFonts w:ascii="Calibri" w:hAnsi="Calibri"/>
                <w:b/>
                <w:i w:val="0"/>
                <w:color w:val="000000"/>
                <w:sz w:val="22"/>
              </w:rPr>
              <w:t>Позиција</w:t>
            </w:r>
            <w:r>
              <w:rPr>
                <w:rFonts w:ascii="Calibri" w:hAnsi="Calibri"/>
                <w:b w:val="0"/>
                <w:i w:val="0"/>
                <w:color w:val="000000"/>
                <w:sz w:val="14"/>
              </w:rPr>
              <w:t xml:space="preserve"> | </w:t>
            </w:r>
            <w:r>
              <w:rPr>
                <w:rFonts w:ascii="Calibri" w:hAnsi="Calibri"/>
                <w:b/>
                <w:i w:val="0"/>
                <w:color w:val="000000"/>
                <w:sz w:val="14"/>
              </w:rPr>
              <w:t>Position</w:t>
            </w:r>
          </w:p>
        </w:tc>
        <w:tc>
          <w:tcPr>
            <w:tcW w:type="dxa" w:w="2665"/>
            <w:shd w:val="clear" w:color="auto" w:fill="D9E2F3"/>
          </w:tcPr>
          <w:p>
            <w:r/>
            <w:r>
              <w:rPr>
                <w:rFonts w:ascii="Calibri" w:hAnsi="Calibri"/>
                <w:b/>
                <w:i w:val="0"/>
                <w:color w:val="000000"/>
                <w:sz w:val="22"/>
              </w:rPr>
              <w:t>Име</w:t>
            </w:r>
            <w:r>
              <w:rPr>
                <w:rFonts w:ascii="Calibri" w:hAnsi="Calibri"/>
                <w:b w:val="0"/>
                <w:i w:val="0"/>
                <w:color w:val="000000"/>
                <w:sz w:val="14"/>
              </w:rPr>
              <w:t xml:space="preserve"> | </w:t>
            </w:r>
            <w:r>
              <w:rPr>
                <w:rFonts w:ascii="Calibri" w:hAnsi="Calibri"/>
                <w:b/>
                <w:i w:val="0"/>
                <w:color w:val="000000"/>
                <w:sz w:val="14"/>
              </w:rPr>
              <w:t>Name</w:t>
            </w:r>
          </w:p>
        </w:tc>
        <w:tc>
          <w:tcPr>
            <w:tcW w:type="dxa" w:w="2665"/>
            <w:shd w:val="clear" w:color="auto" w:fill="D9E2F3"/>
          </w:tcPr>
          <w:p>
            <w:r/>
            <w:r>
              <w:rPr>
                <w:rFonts w:ascii="Calibri" w:hAnsi="Calibri"/>
                <w:b/>
                <w:i w:val="0"/>
                <w:color w:val="000000"/>
                <w:sz w:val="22"/>
              </w:rPr>
              <w:t>Датум/Потпис</w:t>
            </w:r>
            <w:r>
              <w:rPr>
                <w:rFonts w:ascii="Calibri" w:hAnsi="Calibri"/>
                <w:b w:val="0"/>
                <w:i w:val="0"/>
                <w:color w:val="000000"/>
                <w:sz w:val="14"/>
              </w:rPr>
              <w:t xml:space="preserve"> | </w:t>
            </w:r>
            <w:r>
              <w:rPr>
                <w:rFonts w:ascii="Calibri" w:hAnsi="Calibri"/>
                <w:b/>
                <w:i w:val="0"/>
                <w:color w:val="000000"/>
                <w:sz w:val="14"/>
              </w:rPr>
              <w:t>Date/Sign</w:t>
            </w:r>
          </w:p>
        </w:tc>
      </w:tr>
      <w:tr>
        <w:tc>
          <w:tcPr>
            <w:tcW w:type="dxa" w:w="2665"/>
          </w:tcPr>
          <w:p>
            <w:r/>
            <w:r>
              <w:rPr>
                <w:rFonts w:ascii="Calibri" w:hAnsi="Calibri"/>
                <w:b w:val="0"/>
                <w:i w:val="0"/>
                <w:color w:val="000000"/>
                <w:sz w:val="20"/>
              </w:rPr>
              <w:t>Подготвил | Prepared by</w:t>
            </w:r>
          </w:p>
        </w:tc>
        <w:tc>
          <w:tcPr>
            <w:tcW w:type="dxa" w:w="2665"/>
          </w:tcPr>
          <w:p/>
        </w:tc>
        <w:tc>
          <w:tcPr>
            <w:tcW w:type="dxa" w:w="2665"/>
          </w:tcPr>
          <w:p>
            <w:r>
              <w:rPr>
                <w:rFonts w:ascii="Calibri" w:hAnsi="Calibri"/>
                <w:b w:val="0"/>
                <w:i w:val="0"/>
                <w:color w:val="000000"/>
                <w:sz w:val="20"/>
              </w:rPr>
              <w:t>B. Nikolov, M.Pharm.</w:t>
            </w:r>
          </w:p>
        </w:tc>
        <w:tc>
          <w:tcPr>
            <w:tcW w:type="dxa" w:w="2665"/>
          </w:tcPr>
          <w:p>
            <w:r>
              <w:rPr>
                <w:rFonts w:ascii="Calibri" w:hAnsi="Calibri"/>
                <w:b w:val="0"/>
                <w:i/>
                <w:color w:val="595959"/>
                <w:sz w:val="18"/>
              </w:rPr>
              <w:t>Во тек | Pending</w:t>
            </w:r>
          </w:p>
        </w:tc>
      </w:tr>
      <w:tr>
        <w:tc>
          <w:tcPr>
            <w:tcW w:type="dxa" w:w="2665"/>
          </w:tcPr>
          <w:p>
            <w:r/>
            <w:r>
              <w:rPr>
                <w:rFonts w:ascii="Calibri" w:hAnsi="Calibri"/>
                <w:b w:val="0"/>
                <w:i w:val="0"/>
                <w:color w:val="000000"/>
                <w:sz w:val="20"/>
              </w:rPr>
              <w:t>Проверил | Reviewed by</w:t>
            </w:r>
          </w:p>
        </w:tc>
        <w:tc>
          <w:tcPr>
            <w:tcW w:type="dxa" w:w="2665"/>
          </w:tcPr>
          <w:p/>
        </w:tc>
        <w:tc>
          <w:tcPr>
            <w:tcW w:type="dxa" w:w="2665"/>
          </w:tcPr>
          <w:p>
            <w:r>
              <w:rPr>
                <w:rFonts w:ascii="Calibri" w:hAnsi="Calibri"/>
                <w:b w:val="0"/>
                <w:i w:val="0"/>
                <w:color w:val="000000"/>
                <w:sz w:val="20"/>
              </w:rPr>
              <w:t>J. Romevska</w:t>
            </w:r>
          </w:p>
        </w:tc>
        <w:tc>
          <w:tcPr>
            <w:tcW w:type="dxa" w:w="2665"/>
          </w:tcPr>
          <w:p>
            <w:r>
              <w:rPr>
                <w:rFonts w:ascii="Calibri" w:hAnsi="Calibri"/>
                <w:b w:val="0"/>
                <w:i/>
                <w:color w:val="595959"/>
                <w:sz w:val="18"/>
              </w:rPr>
              <w:t>Во тек | Pending</w:t>
            </w:r>
          </w:p>
        </w:tc>
      </w:tr>
      <w:tr>
        <w:tc>
          <w:tcPr>
            <w:tcW w:type="dxa" w:w="2665"/>
          </w:tcPr>
          <w:p>
            <w:r/>
            <w:r>
              <w:rPr>
                <w:rFonts w:ascii="Calibri" w:hAnsi="Calibri"/>
                <w:b w:val="0"/>
                <w:i w:val="0"/>
                <w:color w:val="000000"/>
                <w:sz w:val="20"/>
              </w:rPr>
              <w:t>Одобрил | Approved by</w:t>
            </w:r>
          </w:p>
        </w:tc>
        <w:tc>
          <w:tcPr>
            <w:tcW w:type="dxa" w:w="2665"/>
          </w:tcPr>
          <w:p/>
        </w:tc>
        <w:tc>
          <w:tcPr>
            <w:tcW w:type="dxa" w:w="2665"/>
          </w:tcPr>
          <w:p>
            <w:r>
              <w:rPr>
                <w:rFonts w:ascii="Calibri" w:hAnsi="Calibri"/>
                <w:b w:val="0"/>
                <w:i w:val="0"/>
                <w:color w:val="000000"/>
                <w:sz w:val="20"/>
              </w:rPr>
              <w:t>S. Petrova</w:t>
            </w:r>
          </w:p>
        </w:tc>
        <w:tc>
          <w:tcPr>
            <w:tcW w:type="dxa" w:w="2665"/>
          </w:tcPr>
          <w:p>
            <w:r>
              <w:rPr>
                <w:rFonts w:ascii="Calibri" w:hAnsi="Calibri"/>
                <w:b w:val="0"/>
                <w:i/>
                <w:color w:val="595959"/>
                <w:sz w:val="18"/>
              </w:rPr>
              <w:t>Во тек | Pending</w:t>
            </w:r>
          </w:p>
        </w:tc>
      </w:tr>
    </w:tbl>
    <w:p>
      <w:r>
        <w:br w:type="page"/>
      </w:r>
    </w:p>
    <w:p>
      <w:r>
        <w:rPr>
          <w:rFonts w:ascii="Calibri" w:hAnsi="Calibri"/>
          <w:b/>
          <w:i w:val="0"/>
          <w:color w:val="2B547E"/>
          <w:sz w:val="28"/>
        </w:rPr>
        <w:t>СОДРЖИНА | TABLE OF CONTENTS</w:t>
      </w:r>
    </w:p>
    <w:p>
      <w:r>
        <w:fldChar w:fldCharType="begin"/>
        <w:instrText xml:space="preserve"> TOC \o "1-3" \h \z \u </w:instrText>
        <w:fldChar w:fldCharType="separate"/>
      </w:r>
      <w:r>
        <w:t xml:space="preserve"> </w:t>
      </w:r>
      <w:r>
        <w:fldChar w:fldCharType="end"/>
      </w:r>
    </w:p>
    <w:p>
      <w:r>
        <w:rPr>
          <w:rFonts w:ascii="Calibri" w:hAnsi="Calibri"/>
          <w:b w:val="0"/>
          <w:i/>
          <w:color w:val="595959"/>
          <w:sz w:val="16"/>
        </w:rPr>
        <w:t>(TOC updates automatically on open; or right-click → Update Field)</w:t>
      </w:r>
    </w:p>
    <w:p>
      <w:r>
        <w:br w:type="page"/>
      </w:r>
    </w:p>
    <w:tbl>
      <w:tblPr>
        <w:tblW w:type="auto" w:w="0"/>
        <w:jc w:val="center"/>
        <w:tblLayout w:type="fixed"/>
        <w:tblLook w:firstColumn="1" w:firstRow="1" w:lastColumn="0" w:lastRow="0" w:noHBand="0" w:noVBand="1" w:val="04A0"/>
        <w:tblLayout w:type="fixed"/>
      </w:tblPr>
      <w:tblGrid>
        <w:gridCol w:w="5233"/>
        <w:gridCol w:w="5233"/>
      </w:tblGrid>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1.0 ЦЕЛ</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1.0 PURPOSE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Целта на оваа СОП е да ја пропише методологијата заснована на ризик со која се докажува и одржува дека секоја транспортна рута (лента) што ја користи Пјурли Плант за копнен транспорт на опојни дроги — комбинација на место на испраќање, место на прием, патека, возило, конфигурација на палети и сезона — постојано ги одржува пропишаните услови на температура и влага и интегритетот на пратката, во најлоши реални услови.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purpose of this SOP is to prescribe the risk-based methodology by which Purely Plant demonstrates and maintains that every transport lane it uses for inland transport of narcotic drugs — the combination of dispatch point, receipt point, route, vehicle, pallet configuration and season — consistently maintains the prescribed temperature and humidity conditions and consignment integrity under worst-case real conditions.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Валидацијата е предуслов за употреба на рутата според WHSOP_003: ниту една рута не се користи за рутински транспорт без статус QUALIFIED во регистарот QASOP_0XX_A06.</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Validation is a precondition for using a lane under WHSOP_003: no lane is used for routine transport without QUALIFIED status in register QASOP_0XX_A06.</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2.0 ПОДРАЧЈЕ НА ПРИМЕНА</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2.0 SCOPE</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2.1 Применливост</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2.1 Applicability</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Оваа СОП се применува на: (а) транспортните возила (камиони) што се користат според WHSOP_003, со или без активна контрола на температура; (б) конфигурацијата на пакување: картон со 10 кеси, голема палета (8 картони) и мала палета (4 картони) на евро-палета, завиткани со стреч-фолија и термо-ќебе, како и квалификуваните ладилници; (в) рутите од локацијата Којлија 1043, Петровец, до сите домашни примачи според WHSOP_003; и (г) логерите: USB логерите за температура и влага (мапирање) и логерите за еднократна употреба (во палетите).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This SOP applies to: (a) the transport vehicles (trucks) used under WHSOP_003, with or without active temperature control; (b) the packaging configuration: a carton of 10 bags, a large pallet (8 cartons) and a small pallet (4 cartons) on a Euro pallet, wrapped in stretch film and a thermal blanket, as well as the qualified cool boxes; (c) the lanes from the Kojlija 1043, Petrovec site to all domestic consignees under WHSOP_003; and (d) the loggers: the USB temperature and humidity loggers (mapping) and the single-use loggers (in the pallets).</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2.2 Исклучоци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2.2 Exclusions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Не ги опфаќа: валидацијата на увозни и извозни (авио) рути според WHSOP_002 — која се изведува со истата методологија во посебен протокол; транспортот на мостри за контрола на квалитет до надворешни лаборатории, кој е предмет на PP-QC-SOP-025; квалификацијата на складишта и простории (QAS-03-003); и целосната валидација на компјутерскиот систем на софтверот на USB логерите (QAS-03-002) — оваа СОП ја бара само верификацијата во 6.4.4.</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It does not cover: validation of import and export (air) lanes per WHSOP_002 — performed with the same methodology in a separate protocol; the transport of quality-control samples to external laboratories, which is the subject of PP-QC-SOP-025; qualification of warehouses and premises (QAS-03-003); and full computerised-system validation of the USB logger software (QAS-03-002) — this SOP requires only the verification in 6.4.4.</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2.3 Идно проширување</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2.3 Future Scope Extension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Нови возила, нови конфигурации на пакување, електронско следење и рути преку граница се додаваат преку контрола на промени и ревизија на Планот за валидација (QASOP_0XX_A01).</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New vehicles, new packaging configurations, electronic tracking and cross-border lanes are added through change control and revision of the Validation Plan (QASOP_0XX_A01).</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3.0 ОДГОВОРНОСТИ</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3.0 RESPONSIBILITIES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Раководител на Сектор QA: го одобрува Планот за валидација, протоколите и извештаите; го води регистарот на рути (A06); ги одобрува отстапувањата и CAPA; доделува статус QUALIFIED; ги презема и чува податоците од логерите.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QA Manager: approves the Validation Plan, protocols and reports; maintains the lane register (A06); approves deviations and CAPA; assigns QUALIFIED status; downloads and retains the logger data.</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Тим за валидација (QA, Логистика, Обезбедување, Техничко одржување, КК): ја изготвува процената на ризик, ги изведува OQ и PQ според одобрен протокол, ги евидентира необработените податоци и го изготвува извештајот.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Validation team (QA, Logistics, Security, Technical Maintenance, QC): prepares the risk assessment, executes OQ and PQ per the approved protocol, records the raw data and prepares the report.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Техничко одржување: ги одржува и калибрира USB логерите (сертификат следлив до национални/меѓународни еталони, неодреденост ≤ ±0,5 °C и ≤ ±3 % RH), ги конфигурира и ја спроведува верификацијата на софтверот; ја доставува техничката документација за возилото и (ако постои) уредот за контрола на температура.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Technical Maintenance: maintains and calibrates the USB loggers (certificate traceable to national/international standards, uncertainty ≤ ±0.5 °C and ≤ ±3 % RH), configures them and performs the software verification; provides the technical documentation of the vehicle and (if fitted) the temperature-control unit.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Логистика: ги обезбедува возилото, палетите, картоните, стреч-фолијата и термо-ќебињата во конфигурацијата што се квалификува и симулираниот товар за тестовите.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Logistics: provides the vehicle, pallets, cartons, stretch film and thermal blankets in the configuration being qualified, and the simulated load for the tests.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Квалификувано лице (QP): го одобрува извештајот за валидација на секоја рута пред првата рутинска употреба.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Qualified Person (QP): approves the validation report of each lane before its first routine use.</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4.0 РЕФЕРЕНТНИ ДОКУМЕНТИ</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4.0 REFERENCE DOCUMENTS</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4.1 Регулаторна рамка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4.1 Regulatory framework</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EudraLex Vol. 4, Annex 15 (Qualification and Validation, 2015): §1 (организација и планирање), §2 (документација), §3 (фази на квалификација), §4 (реквалификација), §6 (верификација на транспортот), §7 (валидација на пакувањето).</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EudraLex Vol. 4, Annex 15 (Qualification and Validation, 2015): §1 (organising and planning), §2 (documentation), §3 (qualification stages), §4 (re-qualification), §6 (verification of transportation), §7 (validation of packaging).</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EudraLex Vol. 4, Annex 11 (Computerised Systems, 2011) — софтвер за преземање на податоците од USB логерите; Part I Chapter 4 (документација).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EudraLex Vol. 4, Annex 11 (Computerised Systems, 2011) — software for downloading the USB logger data; Part I Chapter 4 (documentation).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Guidelines on Good Distribution Practice (2013/C 343/01), Chapter 9.2 (транспорт — одржување на условите), 9.3 (контејнери, пакување и означување) и 9.4 (производи со посебни услови).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Guidelines on Good Distribution Practice (2013/C 343/01), Chapter 9.2 (transportation — maintaining conditions), 9.3 (containers, packaging and labelling) and 9.4 (products requiring special conditions).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WHO TRS No. 961 (2011), Annex 9, и техничките додатоци (WHO TRS No. 992, 2015, Annex 5): Supplement 7 (квалификација на температурно контролирани друмски возила), Supplement 8 (температурно мапирање), Supplement 12 (системи за следење на температура и влага при транспорт), Supplement 13 (квалификација на контејнери за испорака), Supplement 14 (квалификација на профилот на рутата).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WHO TRS No. 961 (2011), Annex 9, and its technical supplements (WHO TRS No. 992, 2015, Annex 5): Supplement 7 (Qualification of temperature-controlled road vehicles), Supplement 8 (Temperature mapping of storage areas), Supplement 12 (Temperature and humidity monitoring systems for transport operations), Supplement 13 (Qualification of shipping containers), Supplement 14 (Transport route profiling qualification).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ICH Q9(R1) Quality Risk Management (2023); ICH Q10 Pharmaceutical Quality System (2008); USP ⟨1079.2⟩ Mean Kinetic Temperature; Ph. Eur. Монографија 3028 (Cannabis flos).</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ICH Q9(R1) Quality Risk Management (2023); ICH Q10 Pharmaceutical Quality System (2008); USP ⟨1079.2⟩ Mean Kinetic Temperature; Ph. Eur. Monograph 3028 (Cannabis flos).</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4.2 Внатрешни документи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4.2 Internal documents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Validation Master Plan (QAS-02.00); QAS-03-001 Квалификација на опрема; QAS-03-002 Валидација на компјутерски системи; QAS-04-001 Управување со ризик; QAS-08-001 Контрола на промени; WHSOP_003.</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Validation Master Plan (QAS-02.00); QAS-03-001 Equipment Qualification; QAS-03-002 Computerised System Validation; QAS-04-001 Risk Management; QAS-08-001 Change Control; WHSOP_003.</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5.0 ДЕФИНИЦИИ</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5.0 DEFINITIONS</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5.1 Дефиниции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5.1 Definitions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Рута (лента) — дефинирана комбинација на место на испраќање, место на прием, патека, возило, конфигурација на палети и сезона, која се квалификува како целина; код Lnn (на пр. L01).</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Lane — a defined combination of dispatch point, receipt point, route, vehicle, pallet configuration and season, qualified as a whole; code Lnn (e.g. L01).</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Оперативна квалификација (OQ) — документиран доказ дека возилото, со палетите во квалификуваната конфигурација, ги одржува условите во целиот товарен простор и во палетите, во празна и полна состојба, при екстремни сезонски услови и при предизвикани нарушувања (отворање врата и, кај активна контрола, прекин на напојување).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Operational qualification (OQ) — documented evidence that the vehicle, with the pallets in the qualified configuration, maintains the conditions throughout the load space and within the pallets, empty and loaded, under seasonal extremes and under induced disturbances (door opening and, with active control, power interruption).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Квалификација на перформанси (PQ) — документиран доказ, преку три последователни реални или симулирани пратки по рутата, дека условите се одржуваат во рутинска употреба.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Performance qualification (PQ) — documented evidence, through three consecutive real or simulated shipments on the lane, that conditions are maintained in routine use.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Температурно мапирање — истовремено мерење на температура и влага на дефинирани точки во товарниот простор и во палетите за да се утврдат жешките и студените точки.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Temperature mapping — simultaneous measurement of temperature and humidity at defined points in the load space and within the pallets to identify the hot and cold spots.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Време на задржување (hold time) — кај активна контрола: времето од губење на контролата до првото излегување на која било точка надвор од опсегот; кај пасивна заштита: најдолгото време во кое сите логери во палетите остануваат во опсегот при сезонскиот екстрем на амбиентот.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Hold time — with active control: the time from loss of control to the first point leaving the range; with passive protection: the longest time during which all loggers within the pallets remain within range at the seasonal ambient extreme.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USB логер — калибриран логер за температура и влага за повеќекратна употреба (Пјурли Плант располага со 10), се користи за мапирање и како рутински логер во товарниот простор.</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USB logger — a calibrated reusable temperature and humidity logger (Purely Plant holds 10), used for mapping and as the routine load-space logger.</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Логер за еднократна употреба — калибриран температурен логер со фабрички сертификат за серијата, се поставува во палетите при OQ, PQ и рутински транспорт.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Single-use logger — a calibrated temperature logger with a factory lot certificate, placed in the pallets during OQ, PQ and routine transport.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Средна кинетичка температура (MKT) — единечна изотермна температура која предизвикува иста хемиска деградација како измерениот променлив профил (ΔH/R = 10 000 K).</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Mean kinetic temperature (MKT) — the single isothermal temperature that causes the same chemical degradation as the measured variable profile (ΔH/R = 10 000 K).</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5.2 Кратенки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5.2 Abbreviations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OQ; PQ; RA; VP — план за валидација; G/M — голема/мала палета (L/S); MKT; RH; GDP; GMP; QA; QP; CAPA; SOP.</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OQ; PQ; RA; VP — validation plan; L/S — large/small pallet (G/M); MKT; RH; GDP; GMP; QA; QP; CAPA; SOP.</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6.0 ПОСТАПКА</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6.0 PROCEDURE</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6.1 Животен циклус на валидацијата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6.1 Validation lifecycle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Валидацијата на секоја рута се изведува по редослед, без прескокнување фаза: (1) процена на ризик и План за валидација (A01) → (2) одобрен Протокол (A02) со однапред дефинирани критериуми → (3) OQ мапирање на возилото со палети (A03) → (4) PQ — три пратки (A04) → (5) Извештај (A05) и одобрение од QA и QP → (6) внес во регистарот со статус QUALIFIED (A06) → (7) рутинско следење и периодична реквалификација. Следната фаза започнува само по писмено одобрение на претходната од QA.</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Validation of each lane follows this order, without skipping a stage: (1) risk assessment and Validation Plan (A01) → (2) approved Protocol (A02) with pre-defined criteria → (3) OQ mapping of the vehicle with pallets (A03) → (4) PQ — three shipments (A04) → (5) Report (A05) and QA and QP approval → (6) entry in the register with QUALIFIED status (A06) → (7) routine monitoring and periodic requalification. The next stage starts only after written QA approval of the previous one.</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6.2 Процена на ризик и план</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6.2 Risk assessment and plan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6.2.1 За секоја рута тимот ги евидентира во A01: растојание и максимално времетраење (вклучително сообраќајни застои и чекање на придружувањето), сезонски екстреми на амбиентот (историски податоци за Скопје), вид на материјал и неговиот опсег, возило (активна или пасивна заштита), конфигурација и максимален број на палети, точки на ракување и безбедносни ризици. Ризиците се оценуваат со FMEA (веројатност × последица × откривање) според QAS-04-001.</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6.2.1 For each lane the team records in A01: distance and maximum duration (including traffic delays and waiting for the escort), seasonal ambient extremes (historical data for Skopje), material type and its range, vehicle (active or passive protection), configuration and maximum number of pallets, handling points and security risks. Risks are rated by FMEA (likelihood × severity × detectability) per QAS-04-001.</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6.2.2 Групирање (bracketing): рутите со исто возило, иста конфигурација на палети и времетраење до најдолгата квалификувана рута може да се покријат со квалификацијата на најдолгата („најлош случај“), ако A01 го образложи и QA го одобри. Малата палета (4 картони) има помала термичка маса и е најлош случај за конфигурацијата; ако се квалификува мала палета, големата е покриена, но не и обратно.</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6.2.2 Bracketing: lanes with the same vehicle, the same pallet configuration and a duration up to that of the longest qualified lane may be covered by the qualification of the longest ("worst case") lane, where A01 justifies it and QA approves. The small pallet (4 cartons) has less thermal mass and is the worst case for the configuration; qualifying the small pallet covers the large one, but not the reverse.</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6.3 Протокол</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6.3 Protocol</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Протоколот (A02) ги дефинира однапред: предметот, опсезите, бројот и позициите на логерите, интервалот на мерење, тестовите, критериумите за прифаќање, постапката при отстапување и потребните потписи. Протоколот се одобрува од QA пред почетокот на OQ; необработените податоци се внесуваат директно во обрасците за извршување (A03, A04).</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protocol (A02) pre-defines: the object, ranges, number and positions of loggers, logging interval, tests, acceptance criteria, deviation handling and required signatures. The protocol is approved by QA before OQ starts; raw data are entered directly into the execution forms (A03, A04).</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6.4 OQ — температурно мапирање на возилото со палети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6.4 OQ — temperature mapping of the vehicle with pallets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6.4.1 USB логери (10): P1–P8 во аглите на товарниот простор (горе/долу, напред кон кабината / назад кон вратите, лево/десно), на околу 10 cm од ѕидовите; „долу“ на околу 10 cm над подот, „горе“ на висината на врвот на натоварените палети; P9 во геометрискиот центар; P10 надвор (амбиент), во сенка и заштитен од директно сонце и издувни гасови. Позициите P3, P4, P7 и P8 (кон вратите) го покриваат тестот со отворање на врата. Интервал 1 мин.</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6.4.1 USB loggers (10): P1–P8 at the corners of the load space (top/bottom, front towards the cab / rear towards the doors, left/right), about 10 cm from the walls; "bottom" about 10 cm above the floor, "top" at the height of the top of the loaded pallets; P9 at the geometric centre; P10 outside (ambient), shaded and protected from direct sun and exhaust. Positions P3, P4, P7 and P8 (towards the doors) cover the door-opening test. Interval 1 min.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6.4.2 Логери за еднократна употреба во тестовите со товар: по 2 во секоја палета — (Е1) горен слој, аголот свртен кон вратите, меѓу два картона под термо-ќебето; (Е2) долен слој, во центарот на палетата меѓу картоните (кај мала палета со еден слој: аголот свртен кон кабината). Двете позиции се кандидати за рутинската позиција во WHSOP_003 §6.4.5; OQ ја потврдува или ја менува.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6.4.2 Single-use loggers in the loaded tests: 2 in every pallet — (E1) top layer, the corner facing the doors, between two cartons under the thermal blanket; (E2) bottom layer, at the centre of the pallet between the cartons (for a single-layer small pallet: the corner facing the cab). Both positions are candidates for the routine position in WHSOP_003 §6.4.5; OQ confirms or changes it.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6.4.3 Тестови: (а) празно возило — профил на товарниот простор наспроти амбиентот (кај активна контрола: стабилизација и време до опсег); (б) полно возило со претставителен товар во максималната конфигурација (картони со симулирани кеси со иста маса, завиткани како во рутина) — времетраење ≥ 125 % од најдолгото очекувано патување; (в) отворање на врата: 2 × 5 мин (симулација на предавање и прием); (г) само кај активна контрола: прекин на напојување — мерење на времето на задржување; (д) сезонско мапирање со товар: летно (амбиент ≥ 30 °C) и зимско (амбиент ≤ 0 °C). Кај пасивна заштита, тестовите (б) и (д) го даваат времето на задржување.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6.4.3 Tests: (a) empty vehicle — load-space profile against ambient (with active control: stabilisation and time to range); (b) loaded vehicle with a representative load in the maximum configuration (cartons with simulated bags of the same mass, wrapped as in routine) — duration ≥ 125 % of the longest expected journey; (c) door opening: 2 × 5 min (simulating hand-over and receipt); (d) only with active control: power interruption — measurement of hold time; (e) seasonal mapping with load: summer (ambient ≥ 30 °C) and winter (ambient ≤ 0 °C). With passive protection, tests (b) and (e) give the hold time.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6.4.4 Пред OQ: калибрацијата на USB логерите е важечка и се проверува во една точка (споредба со референтен термометар, Δ ≤ 0,5 °C) пред и по мапирањето; часовниците се синхронизирани; софтверот за преземање е верификуван (точна конфигурација, неизменливи изворни датотеки, временски печат, контрола на пристап) и изворните датотеки се чуваат со сериски број и SHA-256. За логерите за еднократна употреба се чува сертификатот на серијата и се проверува рокот на употреба.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6.4.4 Before OQ: the USB logger calibration is valid and is checked at one point (comparison with a reference thermometer, Δ ≤ 0.5 °C) before and after mapping; clocks are synchronised; the download software is verified (correct configuration, unalterable original files, time stamp, access control) and the original files are retained with serial number and SHA-256. For single-use loggers the lot certificate is retained and the expiry date is checked.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6.4.5 Критериуми за прифаќање: сите логери во палетите (Е1, Е2) во опсегот во текот на целиот тест; логерите во товарниот простор во опсегот по стабилизацијата, или — кај пасивна заштита — разликата меѓу воздухот и палетите документирана; враќање во опсег во рок ≤ 15 мин по секое отворање на врата; време на задржување ≥ максималното предвидено време од A01 (најмалку 60 мин); MKT во опсегот; жешката и студената точка во товарниот простор и во палетата се идентификувани и документирани за рутинските позиции.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6.4.5 Acceptance criteria: all loggers within the pallets (E1, E2) within range throughout the test; load-space loggers within range after stabilisation, or — with passive protection — the difference between air and pallets documented; return to range within ≤ 15 min after each door opening; hold time ≥ the maximum foreseen time from A01 (at least 60 min); MKT within range; hot and cold spots in the load space and in the pallet identified and documented for the routine positions.</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6.5 PQ — три последователни пратки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6.5 PQ — three consecutive shipments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6.5.1 PQ се изведува по завршена и одобрена OQ, со три последователни пратки по рутата, со реален производ или симулиран товар со иста маса и конфигурација на палети. Логери: по 2 за еднократна употреба во секоја палета (Е1, Е2 од 6.4.2) и 3 USB логери во товарниот простор — на жешката точка, на студената точка од OQ и надвор (амбиент). Барем една пратка мора да падне во сезоната на најлош случај за опсегот (лето за 15–25 °C).</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6.5.1 PQ is performed after OQ is completed and approved, with three consecutive shipments on the lane, with real product or a simulated load of the same mass and pallet configuration. Loggers: 2 single-use in every pallet (E1, E2 from 6.4.2) and 3 USB loggers in the load space — at the OQ hot spot, at the OQ cold spot and outside (ambient). At least one shipment must fall in the worst-case season for the range (summer for 15–25 °C).</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6.5.2 Секоја PQ пратка се изведува целосно според WHSOP_003 (барање до МВР и полициско придружување, етикети и листи на пакување, ланец на надзор) и се евидентира во A04. Критериуми: сите логери во палетите во опсег во текот на целото патување; пломбите и завиткувањето цели; времетраењето ≤ квалификуваното; ланецот на надзор комплетен; палетите без оштетување.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6.5.2 Each PQ shipment is performed in full per WHSOP_003 (MoIA request and police escort, labels and packing lists, chain of custody) and recorded in A04. Criteria: all pallet loggers within range throughout the journey; seals and wrapping intact; duration ≤ the qualified duration; chain of custody complete; pallets undamaged.</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6.6 Пресметки и проценка на податоците</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6.6 Calculations and data evaluation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Од податоците на секој логер се пресметуваат: мин., макс., средна вредност, стандардна девијација, кумулативно време надвор од опсег и MKT. MKT се пресметува со формулата во A02/A05 (ΔH/R = 10 000 K; температурите во келвини). Пресметките се прикажуваат во извештајот како решени чекори (формула → вредности → резултат) и се проверуваат од второ лице.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From each logger's data the following are calculated: min., max., mean, standard deviation, cumulative time out of range and MKT. The MKT is calculated with the formula in A02/A05 (ΔH/R = 10 000 K; temperatures in kelvin). Calculations are shown in the report as worked steps (formula → values → result) and verified by a second person.</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6.7 Извештај и статус</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6.7 Report and status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Извештајот (A05) ги сумира сите резултати наспроти критериумите, сите отстапувања и нивното решавање и препорака за статус. По одобрение од QA и QP, рутата се внесува во A06 како QUALIFIED со датум на важност; ограничувањата (сезона, максимално времетраење, максимален број и тип на палети, рутински позиции на логерите) се наведуваат и се пренесуваат во TRA на WHSOP_003.</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report (A05) summarises all results against the criteria, all deviations and their resolution, and a status recommendation. After QA and QP approval, the lane is entered in A06 as QUALIFIED with a validity date; limitations (season, maximum duration, maximum number and type of pallets, routine logger positions) are stated and carried into the WHSOP_003 TRA.</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6.8 Отстапувања при валидацијата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6.8 Deviations during validation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Резултат надвор од критериумите се проверува (дефект на логер, грешка во поставувањето); ако се потврди, се отвора отстапување (QAS-05-002), се утврдува коренската причина и, по корекцијата, засегнатиот тест се повторува во целост. Резултат не се отфрла без документирано образложение одобрено од QA.</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A result outside the criteria is checked (logger failure, placement error); if confirmed, a deviation is opened (QAS-05-002), the root cause is established and, after correction, the affected test is repeated in full. No result is discarded without a documented justification approved by QA.</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6.9 Рутинско следење и реквалификација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6.9 Routine monitoring and requalification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6.9.1 Секоја рутинска пратка се следи според WHSOP_003 §6.4.5: еден логер за еднократна употреба во секоја палета на позицијата потврдена со OQ/PQ и еден USB логер во товарниот простор на жешката точка. QA квартално ги трендира податоците по рута (мин., макс., MKT, аларми) во A06.</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6.9.1 Every routine shipment is monitored per WHSOP_003 §6.4.5: one single-use logger in every pallet at the position confirmed by OQ/PQ and one USB logger in the load space at the hot spot. QA trends the data per lane quarterly (min., max., MKT, alarms) in A06.</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6.9.2 Реквалификација: годишно (сезонско PQ — една летна и една зимска пратка) и вонредно при: промена на возилото или уредот за контрола на температура; промена на конфигурацијата на палети, картоните, стреч-фолијата или термо-ќебињата; промена на рутата или максималното времетраење; потврдена екскурзија со непозната причина; негативен тренд. Обемот (целосна OQ+PQ или само PQ) го одредува QA со процена на ризик преку контрола на промени.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6.9.2 Requalification: annually (seasonal PQ — one summer and one winter shipment) and additionally upon: change of vehicle or temperature-control unit; change of pallet configuration, cartons, stretch film or thermal blankets; change of route or maximum duration; a confirmed excursion of unknown cause; an adverse trend. The scope (full OQ+PQ or PQ only) is set by QA through risk assessment under change control.</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6.10 Обука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6.10 Training</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Членовите на тимот за валидација се обучуваат за оваа СОП, за ракување со USB логерите и логерите за еднократна употреба, за софтверот за преземање и за WHSOP_003 пред учеството; обуката се евидентира (HR-01-006).</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Validation team members are trained on this SOP, on handling the USB and single-use loggers, on the download software and on WHSOP_003 before taking part; training is recorded (HR-01-006).</w:t>
            </w:r>
          </w:p>
        </w:tc>
      </w:tr>
    </w:tbl>
    <w:p>
      <w:pPr>
        <w:keepNext/>
        <w:spacing w:before="0" w:after="0" w:lineRule="exact" w:line="200"/>
      </w:pPr>
    </w:p>
    <w:p>
      <w:pPr>
        <w:pStyle w:val="Heading1"/>
        <w:keepNext/>
        <w:tabs>
          <w:tab w:pos="5233" w:val="left"/>
        </w:tabs>
        <w:spacing w:before="60" w:after="60"/>
        <w:ind w:left="130" w:right="130"/>
        <w:shd w:val="clear" w:color="auto" w:fill="E8E8E8"/>
      </w:pPr>
      <w:r>
        <w:rPr>
          <w:rFonts w:ascii="Calibri" w:hAnsi="Calibri"/>
          <w:b/>
          <w:i w:val="0"/>
          <w:color w:val="000000"/>
          <w:sz w:val="24"/>
        </w:rPr>
        <w:t>7.0 ЗАПИСИ</w:t>
      </w:r>
      <w:r>
        <w:rPr>
          <w:rFonts w:ascii="Calibri" w:hAnsi="Calibri"/>
          <w:b w:val="0"/>
          <w:i w:val="0"/>
          <w:color w:val="000000"/>
          <w:sz w:val="24"/>
        </w:rPr>
        <w:tab/>
      </w:r>
      <w:r>
        <w:rPr>
          <w:rFonts w:ascii="Calibri" w:hAnsi="Calibri"/>
          <w:b/>
          <w:i w:val="0"/>
          <w:color w:val="595959"/>
          <w:sz w:val="24"/>
        </w:rPr>
        <w:t>7.0 RECORDS</w:t>
      </w:r>
    </w:p>
    <w:p>
      <w:pPr>
        <w:keepNext/>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3110"/>
        <w:gridCol w:w="7356"/>
      </w:tblGrid>
      <w:tr>
        <w:trPr>
          <w:cantSplit/>
          <w:tblHeader w:val="true"/>
        </w:trPr>
        <w:tc>
          <w:tcPr>
            <w:shd w:val="clear" w:color="auto" w:fill="D9E2F3"/>
            <w:tcW w:type="dxa" w:w="3110"/>
          </w:tcPr>
          <w:p>
            <w:pPr>
              <w:keepNext/>
            </w:pPr>
            <w:r/>
            <w:r>
              <w:rPr>
                <w:rFonts w:ascii="Calibri" w:hAnsi="Calibri"/>
                <w:b/>
                <w:i w:val="0"/>
                <w:color w:val="000000"/>
                <w:sz w:val="22"/>
              </w:rPr>
              <w:t>Код</w:t>
            </w:r>
            <w:r>
              <w:rPr>
                <w:rFonts w:ascii="Calibri" w:hAnsi="Calibri"/>
                <w:b w:val="0"/>
                <w:i w:val="0"/>
                <w:color w:val="000000"/>
                <w:sz w:val="14"/>
              </w:rPr>
              <w:t xml:space="preserve"> | </w:t>
            </w:r>
            <w:r>
              <w:rPr>
                <w:rFonts w:ascii="Calibri" w:hAnsi="Calibri"/>
                <w:b/>
                <w:i w:val="0"/>
                <w:color w:val="000000"/>
                <w:sz w:val="14"/>
              </w:rPr>
              <w:t>Code</w:t>
            </w:r>
          </w:p>
        </w:tc>
        <w:tc>
          <w:tcPr>
            <w:shd w:val="clear" w:color="auto" w:fill="D9E2F3"/>
            <w:tcW w:type="dxa" w:w="7356"/>
          </w:tcPr>
          <w:p>
            <w:pPr>
              <w:keepNext/>
            </w:pPr>
            <w:r/>
            <w:r>
              <w:rPr>
                <w:rFonts w:ascii="Calibri" w:hAnsi="Calibri"/>
                <w:b/>
                <w:i w:val="0"/>
                <w:color w:val="000000"/>
                <w:sz w:val="22"/>
              </w:rPr>
              <w:t>Наслов</w:t>
            </w:r>
            <w:r>
              <w:rPr>
                <w:rFonts w:ascii="Calibri" w:hAnsi="Calibri"/>
                <w:b w:val="0"/>
                <w:i w:val="0"/>
                <w:color w:val="000000"/>
                <w:sz w:val="14"/>
              </w:rPr>
              <w:t xml:space="preserve"> | </w:t>
            </w:r>
            <w:r>
              <w:rPr>
                <w:rFonts w:ascii="Calibri" w:hAnsi="Calibri"/>
                <w:b/>
                <w:i w:val="0"/>
                <w:color w:val="000000"/>
                <w:sz w:val="14"/>
              </w:rPr>
              <w:t>Title</w:t>
            </w:r>
          </w:p>
        </w:tc>
      </w:tr>
      <w:tr>
        <w:trPr>
          <w:cantSplit/>
        </w:trPr>
        <w:tc>
          <w:tcPr>
            <w:tcW w:type="dxa" w:w="3110"/>
          </w:tcPr>
          <w:p>
            <w:pPr>
              <w:keepNext/>
            </w:pPr>
            <w:r/>
            <w:r>
              <w:rPr>
                <w:rFonts w:ascii="Calibri" w:hAnsi="Calibri"/>
                <w:b w:val="0"/>
                <w:i w:val="0"/>
                <w:color w:val="000000"/>
                <w:sz w:val="22"/>
              </w:rPr>
              <w:t>QASOP_0XX_A01</w:t>
            </w:r>
            <w:r>
              <w:rPr>
                <w:rFonts w:ascii="Calibri" w:hAnsi="Calibri"/>
                <w:b w:val="0"/>
                <w:i w:val="0"/>
                <w:color w:val="000000"/>
                <w:sz w:val="14"/>
              </w:rPr>
            </w:r>
          </w:p>
        </w:tc>
        <w:tc>
          <w:tcPr>
            <w:tcW w:type="dxa" w:w="7356"/>
          </w:tcPr>
          <w:p>
            <w:pPr>
              <w:keepNext/>
            </w:pPr>
            <w:r/>
            <w:r>
              <w:rPr>
                <w:rFonts w:ascii="Calibri" w:hAnsi="Calibri"/>
                <w:b w:val="0"/>
                <w:i w:val="0"/>
                <w:color w:val="000000"/>
                <w:sz w:val="22"/>
              </w:rPr>
              <w:t>План за валидација и процена на ризик на рутата</w:t>
            </w:r>
            <w:r>
              <w:rPr>
                <w:rFonts w:ascii="Calibri" w:hAnsi="Calibri"/>
                <w:b w:val="0"/>
                <w:i w:val="0"/>
                <w:color w:val="000000"/>
                <w:sz w:val="14"/>
              </w:rPr>
              <w:t xml:space="preserve"> | </w:t>
            </w:r>
            <w:r>
              <w:rPr>
                <w:rFonts w:ascii="Calibri" w:hAnsi="Calibri"/>
                <w:b w:val="0"/>
                <w:i w:val="0"/>
                <w:color w:val="000000"/>
                <w:sz w:val="14"/>
              </w:rPr>
              <w:t>Lane Validation Plan and Risk Assessment</w:t>
            </w:r>
          </w:p>
        </w:tc>
      </w:tr>
      <w:tr>
        <w:trPr>
          <w:cantSplit/>
        </w:trPr>
        <w:tc>
          <w:tcPr>
            <w:tcW w:type="dxa" w:w="3110"/>
          </w:tcPr>
          <w:p>
            <w:pPr>
              <w:keepNext/>
            </w:pPr>
            <w:r/>
            <w:r>
              <w:rPr>
                <w:rFonts w:ascii="Calibri" w:hAnsi="Calibri"/>
                <w:b w:val="0"/>
                <w:i w:val="0"/>
                <w:color w:val="000000"/>
                <w:sz w:val="22"/>
              </w:rPr>
              <w:t>QASOP_0XX_A02</w:t>
            </w:r>
            <w:r>
              <w:rPr>
                <w:rFonts w:ascii="Calibri" w:hAnsi="Calibri"/>
                <w:b w:val="0"/>
                <w:i w:val="0"/>
                <w:color w:val="000000"/>
                <w:sz w:val="14"/>
              </w:rPr>
            </w:r>
          </w:p>
        </w:tc>
        <w:tc>
          <w:tcPr>
            <w:tcW w:type="dxa" w:w="7356"/>
          </w:tcPr>
          <w:p>
            <w:pPr>
              <w:keepNext/>
            </w:pPr>
            <w:r/>
            <w:r>
              <w:rPr>
                <w:rFonts w:ascii="Calibri" w:hAnsi="Calibri"/>
                <w:b w:val="0"/>
                <w:i w:val="0"/>
                <w:color w:val="000000"/>
                <w:sz w:val="22"/>
              </w:rPr>
              <w:t>Протокол за валидација на транспорт (OQ/PQ)</w:t>
            </w:r>
            <w:r>
              <w:rPr>
                <w:rFonts w:ascii="Calibri" w:hAnsi="Calibri"/>
                <w:b w:val="0"/>
                <w:i w:val="0"/>
                <w:color w:val="000000"/>
                <w:sz w:val="14"/>
              </w:rPr>
              <w:t xml:space="preserve"> | </w:t>
            </w:r>
            <w:r>
              <w:rPr>
                <w:rFonts w:ascii="Calibri" w:hAnsi="Calibri"/>
                <w:b w:val="0"/>
                <w:i w:val="0"/>
                <w:color w:val="000000"/>
                <w:sz w:val="14"/>
              </w:rPr>
              <w:t>Transport Validation Protocol (OQ/PQ)</w:t>
            </w:r>
          </w:p>
        </w:tc>
      </w:tr>
      <w:tr>
        <w:trPr>
          <w:cantSplit/>
        </w:trPr>
        <w:tc>
          <w:tcPr>
            <w:tcW w:type="dxa" w:w="3110"/>
          </w:tcPr>
          <w:p>
            <w:pPr>
              <w:keepNext/>
            </w:pPr>
            <w:r/>
            <w:r>
              <w:rPr>
                <w:rFonts w:ascii="Calibri" w:hAnsi="Calibri"/>
                <w:b w:val="0"/>
                <w:i w:val="0"/>
                <w:color w:val="000000"/>
                <w:sz w:val="22"/>
              </w:rPr>
              <w:t>QASOP_0XX_A03</w:t>
            </w:r>
            <w:r>
              <w:rPr>
                <w:rFonts w:ascii="Calibri" w:hAnsi="Calibri"/>
                <w:b w:val="0"/>
                <w:i w:val="0"/>
                <w:color w:val="000000"/>
                <w:sz w:val="14"/>
              </w:rPr>
            </w:r>
          </w:p>
        </w:tc>
        <w:tc>
          <w:tcPr>
            <w:tcW w:type="dxa" w:w="7356"/>
          </w:tcPr>
          <w:p>
            <w:pPr>
              <w:keepNext/>
            </w:pPr>
            <w:r/>
            <w:r>
              <w:rPr>
                <w:rFonts w:ascii="Calibri" w:hAnsi="Calibri"/>
                <w:b w:val="0"/>
                <w:i w:val="0"/>
                <w:color w:val="000000"/>
                <w:sz w:val="22"/>
              </w:rPr>
              <w:t>Запис за извршување на OQ — температурно мапирање</w:t>
            </w:r>
            <w:r>
              <w:rPr>
                <w:rFonts w:ascii="Calibri" w:hAnsi="Calibri"/>
                <w:b w:val="0"/>
                <w:i w:val="0"/>
                <w:color w:val="000000"/>
                <w:sz w:val="14"/>
              </w:rPr>
              <w:t xml:space="preserve"> | </w:t>
            </w:r>
            <w:r>
              <w:rPr>
                <w:rFonts w:ascii="Calibri" w:hAnsi="Calibri"/>
                <w:b w:val="0"/>
                <w:i w:val="0"/>
                <w:color w:val="000000"/>
                <w:sz w:val="14"/>
              </w:rPr>
              <w:t>OQ Execution Record — Temperature Mapping</w:t>
            </w:r>
          </w:p>
        </w:tc>
      </w:tr>
      <w:tr>
        <w:trPr>
          <w:cantSplit/>
        </w:trPr>
        <w:tc>
          <w:tcPr>
            <w:tcW w:type="dxa" w:w="3110"/>
          </w:tcPr>
          <w:p>
            <w:pPr>
              <w:keepNext/>
            </w:pPr>
            <w:r/>
            <w:r>
              <w:rPr>
                <w:rFonts w:ascii="Calibri" w:hAnsi="Calibri"/>
                <w:b w:val="0"/>
                <w:i w:val="0"/>
                <w:color w:val="000000"/>
                <w:sz w:val="22"/>
              </w:rPr>
              <w:t>QASOP_0XX_A04</w:t>
            </w:r>
            <w:r>
              <w:rPr>
                <w:rFonts w:ascii="Calibri" w:hAnsi="Calibri"/>
                <w:b w:val="0"/>
                <w:i w:val="0"/>
                <w:color w:val="000000"/>
                <w:sz w:val="14"/>
              </w:rPr>
            </w:r>
          </w:p>
        </w:tc>
        <w:tc>
          <w:tcPr>
            <w:tcW w:type="dxa" w:w="7356"/>
          </w:tcPr>
          <w:p>
            <w:pPr>
              <w:keepNext/>
            </w:pPr>
            <w:r/>
            <w:r>
              <w:rPr>
                <w:rFonts w:ascii="Calibri" w:hAnsi="Calibri"/>
                <w:b w:val="0"/>
                <w:i w:val="0"/>
                <w:color w:val="000000"/>
                <w:sz w:val="22"/>
              </w:rPr>
              <w:t>Запис за извршување на PQ пратка</w:t>
            </w:r>
            <w:r>
              <w:rPr>
                <w:rFonts w:ascii="Calibri" w:hAnsi="Calibri"/>
                <w:b w:val="0"/>
                <w:i w:val="0"/>
                <w:color w:val="000000"/>
                <w:sz w:val="14"/>
              </w:rPr>
              <w:t xml:space="preserve"> | </w:t>
            </w:r>
            <w:r>
              <w:rPr>
                <w:rFonts w:ascii="Calibri" w:hAnsi="Calibri"/>
                <w:b w:val="0"/>
                <w:i w:val="0"/>
                <w:color w:val="000000"/>
                <w:sz w:val="14"/>
              </w:rPr>
              <w:t>PQ Shipment Execution Record</w:t>
            </w:r>
          </w:p>
        </w:tc>
      </w:tr>
      <w:tr>
        <w:trPr>
          <w:cantSplit/>
        </w:trPr>
        <w:tc>
          <w:tcPr>
            <w:tcW w:type="dxa" w:w="3110"/>
          </w:tcPr>
          <w:p>
            <w:pPr>
              <w:keepNext/>
            </w:pPr>
            <w:r/>
            <w:r>
              <w:rPr>
                <w:rFonts w:ascii="Calibri" w:hAnsi="Calibri"/>
                <w:b w:val="0"/>
                <w:i w:val="0"/>
                <w:color w:val="000000"/>
                <w:sz w:val="22"/>
              </w:rPr>
              <w:t>QASOP_0XX_A05</w:t>
            </w:r>
            <w:r>
              <w:rPr>
                <w:rFonts w:ascii="Calibri" w:hAnsi="Calibri"/>
                <w:b w:val="0"/>
                <w:i w:val="0"/>
                <w:color w:val="000000"/>
                <w:sz w:val="14"/>
              </w:rPr>
            </w:r>
          </w:p>
        </w:tc>
        <w:tc>
          <w:tcPr>
            <w:tcW w:type="dxa" w:w="7356"/>
          </w:tcPr>
          <w:p>
            <w:pPr>
              <w:keepNext/>
            </w:pPr>
            <w:r/>
            <w:r>
              <w:rPr>
                <w:rFonts w:ascii="Calibri" w:hAnsi="Calibri"/>
                <w:b w:val="0"/>
                <w:i w:val="0"/>
                <w:color w:val="000000"/>
                <w:sz w:val="22"/>
              </w:rPr>
              <w:t>Извештај за валидација на транспорт</w:t>
            </w:r>
            <w:r>
              <w:rPr>
                <w:rFonts w:ascii="Calibri" w:hAnsi="Calibri"/>
                <w:b w:val="0"/>
                <w:i w:val="0"/>
                <w:color w:val="000000"/>
                <w:sz w:val="14"/>
              </w:rPr>
              <w:t xml:space="preserve"> | </w:t>
            </w:r>
            <w:r>
              <w:rPr>
                <w:rFonts w:ascii="Calibri" w:hAnsi="Calibri"/>
                <w:b w:val="0"/>
                <w:i w:val="0"/>
                <w:color w:val="000000"/>
                <w:sz w:val="14"/>
              </w:rPr>
              <w:t>Transport Validation Report</w:t>
            </w:r>
          </w:p>
        </w:tc>
      </w:tr>
      <w:tr>
        <w:trPr>
          <w:cantSplit/>
        </w:trPr>
        <w:tc>
          <w:tcPr>
            <w:tcW w:type="dxa" w:w="3110"/>
          </w:tcPr>
          <w:p>
            <w:r/>
            <w:r>
              <w:rPr>
                <w:rFonts w:ascii="Calibri" w:hAnsi="Calibri"/>
                <w:b w:val="0"/>
                <w:i w:val="0"/>
                <w:color w:val="000000"/>
                <w:sz w:val="22"/>
              </w:rPr>
              <w:t>QASOP_0XX_A06</w:t>
            </w:r>
            <w:r>
              <w:rPr>
                <w:rFonts w:ascii="Calibri" w:hAnsi="Calibri"/>
                <w:b w:val="0"/>
                <w:i w:val="0"/>
                <w:color w:val="000000"/>
                <w:sz w:val="14"/>
              </w:rPr>
            </w:r>
          </w:p>
        </w:tc>
        <w:tc>
          <w:tcPr>
            <w:tcW w:type="dxa" w:w="7356"/>
          </w:tcPr>
          <w:p>
            <w:r/>
            <w:r>
              <w:rPr>
                <w:rFonts w:ascii="Calibri" w:hAnsi="Calibri"/>
                <w:b w:val="0"/>
                <w:i w:val="0"/>
                <w:color w:val="000000"/>
                <w:sz w:val="22"/>
              </w:rPr>
              <w:t>Регистар на квалификувани рути и тренд</w:t>
            </w:r>
            <w:r>
              <w:rPr>
                <w:rFonts w:ascii="Calibri" w:hAnsi="Calibri"/>
                <w:b w:val="0"/>
                <w:i w:val="0"/>
                <w:color w:val="000000"/>
                <w:sz w:val="14"/>
              </w:rPr>
              <w:t xml:space="preserve"> | </w:t>
            </w:r>
            <w:r>
              <w:rPr>
                <w:rFonts w:ascii="Calibri" w:hAnsi="Calibri"/>
                <w:b w:val="0"/>
                <w:i w:val="0"/>
                <w:color w:val="000000"/>
                <w:sz w:val="14"/>
              </w:rPr>
              <w:t>Qualified Lane Register and Trend</w:t>
            </w:r>
          </w:p>
        </w:tc>
      </w:tr>
    </w:tbl>
    <w:p>
      <w:pPr>
        <w:keepNext/>
        <w:spacing w:before="0" w:after="0" w:lineRule="exact" w:line="200"/>
      </w:pPr>
    </w:p>
    <w:p>
      <w:pPr>
        <w:pStyle w:val="Heading1"/>
        <w:keepNext/>
        <w:tabs>
          <w:tab w:pos="5233" w:val="left"/>
        </w:tabs>
        <w:spacing w:before="60" w:after="60"/>
        <w:ind w:left="130" w:right="130"/>
        <w:shd w:val="clear" w:color="auto" w:fill="E8E8E8"/>
      </w:pPr>
      <w:r>
        <w:rPr>
          <w:rFonts w:ascii="Calibri" w:hAnsi="Calibri"/>
          <w:b/>
          <w:i w:val="0"/>
          <w:color w:val="000000"/>
          <w:sz w:val="24"/>
        </w:rPr>
        <w:t>8.0 ПОВРЗАНИ ДОКУМЕНТИ</w:t>
      </w:r>
      <w:r>
        <w:rPr>
          <w:rFonts w:ascii="Calibri" w:hAnsi="Calibri"/>
          <w:b w:val="0"/>
          <w:i w:val="0"/>
          <w:color w:val="000000"/>
          <w:sz w:val="24"/>
        </w:rPr>
        <w:tab/>
      </w:r>
      <w:r>
        <w:rPr>
          <w:rFonts w:ascii="Calibri" w:hAnsi="Calibri"/>
          <w:b/>
          <w:i w:val="0"/>
          <w:color w:val="595959"/>
          <w:sz w:val="24"/>
        </w:rPr>
        <w:t>8.0 RELATED DOCUMENTS</w:t>
      </w:r>
    </w:p>
    <w:p>
      <w:pPr>
        <w:keepNext/>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2658"/>
        <w:gridCol w:w="7808"/>
      </w:tblGrid>
      <w:tr>
        <w:trPr>
          <w:cantSplit/>
          <w:tblHeader w:val="true"/>
        </w:trPr>
        <w:tc>
          <w:tcPr>
            <w:shd w:val="clear" w:color="auto" w:fill="D9E2F3"/>
            <w:tcW w:type="dxa" w:w="2658"/>
          </w:tcPr>
          <w:p>
            <w:pPr>
              <w:keepNext/>
            </w:pPr>
            <w:r/>
            <w:r>
              <w:rPr>
                <w:rFonts w:ascii="Calibri" w:hAnsi="Calibri"/>
                <w:b/>
                <w:i w:val="0"/>
                <w:color w:val="000000"/>
                <w:sz w:val="22"/>
              </w:rPr>
              <w:t>Код</w:t>
            </w:r>
            <w:r>
              <w:rPr>
                <w:rFonts w:ascii="Calibri" w:hAnsi="Calibri"/>
                <w:b w:val="0"/>
                <w:i w:val="0"/>
                <w:color w:val="000000"/>
                <w:sz w:val="14"/>
              </w:rPr>
              <w:t xml:space="preserve"> | </w:t>
            </w:r>
            <w:r>
              <w:rPr>
                <w:rFonts w:ascii="Calibri" w:hAnsi="Calibri"/>
                <w:b/>
                <w:i w:val="0"/>
                <w:color w:val="000000"/>
                <w:sz w:val="14"/>
              </w:rPr>
              <w:t>Code</w:t>
            </w:r>
          </w:p>
        </w:tc>
        <w:tc>
          <w:tcPr>
            <w:shd w:val="clear" w:color="auto" w:fill="D9E2F3"/>
            <w:tcW w:type="dxa" w:w="7808"/>
          </w:tcPr>
          <w:p>
            <w:pPr>
              <w:keepNext/>
            </w:pPr>
            <w:r/>
            <w:r>
              <w:rPr>
                <w:rFonts w:ascii="Calibri" w:hAnsi="Calibri"/>
                <w:b/>
                <w:i w:val="0"/>
                <w:color w:val="000000"/>
                <w:sz w:val="22"/>
              </w:rPr>
              <w:t>Наслов</w:t>
            </w:r>
            <w:r>
              <w:rPr>
                <w:rFonts w:ascii="Calibri" w:hAnsi="Calibri"/>
                <w:b w:val="0"/>
                <w:i w:val="0"/>
                <w:color w:val="000000"/>
                <w:sz w:val="14"/>
              </w:rPr>
              <w:t xml:space="preserve"> | </w:t>
            </w:r>
            <w:r>
              <w:rPr>
                <w:rFonts w:ascii="Calibri" w:hAnsi="Calibri"/>
                <w:b/>
                <w:i w:val="0"/>
                <w:color w:val="000000"/>
                <w:sz w:val="14"/>
              </w:rPr>
              <w:t>Title</w:t>
            </w:r>
          </w:p>
        </w:tc>
      </w:tr>
      <w:tr>
        <w:trPr>
          <w:cantSplit/>
        </w:trPr>
        <w:tc>
          <w:tcPr>
            <w:tcW w:type="dxa" w:w="2658"/>
          </w:tcPr>
          <w:p>
            <w:pPr>
              <w:keepNext/>
            </w:pPr>
            <w:r/>
            <w:r>
              <w:rPr>
                <w:rFonts w:ascii="Calibri" w:hAnsi="Calibri"/>
                <w:b w:val="0"/>
                <w:i w:val="0"/>
                <w:color w:val="000000"/>
                <w:sz w:val="22"/>
              </w:rPr>
              <w:t>WHSOP_003</w:t>
            </w:r>
            <w:r>
              <w:rPr>
                <w:rFonts w:ascii="Calibri" w:hAnsi="Calibri"/>
                <w:b w:val="0"/>
                <w:i w:val="0"/>
                <w:color w:val="000000"/>
                <w:sz w:val="14"/>
              </w:rPr>
            </w:r>
          </w:p>
        </w:tc>
        <w:tc>
          <w:tcPr>
            <w:tcW w:type="dxa" w:w="7808"/>
          </w:tcPr>
          <w:p>
            <w:pPr>
              <w:keepNext/>
            </w:pPr>
            <w:r/>
            <w:r>
              <w:rPr>
                <w:rFonts w:ascii="Calibri" w:hAnsi="Calibri"/>
                <w:b w:val="0"/>
                <w:i w:val="0"/>
                <w:color w:val="000000"/>
                <w:sz w:val="22"/>
              </w:rPr>
              <w:t>Внатрешен транспорт на опојни дроги</w:t>
            </w:r>
            <w:r>
              <w:rPr>
                <w:rFonts w:ascii="Calibri" w:hAnsi="Calibri"/>
                <w:b w:val="0"/>
                <w:i w:val="0"/>
                <w:color w:val="000000"/>
                <w:sz w:val="14"/>
              </w:rPr>
              <w:t xml:space="preserve"> | </w:t>
            </w:r>
            <w:r>
              <w:rPr>
                <w:rFonts w:ascii="Calibri" w:hAnsi="Calibri"/>
                <w:b w:val="0"/>
                <w:i w:val="0"/>
                <w:color w:val="000000"/>
                <w:sz w:val="14"/>
              </w:rPr>
              <w:t>Inland Transport of Narcotic Drugs</w:t>
            </w:r>
          </w:p>
        </w:tc>
      </w:tr>
      <w:tr>
        <w:trPr>
          <w:cantSplit/>
        </w:trPr>
        <w:tc>
          <w:tcPr>
            <w:tcW w:type="dxa" w:w="2658"/>
          </w:tcPr>
          <w:p>
            <w:pPr>
              <w:keepNext/>
            </w:pPr>
            <w:r/>
            <w:r>
              <w:rPr>
                <w:rFonts w:ascii="Calibri" w:hAnsi="Calibri"/>
                <w:b w:val="0"/>
                <w:i w:val="0"/>
                <w:color w:val="000000"/>
                <w:sz w:val="22"/>
              </w:rPr>
              <w:t>WHSOP_002</w:t>
            </w:r>
            <w:r>
              <w:rPr>
                <w:rFonts w:ascii="Calibri" w:hAnsi="Calibri"/>
                <w:b w:val="0"/>
                <w:i w:val="0"/>
                <w:color w:val="000000"/>
                <w:sz w:val="14"/>
              </w:rPr>
            </w:r>
          </w:p>
        </w:tc>
        <w:tc>
          <w:tcPr>
            <w:tcW w:type="dxa" w:w="7808"/>
          </w:tcPr>
          <w:p>
            <w:pPr>
              <w:keepNext/>
            </w:pPr>
            <w:r/>
            <w:r>
              <w:rPr>
                <w:rFonts w:ascii="Calibri" w:hAnsi="Calibri"/>
                <w:b w:val="0"/>
                <w:i w:val="0"/>
                <w:color w:val="000000"/>
                <w:sz w:val="22"/>
              </w:rPr>
              <w:t>Транспорт, увоз, извоз и дистрибуција</w:t>
            </w:r>
            <w:r>
              <w:rPr>
                <w:rFonts w:ascii="Calibri" w:hAnsi="Calibri"/>
                <w:b w:val="0"/>
                <w:i w:val="0"/>
                <w:color w:val="000000"/>
                <w:sz w:val="14"/>
              </w:rPr>
              <w:t xml:space="preserve"> | </w:t>
            </w:r>
            <w:r>
              <w:rPr>
                <w:rFonts w:ascii="Calibri" w:hAnsi="Calibri"/>
                <w:b w:val="0"/>
                <w:i w:val="0"/>
                <w:color w:val="000000"/>
                <w:sz w:val="14"/>
              </w:rPr>
              <w:t>Transport, Import, Export and Distribution</w:t>
            </w:r>
          </w:p>
        </w:tc>
      </w:tr>
      <w:tr>
        <w:trPr>
          <w:cantSplit/>
        </w:trPr>
        <w:tc>
          <w:tcPr>
            <w:tcW w:type="dxa" w:w="2658"/>
          </w:tcPr>
          <w:p>
            <w:r/>
            <w:r>
              <w:rPr>
                <w:rFonts w:ascii="Calibri" w:hAnsi="Calibri"/>
                <w:b w:val="0"/>
                <w:i w:val="0"/>
                <w:color w:val="000000"/>
                <w:sz w:val="22"/>
              </w:rPr>
              <w:t>QAS-02.00</w:t>
            </w:r>
            <w:r>
              <w:rPr>
                <w:rFonts w:ascii="Calibri" w:hAnsi="Calibri"/>
                <w:b w:val="0"/>
                <w:i w:val="0"/>
                <w:color w:val="000000"/>
                <w:sz w:val="14"/>
              </w:rPr>
            </w:r>
          </w:p>
        </w:tc>
        <w:tc>
          <w:tcPr>
            <w:tcW w:type="dxa" w:w="7808"/>
          </w:tcPr>
          <w:p>
            <w:r/>
            <w:r>
              <w:rPr>
                <w:rFonts w:ascii="Calibri" w:hAnsi="Calibri"/>
                <w:b w:val="0"/>
                <w:i w:val="0"/>
                <w:color w:val="000000"/>
                <w:sz w:val="22"/>
              </w:rPr>
              <w:t>Validation Master Plan</w:t>
            </w:r>
            <w:r>
              <w:rPr>
                <w:rFonts w:ascii="Calibri" w:hAnsi="Calibri"/>
                <w:b w:val="0"/>
                <w:i w:val="0"/>
                <w:color w:val="000000"/>
                <w:sz w:val="14"/>
              </w:rPr>
            </w:r>
          </w:p>
        </w:tc>
      </w:tr>
      <w:tr>
        <w:trPr>
          <w:cantSplit/>
        </w:trPr>
        <w:tc>
          <w:tcPr>
            <w:tcW w:type="dxa" w:w="2658"/>
          </w:tcPr>
          <w:p>
            <w:r/>
            <w:r>
              <w:rPr>
                <w:rFonts w:ascii="Calibri" w:hAnsi="Calibri"/>
                <w:b w:val="0"/>
                <w:i w:val="0"/>
                <w:color w:val="000000"/>
                <w:sz w:val="22"/>
              </w:rPr>
              <w:t>QAS-03-001</w:t>
            </w:r>
            <w:r>
              <w:rPr>
                <w:rFonts w:ascii="Calibri" w:hAnsi="Calibri"/>
                <w:b w:val="0"/>
                <w:i w:val="0"/>
                <w:color w:val="000000"/>
                <w:sz w:val="14"/>
              </w:rPr>
            </w:r>
          </w:p>
        </w:tc>
        <w:tc>
          <w:tcPr>
            <w:tcW w:type="dxa" w:w="7808"/>
          </w:tcPr>
          <w:p>
            <w:r/>
            <w:r>
              <w:rPr>
                <w:rFonts w:ascii="Calibri" w:hAnsi="Calibri"/>
                <w:b w:val="0"/>
                <w:i w:val="0"/>
                <w:color w:val="000000"/>
                <w:sz w:val="22"/>
              </w:rPr>
              <w:t>Квалификација на опрема</w:t>
            </w:r>
            <w:r>
              <w:rPr>
                <w:rFonts w:ascii="Calibri" w:hAnsi="Calibri"/>
                <w:b w:val="0"/>
                <w:i w:val="0"/>
                <w:color w:val="000000"/>
                <w:sz w:val="14"/>
              </w:rPr>
              <w:t xml:space="preserve"> | </w:t>
            </w:r>
            <w:r>
              <w:rPr>
                <w:rFonts w:ascii="Calibri" w:hAnsi="Calibri"/>
                <w:b w:val="0"/>
                <w:i w:val="0"/>
                <w:color w:val="000000"/>
                <w:sz w:val="14"/>
              </w:rPr>
              <w:t>Equipment Qualification</w:t>
            </w:r>
          </w:p>
        </w:tc>
      </w:tr>
      <w:tr>
        <w:trPr>
          <w:cantSplit/>
        </w:trPr>
        <w:tc>
          <w:tcPr>
            <w:tcW w:type="dxa" w:w="2658"/>
          </w:tcPr>
          <w:p>
            <w:r/>
            <w:r>
              <w:rPr>
                <w:rFonts w:ascii="Calibri" w:hAnsi="Calibri"/>
                <w:b w:val="0"/>
                <w:i w:val="0"/>
                <w:color w:val="000000"/>
                <w:sz w:val="22"/>
              </w:rPr>
              <w:t>QAS-03-002</w:t>
            </w:r>
            <w:r>
              <w:rPr>
                <w:rFonts w:ascii="Calibri" w:hAnsi="Calibri"/>
                <w:b w:val="0"/>
                <w:i w:val="0"/>
                <w:color w:val="000000"/>
                <w:sz w:val="14"/>
              </w:rPr>
            </w:r>
          </w:p>
        </w:tc>
        <w:tc>
          <w:tcPr>
            <w:tcW w:type="dxa" w:w="7808"/>
          </w:tcPr>
          <w:p>
            <w:r/>
            <w:r>
              <w:rPr>
                <w:rFonts w:ascii="Calibri" w:hAnsi="Calibri"/>
                <w:b w:val="0"/>
                <w:i w:val="0"/>
                <w:color w:val="000000"/>
                <w:sz w:val="22"/>
              </w:rPr>
              <w:t>Валидација на компјутерски системи</w:t>
            </w:r>
            <w:r>
              <w:rPr>
                <w:rFonts w:ascii="Calibri" w:hAnsi="Calibri"/>
                <w:b w:val="0"/>
                <w:i w:val="0"/>
                <w:color w:val="000000"/>
                <w:sz w:val="14"/>
              </w:rPr>
              <w:t xml:space="preserve"> | </w:t>
            </w:r>
            <w:r>
              <w:rPr>
                <w:rFonts w:ascii="Calibri" w:hAnsi="Calibri"/>
                <w:b w:val="0"/>
                <w:i w:val="0"/>
                <w:color w:val="000000"/>
                <w:sz w:val="14"/>
              </w:rPr>
              <w:t>Computerised System Validation</w:t>
            </w:r>
          </w:p>
        </w:tc>
      </w:tr>
      <w:tr>
        <w:trPr>
          <w:cantSplit/>
        </w:trPr>
        <w:tc>
          <w:tcPr>
            <w:tcW w:type="dxa" w:w="2658"/>
          </w:tcPr>
          <w:p>
            <w:r/>
            <w:r>
              <w:rPr>
                <w:rFonts w:ascii="Calibri" w:hAnsi="Calibri"/>
                <w:b w:val="0"/>
                <w:i w:val="0"/>
                <w:color w:val="000000"/>
                <w:sz w:val="22"/>
              </w:rPr>
              <w:t>QAS-04-001</w:t>
            </w:r>
            <w:r>
              <w:rPr>
                <w:rFonts w:ascii="Calibri" w:hAnsi="Calibri"/>
                <w:b w:val="0"/>
                <w:i w:val="0"/>
                <w:color w:val="000000"/>
                <w:sz w:val="14"/>
              </w:rPr>
            </w:r>
          </w:p>
        </w:tc>
        <w:tc>
          <w:tcPr>
            <w:tcW w:type="dxa" w:w="7808"/>
          </w:tcPr>
          <w:p>
            <w:r/>
            <w:r>
              <w:rPr>
                <w:rFonts w:ascii="Calibri" w:hAnsi="Calibri"/>
                <w:b w:val="0"/>
                <w:i w:val="0"/>
                <w:color w:val="000000"/>
                <w:sz w:val="22"/>
              </w:rPr>
              <w:t>Управување со ризик</w:t>
            </w:r>
            <w:r>
              <w:rPr>
                <w:rFonts w:ascii="Calibri" w:hAnsi="Calibri"/>
                <w:b w:val="0"/>
                <w:i w:val="0"/>
                <w:color w:val="000000"/>
                <w:sz w:val="14"/>
              </w:rPr>
              <w:t xml:space="preserve"> | </w:t>
            </w:r>
            <w:r>
              <w:rPr>
                <w:rFonts w:ascii="Calibri" w:hAnsi="Calibri"/>
                <w:b w:val="0"/>
                <w:i w:val="0"/>
                <w:color w:val="000000"/>
                <w:sz w:val="14"/>
              </w:rPr>
              <w:t>Risk Management</w:t>
            </w:r>
          </w:p>
        </w:tc>
      </w:tr>
      <w:tr>
        <w:trPr>
          <w:cantSplit/>
        </w:trPr>
        <w:tc>
          <w:tcPr>
            <w:tcW w:type="dxa" w:w="2658"/>
          </w:tcPr>
          <w:p>
            <w:r/>
            <w:r>
              <w:rPr>
                <w:rFonts w:ascii="Calibri" w:hAnsi="Calibri"/>
                <w:b w:val="0"/>
                <w:i w:val="0"/>
                <w:color w:val="000000"/>
                <w:sz w:val="22"/>
              </w:rPr>
              <w:t>QAS-05-002</w:t>
            </w:r>
            <w:r>
              <w:rPr>
                <w:rFonts w:ascii="Calibri" w:hAnsi="Calibri"/>
                <w:b w:val="0"/>
                <w:i w:val="0"/>
                <w:color w:val="000000"/>
                <w:sz w:val="14"/>
              </w:rPr>
            </w:r>
          </w:p>
        </w:tc>
        <w:tc>
          <w:tcPr>
            <w:tcW w:type="dxa" w:w="7808"/>
          </w:tcPr>
          <w:p>
            <w:r/>
            <w:r>
              <w:rPr>
                <w:rFonts w:ascii="Calibri" w:hAnsi="Calibri"/>
                <w:b w:val="0"/>
                <w:i w:val="0"/>
                <w:color w:val="000000"/>
                <w:sz w:val="22"/>
              </w:rPr>
              <w:t>Отстапувања</w:t>
            </w:r>
            <w:r>
              <w:rPr>
                <w:rFonts w:ascii="Calibri" w:hAnsi="Calibri"/>
                <w:b w:val="0"/>
                <w:i w:val="0"/>
                <w:color w:val="000000"/>
                <w:sz w:val="14"/>
              </w:rPr>
              <w:t xml:space="preserve"> | </w:t>
            </w:r>
            <w:r>
              <w:rPr>
                <w:rFonts w:ascii="Calibri" w:hAnsi="Calibri"/>
                <w:b w:val="0"/>
                <w:i w:val="0"/>
                <w:color w:val="000000"/>
                <w:sz w:val="14"/>
              </w:rPr>
              <w:t>Deviations</w:t>
            </w:r>
          </w:p>
        </w:tc>
      </w:tr>
      <w:tr>
        <w:trPr>
          <w:cantSplit/>
        </w:trPr>
        <w:tc>
          <w:tcPr>
            <w:tcW w:type="dxa" w:w="2658"/>
          </w:tcPr>
          <w:p>
            <w:r/>
            <w:r>
              <w:rPr>
                <w:rFonts w:ascii="Calibri" w:hAnsi="Calibri"/>
                <w:b w:val="0"/>
                <w:i w:val="0"/>
                <w:color w:val="000000"/>
                <w:sz w:val="22"/>
              </w:rPr>
              <w:t>QAS-08-001</w:t>
            </w:r>
            <w:r>
              <w:rPr>
                <w:rFonts w:ascii="Calibri" w:hAnsi="Calibri"/>
                <w:b w:val="0"/>
                <w:i w:val="0"/>
                <w:color w:val="000000"/>
                <w:sz w:val="14"/>
              </w:rPr>
            </w:r>
          </w:p>
        </w:tc>
        <w:tc>
          <w:tcPr>
            <w:tcW w:type="dxa" w:w="7808"/>
          </w:tcPr>
          <w:p>
            <w:r/>
            <w:r>
              <w:rPr>
                <w:rFonts w:ascii="Calibri" w:hAnsi="Calibri"/>
                <w:b w:val="0"/>
                <w:i w:val="0"/>
                <w:color w:val="000000"/>
                <w:sz w:val="22"/>
              </w:rPr>
              <w:t>Контрола на промени</w:t>
            </w:r>
            <w:r>
              <w:rPr>
                <w:rFonts w:ascii="Calibri" w:hAnsi="Calibri"/>
                <w:b w:val="0"/>
                <w:i w:val="0"/>
                <w:color w:val="000000"/>
                <w:sz w:val="14"/>
              </w:rPr>
              <w:t xml:space="preserve"> | </w:t>
            </w:r>
            <w:r>
              <w:rPr>
                <w:rFonts w:ascii="Calibri" w:hAnsi="Calibri"/>
                <w:b w:val="0"/>
                <w:i w:val="0"/>
                <w:color w:val="000000"/>
                <w:sz w:val="14"/>
              </w:rPr>
              <w:t>Change Control</w:t>
            </w:r>
          </w:p>
        </w:tc>
      </w:tr>
      <w:tr>
        <w:trPr>
          <w:cantSplit/>
        </w:trPr>
        <w:tc>
          <w:tcPr>
            <w:tcW w:type="dxa" w:w="2658"/>
          </w:tcPr>
          <w:p>
            <w:r/>
            <w:r>
              <w:rPr>
                <w:rFonts w:ascii="Calibri" w:hAnsi="Calibri"/>
                <w:b w:val="0"/>
                <w:i w:val="0"/>
                <w:color w:val="000000"/>
                <w:sz w:val="22"/>
              </w:rPr>
              <w:t>EQU-02-001</w:t>
            </w:r>
            <w:r>
              <w:rPr>
                <w:rFonts w:ascii="Calibri" w:hAnsi="Calibri"/>
                <w:b w:val="0"/>
                <w:i w:val="0"/>
                <w:color w:val="000000"/>
                <w:sz w:val="14"/>
              </w:rPr>
            </w:r>
          </w:p>
        </w:tc>
        <w:tc>
          <w:tcPr>
            <w:tcW w:type="dxa" w:w="7808"/>
          </w:tcPr>
          <w:p>
            <w:r/>
            <w:r>
              <w:rPr>
                <w:rFonts w:ascii="Calibri" w:hAnsi="Calibri"/>
                <w:b w:val="0"/>
                <w:i w:val="0"/>
                <w:color w:val="000000"/>
                <w:sz w:val="22"/>
              </w:rPr>
              <w:t>Одржување и калибрација</w:t>
            </w:r>
            <w:r>
              <w:rPr>
                <w:rFonts w:ascii="Calibri" w:hAnsi="Calibri"/>
                <w:b w:val="0"/>
                <w:i w:val="0"/>
                <w:color w:val="000000"/>
                <w:sz w:val="14"/>
              </w:rPr>
              <w:t xml:space="preserve"> | </w:t>
            </w:r>
            <w:r>
              <w:rPr>
                <w:rFonts w:ascii="Calibri" w:hAnsi="Calibri"/>
                <w:b w:val="0"/>
                <w:i w:val="0"/>
                <w:color w:val="000000"/>
                <w:sz w:val="14"/>
              </w:rPr>
              <w:t>Maintenance and Calibration</w:t>
            </w:r>
          </w:p>
        </w:tc>
      </w:tr>
    </w:tbl>
    <w:p>
      <w:pPr>
        <w:keepNext/>
        <w:spacing w:before="0" w:after="0" w:lineRule="exact" w:line="200"/>
      </w:pPr>
    </w:p>
    <w:p>
      <w:pPr>
        <w:pStyle w:val="Heading1"/>
        <w:keepNext/>
        <w:tabs>
          <w:tab w:pos="5233" w:val="left"/>
        </w:tabs>
        <w:spacing w:before="60" w:after="60"/>
        <w:ind w:left="130" w:right="130"/>
        <w:shd w:val="clear" w:color="auto" w:fill="E8E8E8"/>
      </w:pPr>
      <w:r>
        <w:rPr>
          <w:rFonts w:ascii="Calibri" w:hAnsi="Calibri"/>
          <w:b/>
          <w:i w:val="0"/>
          <w:color w:val="000000"/>
          <w:sz w:val="24"/>
        </w:rPr>
        <w:t>9.0 РЕВИЗИЈА</w:t>
      </w:r>
      <w:r>
        <w:rPr>
          <w:rFonts w:ascii="Calibri" w:hAnsi="Calibri"/>
          <w:b w:val="0"/>
          <w:i w:val="0"/>
          <w:color w:val="000000"/>
          <w:sz w:val="24"/>
        </w:rPr>
        <w:tab/>
      </w:r>
      <w:r>
        <w:rPr>
          <w:rFonts w:ascii="Calibri" w:hAnsi="Calibri"/>
          <w:b/>
          <w:i w:val="0"/>
          <w:color w:val="595959"/>
          <w:sz w:val="24"/>
        </w:rPr>
        <w:t>9.0 REVISION</w:t>
      </w:r>
    </w:p>
    <w:p>
      <w:pPr>
        <w:keepNext/>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2974"/>
        <w:gridCol w:w="1474"/>
        <w:gridCol w:w="6017"/>
      </w:tblGrid>
      <w:tr>
        <w:trPr>
          <w:cantSplit/>
          <w:tblHeader w:val="true"/>
        </w:trPr>
        <w:tc>
          <w:tcPr>
            <w:shd w:val="clear" w:color="auto" w:fill="D9E2F3"/>
            <w:tcW w:type="dxa" w:w="2974"/>
          </w:tcPr>
          <w:p>
            <w:pPr>
              <w:keepNext/>
            </w:pPr>
            <w:r/>
            <w:r>
              <w:rPr>
                <w:rFonts w:ascii="Calibri" w:hAnsi="Calibri"/>
                <w:b/>
                <w:i w:val="0"/>
                <w:color w:val="000000"/>
                <w:sz w:val="22"/>
              </w:rPr>
              <w:t>Верзија</w:t>
            </w:r>
            <w:r>
              <w:rPr>
                <w:rFonts w:ascii="Calibri" w:hAnsi="Calibri"/>
                <w:b w:val="0"/>
                <w:i w:val="0"/>
                <w:color w:val="000000"/>
                <w:sz w:val="14"/>
              </w:rPr>
              <w:t xml:space="preserve"> | </w:t>
            </w:r>
            <w:r>
              <w:rPr>
                <w:rFonts w:ascii="Calibri" w:hAnsi="Calibri"/>
                <w:b/>
                <w:i w:val="0"/>
                <w:color w:val="000000"/>
                <w:sz w:val="14"/>
              </w:rPr>
              <w:t>Version</w:t>
            </w:r>
          </w:p>
        </w:tc>
        <w:tc>
          <w:tcPr>
            <w:shd w:val="clear" w:color="auto" w:fill="D9E2F3"/>
            <w:tcW w:type="dxa" w:w="1474"/>
          </w:tcPr>
          <w:p>
            <w:pPr>
              <w:keepNext/>
            </w:pPr>
            <w:r/>
            <w:r>
              <w:rPr>
                <w:rFonts w:ascii="Calibri" w:hAnsi="Calibri"/>
                <w:b/>
                <w:i w:val="0"/>
                <w:color w:val="000000"/>
                <w:sz w:val="22"/>
              </w:rPr>
              <w:t>Датум</w:t>
            </w:r>
            <w:r>
              <w:rPr>
                <w:rFonts w:ascii="Calibri" w:hAnsi="Calibri"/>
                <w:b w:val="0"/>
                <w:i w:val="0"/>
                <w:color w:val="000000"/>
                <w:sz w:val="14"/>
              </w:rPr>
              <w:t xml:space="preserve"> | </w:t>
            </w:r>
            <w:r>
              <w:rPr>
                <w:rFonts w:ascii="Calibri" w:hAnsi="Calibri"/>
                <w:b/>
                <w:i w:val="0"/>
                <w:color w:val="000000"/>
                <w:sz w:val="14"/>
              </w:rPr>
              <w:t>Date</w:t>
            </w:r>
          </w:p>
        </w:tc>
        <w:tc>
          <w:tcPr>
            <w:shd w:val="clear" w:color="auto" w:fill="D9E2F3"/>
            <w:tcW w:type="dxa" w:w="6017"/>
          </w:tcPr>
          <w:p>
            <w:pPr>
              <w:keepNext/>
            </w:pPr>
            <w:r/>
            <w:r>
              <w:rPr>
                <w:rFonts w:ascii="Calibri" w:hAnsi="Calibri"/>
                <w:b/>
                <w:i w:val="0"/>
                <w:color w:val="000000"/>
                <w:sz w:val="22"/>
              </w:rPr>
              <w:t>Опис на измени</w:t>
            </w:r>
            <w:r>
              <w:rPr>
                <w:rFonts w:ascii="Calibri" w:hAnsi="Calibri"/>
                <w:b w:val="0"/>
                <w:i w:val="0"/>
                <w:color w:val="000000"/>
                <w:sz w:val="14"/>
              </w:rPr>
              <w:t xml:space="preserve"> | </w:t>
            </w:r>
            <w:r>
              <w:rPr>
                <w:rFonts w:ascii="Calibri" w:hAnsi="Calibri"/>
                <w:b/>
                <w:i w:val="0"/>
                <w:color w:val="000000"/>
                <w:sz w:val="14"/>
              </w:rPr>
              <w:t>Description of changes</w:t>
            </w:r>
          </w:p>
        </w:tc>
      </w:tr>
      <w:tr>
        <w:trPr>
          <w:cantSplit/>
        </w:trPr>
        <w:tc>
          <w:tcPr>
            <w:tcW w:type="dxa" w:w="2974"/>
          </w:tcPr>
          <w:p>
            <w:r/>
            <w:r>
              <w:rPr>
                <w:rFonts w:ascii="Calibri" w:hAnsi="Calibri"/>
                <w:b w:val="0"/>
                <w:i w:val="0"/>
                <w:color w:val="000000"/>
                <w:sz w:val="22"/>
              </w:rPr>
              <w:t>01</w:t>
            </w:r>
            <w:r>
              <w:rPr>
                <w:rFonts w:ascii="Calibri" w:hAnsi="Calibri"/>
                <w:b w:val="0"/>
                <w:i w:val="0"/>
                <w:color w:val="000000"/>
                <w:sz w:val="14"/>
              </w:rPr>
            </w:r>
          </w:p>
        </w:tc>
        <w:tc>
          <w:tcPr>
            <w:tcW w:type="dxa" w:w="1474"/>
          </w:tcPr>
          <w:p>
            <w:r/>
            <w:r>
              <w:rPr>
                <w:rFonts w:ascii="Calibri" w:hAnsi="Calibri"/>
                <w:b w:val="0"/>
                <w:i w:val="0"/>
                <w:color w:val="000000"/>
                <w:sz w:val="22"/>
              </w:rPr>
            </w:r>
            <w:r>
              <w:rPr>
                <w:rFonts w:ascii="Calibri" w:hAnsi="Calibri"/>
                <w:b w:val="0"/>
                <w:i w:val="0"/>
                <w:color w:val="000000"/>
                <w:sz w:val="14"/>
              </w:rPr>
            </w:r>
          </w:p>
        </w:tc>
        <w:tc>
          <w:tcPr>
            <w:tcW w:type="dxa" w:w="6017"/>
          </w:tcPr>
          <w:p>
            <w:r/>
            <w:r>
              <w:rPr>
                <w:rFonts w:ascii="Calibri" w:hAnsi="Calibri"/>
                <w:b w:val="0"/>
                <w:i w:val="0"/>
                <w:color w:val="000000"/>
                <w:sz w:val="22"/>
              </w:rPr>
              <w:t>Нова СОП.</w:t>
            </w:r>
            <w:r>
              <w:rPr>
                <w:rFonts w:ascii="Calibri" w:hAnsi="Calibri"/>
                <w:b w:val="0"/>
                <w:i w:val="0"/>
                <w:color w:val="000000"/>
                <w:sz w:val="14"/>
              </w:rPr>
              <w:t xml:space="preserve"> | </w:t>
            </w:r>
            <w:r>
              <w:rPr>
                <w:rFonts w:ascii="Calibri" w:hAnsi="Calibri"/>
                <w:b w:val="0"/>
                <w:i w:val="0"/>
                <w:color w:val="000000"/>
                <w:sz w:val="14"/>
              </w:rPr>
              <w:t>New SOP.</w:t>
            </w:r>
          </w:p>
        </w:tc>
      </w:tr>
    </w:tbl>
    <w:sectPr w:rsidR="00433AE1" w:rsidRPr="00E10D5A" w:rsidSect="00522430">
      <w:headerReference w:type="default" r:id="rId7"/>
      <w:footerReference w:type="default" r:id="rId8"/>
      <w:pgSz w:w="11906" w:h="16838" w:code="9"/>
      <w:pgMar w:top="540" w:right="720" w:bottom="630" w:left="720" w:header="56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vAlign w:val="center"/>
        </w:tcPr>
        <w:p w14:paraId="1CC0778B" w14:textId="77777777" w:rsidR="0034733B" w:rsidRPr="00BB324F" w:rsidRDefault="00000000" w:rsidP="005D26C6">
          <w:pPr>
            <w:tabs>
              <w:tab w:val="center" w:pos="4513"/>
              <w:tab w:val="right" w:pos="9026"/>
            </w:tabs>
            <w:spacing w:line="192" w:lineRule="auto"/>
            <w:contextualSpacing/>
            <w:jc w:val="center"/>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Валидација на транспорт — квалификација на транспортни рути (OQ/PQ)</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r>
          <w:r w:rsidR="002325F2">
            <w:rPr>
              <w:rFonts w:ascii="Arial Narrow" w:hAnsi="Arial Narrow" w:cs="Arial Narrow"/>
              <w:sz w:val="24"/>
              <w:szCs w:val="24"/>
            </w:rPr>
          </w:r>
          <w:r w:rsidRPr="002325F2">
            <w:rPr>
              <w:rFonts w:ascii="Arial Narrow" w:hAnsi="Arial Narrow" w:cs="Arial Narrow"/>
            </w:rPr>
            <w:t>Transport Validation — Qualification of Transport Lanes (OQ/PQ)</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22"/>
              <w:szCs w:val="24"/>
            </w:rPr>
            <w:t>QASOP_0XX</w:t>
          </w:r>
          <w:r>
            <w:rPr>
              <w:rFonts w:ascii="Calibri" w:hAnsi="Calibri" w:cs="Calibri"/>
              <w:b/>
              <w:sz w:val="18"/>
            </w:rPr>
            <w:b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DRAFT</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