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WHSOP_003 · DRAFT</w:t>
      </w:r>
    </w:p>
    <w:p>
      <w:pPr>
        <w:spacing w:before="80" w:after="160"/>
        <w:jc w:val="center"/>
      </w:pPr>
      <w:r>
        <w:rPr>
          <w:rFonts w:ascii="Calibri" w:hAnsi="Calibri"/>
          <w:b/>
          <w:i w:val="0"/>
          <w:color w:val="000000"/>
          <w:sz w:val="24"/>
        </w:rPr>
        <w:t>Внатрешен (копнен) транспорт на опојни дроги — медицински канабис</w:t>
      </w:r>
      <w:r>
        <w:rPr>
          <w:rFonts w:ascii="Calibri" w:hAnsi="Calibri"/>
          <w:b w:val="0"/>
          <w:i w:val="0"/>
          <w:color w:val="595959"/>
          <w:sz w:val="20"/>
        </w:rPr>
        <w:t xml:space="preserve"> | </w:t>
      </w:r>
      <w:r>
        <w:rPr>
          <w:rFonts w:ascii="Calibri" w:hAnsi="Calibri"/>
          <w:b/>
          <w:i w:val="0"/>
          <w:color w:val="595959"/>
          <w:sz w:val="24"/>
        </w:rPr>
        <w:t>Inland Transport of Narcotic Drugs (Euphoric Substances) — Medical Cannabis</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r>
        <w:fldChar w:fldCharType="begin"/>
        <w:instrText xml:space="preserve"> TOC \o "1-3" \h \z \u </w:instrText>
        <w:fldChar w:fldCharType="separate"/>
      </w:r>
      <w:r>
        <w:t xml:space="preserve"> </w:t>
      </w:r>
      <w:r>
        <w:fldChar w:fldCharType="end"/>
      </w:r>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1.0 ЦЕЛ</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1.0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стандардна оперативна процедура (СОП) е да ги пропише активностите, одговорностите и контролите со кои секое движење на опојни дроги (медицински канабис во сите негови форми) по копнен (друмски) пат во рамките на Република Северна Македонија се изведува безбедно, под полициско придружување од Министерството за внатрешни работи, во пропишаните услови на температура и влага, со непрекинат ланец на надзор и со целосна следливост од испраќач до примач.</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Standard Operating Procedure (SOP) is to prescribe the activities, responsibilities and controls by which every movement of narcotic drugs (medical cannabis in all its forms) by inland (road) transport within the Republic of North Macedonia is performed safely, under police escort by the Ministry of Interior Affairs, within the prescribed temperature and humidity conditions, with an unbroken chain of custody and with complete traceability from consignor to consignee.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обезбедува: (а) интегритет на материјалот преку контролирано пакување на палети, означување и следење на условите; (б) безбедност и непрекинат ланец на надзор; (в) усогласеност со националните прописи за контрола на опојни дроги, вклучувајќи го барањето за полициско придружување и известувањето до Министерството за внатрешни работи и известувањето по транспортот до Министерството за здравство; и (г) следливост на секоја кеса, картон и палета до серијата, барањето и транспортниот настан, со систем целосно на хартија.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ensures: (a) integrity of the material through controlled palletised packaging, labelling and condition monitoring; (b) security and an unbroken chain of custody; (c) compliance with the national narcotic-control regulations, including the request for police escort and notification to the Ministry of Interior Affairs and the post-transport notification to the Ministry of Health; and (d) traceability of every bag, carton and pallet to its batch, request and transport event, with an entirely paper-based system.</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2.0 ПОДРАЧЈЕ НА ПРИМЕНА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2.0 SCOPE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се применува на сите домашни копнени движења на опојни дроги на Пјурли Плант ДООЕЛ Скопје, извршени со транспортното возило одредено во TRA, од овластен персонал на Пјурли Плант и под придружба на полициски службеници на Министерството за внатрешни работи: (1) меѓупроизвод (ринфуз во кеси) и готов производ (сув цвет од канабис) до домашни примачи со дозвола; (2) пропагационен материјал (клонови и семе) меѓу локации; (3) последната делница по царинско ослободување до локацијата; и (4) отпад од канабис до овластено место за уништување.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applies to all domestic inland movements of narcotic drugs by Purely Plant DOOEL Skopje performed with the transport vehicle designated in the TRA, by authorised Purely Plant personnel and under escort by police officers of the Ministry of Interior Affairs: (1) intermediate (bulk in bags) and finished product (dried cannabis flower) to licensed domestic consignees; (2) propagation material (clones and seeds) between sites; (3) the final leg after customs clearance to the site; and (4) cannabis waste to an authorised destruction site.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ги опфаќа: планирањето и процената на ризик, барањето за полициско придружување, пакувањето на палети, означувањето и листите на пакување, поставувањето на логерите, отпремата и ланецот на надзор, контролата во транзит, приемот, порамнувањето, известувањето по транспортот, архивирањето и управувањето со отстапувања.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covers: planning and risk assessment, the request for police escort, palletised packaging, labelling and packing lists, logger placement, dispatch and chain of custody, in-transit control, receipt, reconciliation, post-transport notification, archiving and deviation management.</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2.2 Исклучоци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не ги опфаќа: увозот и извозот (вклучително авио-транспорт и постапката во царински магацин), кои се регулирани со WHSOP_002; транспортот на мостри за контрола на квалитет до надворешни (договорни) лаборатории, регулиран со посебната СОП PP-QC-SOP-025; интерното движење на материјали во рамките на локацијата (WHSOP 001); и валидацијата на транспортните рути, возила и пакувања, која е регулирана со QASOP_0XX. Ангажирање на приватна обезбедувачка компанија не е предвидено со оваа СОП.</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does not cover: import and export (including air freight and the bonded-warehouse procedure), governed by WHSOP_002; the transport of quality-control samples to external (contracted) laboratories, governed by the separate SOP PP-QC-SOP-025; internal movement of materials within the site (WHSOP 001); and the validation of transport lanes, vehicles and packaging, governed by QASOP_0XX. The engagement of a private security company is not provided for by this SOP.</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2.3 Future Scope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Опсегот може да се прошири на нови возила, на нови форми на производ (екстракти, готови дозирани форми), на нови конфигурации на пакување, на нови рути и на електронски систем за следење, преку контрола на промени, ревизија на оваа СОП и квалификација согласно QASOP_0XX пред првата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scope may be extended to new vehicles, new product forms (extracts, finished dosage forms), new packaging configurations, new lanes and an electronic tracking system, through change control, revision of this SOP and qualification per QASOP_0XX before first use.</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3.0 ОДГОВОРНОСТИ</w:t>
      </w:r>
      <w:r>
        <w:rPr>
          <w:rFonts w:ascii="Calibri" w:hAnsi="Calibri"/>
          <w:b w:val="0"/>
          <w:i w:val="0"/>
          <w:color w:val="000000"/>
          <w:sz w:val="24"/>
        </w:rPr>
        <w:tab/>
      </w:r>
      <w:r>
        <w:rPr>
          <w:rFonts w:ascii="Calibri" w:hAnsi="Calibri"/>
          <w:b/>
          <w:i w:val="0"/>
          <w:color w:val="595959"/>
          <w:sz w:val="24"/>
        </w:rPr>
        <w:t>3.0 RESPONSIBILITIES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3670"/>
        <w:gridCol w:w="510"/>
        <w:gridCol w:w="547"/>
        <w:gridCol w:w="1500"/>
        <w:gridCol w:w="1196"/>
        <w:gridCol w:w="1343"/>
        <w:gridCol w:w="1187"/>
        <w:gridCol w:w="510"/>
      </w:tblGrid>
      <w:tr>
        <w:trPr>
          <w:cantSplit/>
          <w:tblHeader w:val="true"/>
        </w:trPr>
        <w:tc>
          <w:tcPr>
            <w:shd w:val="clear" w:color="auto" w:fill="D9E2F3"/>
            <w:tcW w:type="dxa" w:w="3670"/>
          </w:tcPr>
          <w:p>
            <w:pPr>
              <w:keepNext/>
            </w:pPr>
            <w:r/>
            <w:r>
              <w:rPr>
                <w:rFonts w:ascii="Calibri" w:hAnsi="Calibri"/>
                <w:b/>
                <w:i w:val="0"/>
                <w:color w:val="000000"/>
                <w:sz w:val="18"/>
              </w:rPr>
              <w:t>Активност</w:t>
            </w:r>
            <w:r>
              <w:rPr>
                <w:rFonts w:ascii="Calibri" w:hAnsi="Calibri"/>
                <w:b w:val="0"/>
                <w:i w:val="0"/>
                <w:color w:val="000000"/>
                <w:sz w:val="14"/>
              </w:rPr>
              <w:t xml:space="preserve"> | </w:t>
            </w:r>
            <w:r>
              <w:rPr>
                <w:rFonts w:ascii="Calibri" w:hAnsi="Calibri"/>
                <w:b/>
                <w:i w:val="0"/>
                <w:color w:val="000000"/>
                <w:sz w:val="14"/>
              </w:rPr>
              <w:t>Activity</w:t>
            </w:r>
          </w:p>
        </w:tc>
        <w:tc>
          <w:tcPr>
            <w:shd w:val="clear" w:color="auto" w:fill="D9E2F3"/>
            <w:tcW w:type="dxa" w:w="510"/>
          </w:tcPr>
          <w:p>
            <w:pPr>
              <w:keepNext/>
            </w:pPr>
            <w:r/>
            <w:r>
              <w:rPr>
                <w:rFonts w:ascii="Calibri" w:hAnsi="Calibri"/>
                <w:b/>
                <w:i w:val="0"/>
                <w:color w:val="000000"/>
                <w:sz w:val="18"/>
              </w:rPr>
              <w:t>КК</w:t>
            </w:r>
            <w:r>
              <w:rPr>
                <w:rFonts w:ascii="Calibri" w:hAnsi="Calibri"/>
                <w:b w:val="0"/>
                <w:i w:val="0"/>
                <w:color w:val="000000"/>
                <w:sz w:val="14"/>
              </w:rPr>
              <w:t xml:space="preserve"> | </w:t>
            </w:r>
            <w:r>
              <w:rPr>
                <w:rFonts w:ascii="Calibri" w:hAnsi="Calibri"/>
                <w:b/>
                <w:i w:val="0"/>
                <w:color w:val="000000"/>
                <w:sz w:val="14"/>
              </w:rPr>
              <w:t>QC</w:t>
            </w:r>
          </w:p>
        </w:tc>
        <w:tc>
          <w:tcPr>
            <w:shd w:val="clear" w:color="auto" w:fill="D9E2F3"/>
            <w:tcW w:type="dxa" w:w="547"/>
          </w:tcPr>
          <w:p>
            <w:pPr>
              <w:keepNext/>
            </w:pPr>
            <w:r/>
            <w:r>
              <w:rPr>
                <w:rFonts w:ascii="Calibri" w:hAnsi="Calibri"/>
                <w:b/>
                <w:i w:val="0"/>
                <w:color w:val="000000"/>
                <w:sz w:val="18"/>
              </w:rPr>
              <w:t>QA</w:t>
            </w:r>
            <w:r>
              <w:rPr>
                <w:rFonts w:ascii="Calibri" w:hAnsi="Calibri"/>
                <w:b/>
                <w:i w:val="0"/>
                <w:color w:val="000000"/>
                <w:sz w:val="14"/>
              </w:rPr>
            </w:r>
          </w:p>
        </w:tc>
        <w:tc>
          <w:tcPr>
            <w:shd w:val="clear" w:color="auto" w:fill="D9E2F3"/>
            <w:tcW w:type="dxa" w:w="1500"/>
          </w:tcPr>
          <w:p>
            <w:pPr>
              <w:keepNext/>
            </w:pPr>
            <w:r/>
            <w:r>
              <w:rPr>
                <w:rFonts w:ascii="Calibri" w:hAnsi="Calibri"/>
                <w:b/>
                <w:i w:val="0"/>
                <w:color w:val="000000"/>
                <w:sz w:val="18"/>
              </w:rPr>
              <w:t>Обезбедување</w:t>
            </w:r>
            <w:r>
              <w:rPr>
                <w:rFonts w:ascii="Calibri" w:hAnsi="Calibri"/>
                <w:b w:val="0"/>
                <w:i w:val="0"/>
                <w:color w:val="000000"/>
                <w:sz w:val="14"/>
              </w:rPr>
              <w:t xml:space="preserve"> | </w:t>
            </w:r>
            <w:r>
              <w:rPr>
                <w:rFonts w:ascii="Calibri" w:hAnsi="Calibri"/>
                <w:b/>
                <w:i w:val="0"/>
                <w:color w:val="000000"/>
                <w:sz w:val="14"/>
              </w:rPr>
              <w:t>Security</w:t>
            </w:r>
          </w:p>
        </w:tc>
        <w:tc>
          <w:tcPr>
            <w:shd w:val="clear" w:color="auto" w:fill="D9E2F3"/>
            <w:tcW w:type="dxa" w:w="1196"/>
          </w:tcPr>
          <w:p>
            <w:pPr>
              <w:keepNext/>
            </w:pPr>
            <w:r/>
            <w:r>
              <w:rPr>
                <w:rFonts w:ascii="Calibri" w:hAnsi="Calibri"/>
                <w:b/>
                <w:i w:val="0"/>
                <w:color w:val="000000"/>
                <w:sz w:val="18"/>
              </w:rPr>
              <w:t>Логистика</w:t>
            </w:r>
            <w:r>
              <w:rPr>
                <w:rFonts w:ascii="Calibri" w:hAnsi="Calibri"/>
                <w:b w:val="0"/>
                <w:i w:val="0"/>
                <w:color w:val="000000"/>
                <w:sz w:val="14"/>
              </w:rPr>
              <w:t xml:space="preserve"> | </w:t>
            </w:r>
            <w:r>
              <w:rPr>
                <w:rFonts w:ascii="Calibri" w:hAnsi="Calibri"/>
                <w:b/>
                <w:i w:val="0"/>
                <w:color w:val="000000"/>
                <w:sz w:val="14"/>
              </w:rPr>
              <w:t>Logistics</w:t>
            </w:r>
          </w:p>
        </w:tc>
        <w:tc>
          <w:tcPr>
            <w:shd w:val="clear" w:color="auto" w:fill="D9E2F3"/>
            <w:tcW w:type="dxa" w:w="1343"/>
          </w:tcPr>
          <w:p>
            <w:pPr>
              <w:keepNext/>
            </w:pPr>
            <w:r/>
            <w:r>
              <w:rPr>
                <w:rFonts w:ascii="Calibri" w:hAnsi="Calibri"/>
                <w:b/>
                <w:i w:val="0"/>
                <w:color w:val="000000"/>
                <w:sz w:val="18"/>
              </w:rPr>
              <w:t>Возач и придружник</w:t>
            </w:r>
            <w:r>
              <w:rPr>
                <w:rFonts w:ascii="Calibri" w:hAnsi="Calibri"/>
                <w:b w:val="0"/>
                <w:i w:val="0"/>
                <w:color w:val="000000"/>
                <w:sz w:val="14"/>
              </w:rPr>
              <w:t xml:space="preserve"> | </w:t>
            </w:r>
            <w:r>
              <w:rPr>
                <w:rFonts w:ascii="Calibri" w:hAnsi="Calibri"/>
                <w:b/>
                <w:i w:val="0"/>
                <w:color w:val="000000"/>
                <w:sz w:val="14"/>
              </w:rPr>
              <w:t>Driver and escort person</w:t>
            </w:r>
          </w:p>
        </w:tc>
        <w:tc>
          <w:tcPr>
            <w:shd w:val="clear" w:color="auto" w:fill="D9E2F3"/>
            <w:tcW w:type="dxa" w:w="1187"/>
          </w:tcPr>
          <w:p>
            <w:pPr>
              <w:keepNext/>
            </w:pPr>
            <w:r/>
            <w:r>
              <w:rPr>
                <w:rFonts w:ascii="Calibri" w:hAnsi="Calibri"/>
                <w:b/>
                <w:i w:val="0"/>
                <w:color w:val="000000"/>
                <w:sz w:val="18"/>
              </w:rPr>
              <w:t>Примач</w:t>
            </w:r>
            <w:r>
              <w:rPr>
                <w:rFonts w:ascii="Calibri" w:hAnsi="Calibri"/>
                <w:b w:val="0"/>
                <w:i w:val="0"/>
                <w:color w:val="000000"/>
                <w:sz w:val="14"/>
              </w:rPr>
              <w:t xml:space="preserve"> | </w:t>
            </w:r>
            <w:r>
              <w:rPr>
                <w:rFonts w:ascii="Calibri" w:hAnsi="Calibri"/>
                <w:b/>
                <w:i w:val="0"/>
                <w:color w:val="000000"/>
                <w:sz w:val="14"/>
              </w:rPr>
              <w:t>Consignee</w:t>
            </w:r>
          </w:p>
        </w:tc>
        <w:tc>
          <w:tcPr>
            <w:shd w:val="clear" w:color="auto" w:fill="D9E2F3"/>
            <w:tcW w:type="dxa" w:w="510"/>
          </w:tcPr>
          <w:p>
            <w:pPr>
              <w:keepNext/>
            </w:pPr>
            <w:r/>
            <w:r>
              <w:rPr>
                <w:rFonts w:ascii="Calibri" w:hAnsi="Calibri"/>
                <w:b/>
                <w:i w:val="0"/>
                <w:color w:val="000000"/>
                <w:sz w:val="18"/>
              </w:rPr>
              <w:t>QP</w:t>
            </w:r>
            <w:r>
              <w:rPr>
                <w:rFonts w:ascii="Calibri" w:hAnsi="Calibri"/>
                <w:b/>
                <w:i w:val="0"/>
                <w:color w:val="000000"/>
                <w:sz w:val="14"/>
              </w:rPr>
            </w:r>
          </w:p>
        </w:tc>
      </w:tr>
      <w:tr>
        <w:trPr>
          <w:cantSplit/>
        </w:trPr>
        <w:tc>
          <w:tcPr>
            <w:tcW w:type="dxa" w:w="3670"/>
          </w:tcPr>
          <w:p>
            <w:pPr>
              <w:keepNext/>
            </w:pPr>
            <w:r/>
            <w:r>
              <w:rPr>
                <w:rFonts w:ascii="Calibri" w:hAnsi="Calibri"/>
                <w:b w:val="0"/>
                <w:i w:val="0"/>
                <w:color w:val="000000"/>
                <w:sz w:val="18"/>
              </w:rPr>
              <w:t>Планирање и TRA</w:t>
            </w:r>
            <w:r>
              <w:rPr>
                <w:rFonts w:ascii="Calibri" w:hAnsi="Calibri"/>
                <w:b w:val="0"/>
                <w:i w:val="0"/>
                <w:color w:val="000000"/>
                <w:sz w:val="14"/>
              </w:rPr>
              <w:t xml:space="preserve"> | </w:t>
            </w:r>
            <w:r>
              <w:rPr>
                <w:rFonts w:ascii="Calibri" w:hAnsi="Calibri"/>
                <w:b w:val="0"/>
                <w:i w:val="0"/>
                <w:color w:val="000000"/>
                <w:sz w:val="14"/>
              </w:rPr>
              <w:t>Planning and TRA</w:t>
            </w:r>
          </w:p>
        </w:tc>
        <w:tc>
          <w:tcPr>
            <w:tcW w:type="dxa" w:w="510"/>
          </w:tcPr>
          <w:p>
            <w:pPr>
              <w:keepNext/>
            </w:pPr>
            <w:r/>
            <w:r>
              <w:rPr>
                <w:rFonts w:ascii="Calibri" w:hAnsi="Calibri"/>
                <w:b w:val="0"/>
                <w:i w:val="0"/>
                <w:color w:val="000000"/>
                <w:sz w:val="18"/>
              </w:rPr>
              <w:t>C</w:t>
            </w:r>
            <w:r>
              <w:rPr>
                <w:rFonts w:ascii="Calibri" w:hAnsi="Calibri"/>
                <w:b w:val="0"/>
                <w:i w:val="0"/>
                <w:color w:val="000000"/>
                <w:sz w:val="14"/>
              </w:rPr>
            </w:r>
          </w:p>
        </w:tc>
        <w:tc>
          <w:tcPr>
            <w:tcW w:type="dxa" w:w="547"/>
          </w:tcPr>
          <w:p>
            <w:pPr>
              <w:keepNext/>
            </w:pPr>
            <w:r/>
            <w:r>
              <w:rPr>
                <w:rFonts w:ascii="Calibri" w:hAnsi="Calibri"/>
                <w:b w:val="0"/>
                <w:i w:val="0"/>
                <w:color w:val="000000"/>
                <w:sz w:val="18"/>
              </w:rPr>
              <w:t>A</w:t>
            </w:r>
            <w:r>
              <w:rPr>
                <w:rFonts w:ascii="Calibri" w:hAnsi="Calibri"/>
                <w:b w:val="0"/>
                <w:i w:val="0"/>
                <w:color w:val="000000"/>
                <w:sz w:val="14"/>
              </w:rPr>
            </w:r>
          </w:p>
        </w:tc>
        <w:tc>
          <w:tcPr>
            <w:tcW w:type="dxa" w:w="1500"/>
          </w:tcPr>
          <w:p>
            <w:pPr>
              <w:keepNext/>
            </w:pPr>
            <w:r/>
            <w:r>
              <w:rPr>
                <w:rFonts w:ascii="Calibri" w:hAnsi="Calibri"/>
                <w:b w:val="0"/>
                <w:i w:val="0"/>
                <w:color w:val="000000"/>
                <w:sz w:val="18"/>
              </w:rPr>
              <w:t>R</w:t>
            </w:r>
            <w:r>
              <w:rPr>
                <w:rFonts w:ascii="Calibri" w:hAnsi="Calibri"/>
                <w:b w:val="0"/>
                <w:i w:val="0"/>
                <w:color w:val="000000"/>
                <w:sz w:val="14"/>
              </w:rPr>
            </w:r>
          </w:p>
        </w:tc>
        <w:tc>
          <w:tcPr>
            <w:tcW w:type="dxa" w:w="1196"/>
          </w:tcPr>
          <w:p>
            <w:pPr>
              <w:keepNext/>
            </w:pPr>
            <w:r/>
            <w:r>
              <w:rPr>
                <w:rFonts w:ascii="Calibri" w:hAnsi="Calibri"/>
                <w:b w:val="0"/>
                <w:i w:val="0"/>
                <w:color w:val="000000"/>
                <w:sz w:val="18"/>
              </w:rPr>
              <w:t>R</w:t>
            </w:r>
            <w:r>
              <w:rPr>
                <w:rFonts w:ascii="Calibri" w:hAnsi="Calibri"/>
                <w:b w:val="0"/>
                <w:i w:val="0"/>
                <w:color w:val="000000"/>
                <w:sz w:val="14"/>
              </w:rPr>
            </w:r>
          </w:p>
        </w:tc>
        <w:tc>
          <w:tcPr>
            <w:tcW w:type="dxa" w:w="1343"/>
          </w:tcPr>
          <w:p>
            <w:pPr>
              <w:keepNext/>
            </w:pPr>
            <w:r/>
            <w:r>
              <w:rPr>
                <w:rFonts w:ascii="Calibri" w:hAnsi="Calibri"/>
                <w:b w:val="0"/>
                <w:i w:val="0"/>
                <w:color w:val="000000"/>
                <w:sz w:val="18"/>
              </w:rPr>
              <w:t>I</w:t>
            </w:r>
            <w:r>
              <w:rPr>
                <w:rFonts w:ascii="Calibri" w:hAnsi="Calibri"/>
                <w:b w:val="0"/>
                <w:i w:val="0"/>
                <w:color w:val="000000"/>
                <w:sz w:val="14"/>
              </w:rPr>
            </w:r>
          </w:p>
        </w:tc>
        <w:tc>
          <w:tcPr>
            <w:tcW w:type="dxa" w:w="1187"/>
          </w:tcPr>
          <w:p>
            <w:pPr>
              <w:keepNext/>
            </w:pPr>
            <w:r/>
            <w:r>
              <w:rPr>
                <w:rFonts w:ascii="Calibri" w:hAnsi="Calibri"/>
                <w:b w:val="0"/>
                <w:i w:val="0"/>
                <w:color w:val="000000"/>
                <w:sz w:val="18"/>
              </w:rPr>
              <w:t>I</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670"/>
          </w:tcPr>
          <w:p>
            <w:pPr>
              <w:keepNext/>
            </w:pPr>
            <w:r/>
            <w:r>
              <w:rPr>
                <w:rFonts w:ascii="Calibri" w:hAnsi="Calibri"/>
                <w:b w:val="0"/>
                <w:i w:val="0"/>
                <w:color w:val="000000"/>
                <w:sz w:val="18"/>
              </w:rPr>
              <w:t>Барање за полициско придружување (МВР)</w:t>
            </w:r>
            <w:r>
              <w:rPr>
                <w:rFonts w:ascii="Calibri" w:hAnsi="Calibri"/>
                <w:b w:val="0"/>
                <w:i w:val="0"/>
                <w:color w:val="000000"/>
                <w:sz w:val="14"/>
              </w:rPr>
              <w:t xml:space="preserve"> | </w:t>
            </w:r>
            <w:r>
              <w:rPr>
                <w:rFonts w:ascii="Calibri" w:hAnsi="Calibri"/>
                <w:b w:val="0"/>
                <w:i w:val="0"/>
                <w:color w:val="000000"/>
                <w:sz w:val="14"/>
              </w:rPr>
              <w:t>Request for police escort (MoIA)</w:t>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c>
          <w:tcPr>
            <w:tcW w:type="dxa" w:w="547"/>
          </w:tcPr>
          <w:p>
            <w:pPr>
              <w:keepNext/>
            </w:pPr>
            <w:r/>
            <w:r>
              <w:rPr>
                <w:rFonts w:ascii="Calibri" w:hAnsi="Calibri"/>
                <w:b w:val="0"/>
                <w:i w:val="0"/>
                <w:color w:val="000000"/>
                <w:sz w:val="18"/>
              </w:rPr>
              <w:t>C</w:t>
            </w:r>
            <w:r>
              <w:rPr>
                <w:rFonts w:ascii="Calibri" w:hAnsi="Calibri"/>
                <w:b w:val="0"/>
                <w:i w:val="0"/>
                <w:color w:val="000000"/>
                <w:sz w:val="14"/>
              </w:rPr>
            </w:r>
          </w:p>
        </w:tc>
        <w:tc>
          <w:tcPr>
            <w:tcW w:type="dxa" w:w="1500"/>
          </w:tcPr>
          <w:p>
            <w:pPr>
              <w:keepNext/>
            </w:pPr>
            <w:r/>
            <w:r>
              <w:rPr>
                <w:rFonts w:ascii="Calibri" w:hAnsi="Calibri"/>
                <w:b w:val="0"/>
                <w:i w:val="0"/>
                <w:color w:val="000000"/>
                <w:sz w:val="18"/>
              </w:rPr>
              <w:t>A/R</w:t>
            </w:r>
            <w:r>
              <w:rPr>
                <w:rFonts w:ascii="Calibri" w:hAnsi="Calibri"/>
                <w:b w:val="0"/>
                <w:i w:val="0"/>
                <w:color w:val="000000"/>
                <w:sz w:val="14"/>
              </w:rPr>
            </w:r>
          </w:p>
        </w:tc>
        <w:tc>
          <w:tcPr>
            <w:tcW w:type="dxa" w:w="1196"/>
          </w:tcPr>
          <w:p>
            <w:pPr>
              <w:keepNext/>
            </w:pPr>
            <w:r/>
            <w:r>
              <w:rPr>
                <w:rFonts w:ascii="Calibri" w:hAnsi="Calibri"/>
                <w:b w:val="0"/>
                <w:i w:val="0"/>
                <w:color w:val="000000"/>
                <w:sz w:val="18"/>
              </w:rPr>
              <w:t>C</w:t>
            </w:r>
            <w:r>
              <w:rPr>
                <w:rFonts w:ascii="Calibri" w:hAnsi="Calibri"/>
                <w:b w:val="0"/>
                <w:i w:val="0"/>
                <w:color w:val="000000"/>
                <w:sz w:val="14"/>
              </w:rPr>
            </w:r>
          </w:p>
        </w:tc>
        <w:tc>
          <w:tcPr>
            <w:tcW w:type="dxa" w:w="1343"/>
          </w:tcPr>
          <w:p>
            <w:pPr>
              <w:keepNext/>
            </w:pPr>
            <w:r/>
            <w:r>
              <w:rPr>
                <w:rFonts w:ascii="Calibri" w:hAnsi="Calibri"/>
                <w:b w:val="0"/>
                <w:i w:val="0"/>
                <w:color w:val="000000"/>
                <w:sz w:val="18"/>
              </w:rPr>
              <w:t>I</w:t>
            </w:r>
            <w:r>
              <w:rPr>
                <w:rFonts w:ascii="Calibri" w:hAnsi="Calibri"/>
                <w:b w:val="0"/>
                <w:i w:val="0"/>
                <w:color w:val="000000"/>
                <w:sz w:val="14"/>
              </w:rPr>
            </w:r>
          </w:p>
        </w:tc>
        <w:tc>
          <w:tcPr>
            <w:tcW w:type="dxa" w:w="1187"/>
          </w:tcPr>
          <w:p>
            <w:pPr>
              <w:keepNext/>
            </w:pPr>
            <w:r/>
            <w:r>
              <w:rPr>
                <w:rFonts w:ascii="Calibri" w:hAnsi="Calibri"/>
                <w:b w:val="0"/>
                <w:i w:val="0"/>
                <w:color w:val="000000"/>
                <w:sz w:val="18"/>
              </w:rPr>
              <w:t>—</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Пакување на палети, етикети, листи на пакување</w:t>
            </w:r>
            <w:r>
              <w:rPr>
                <w:rFonts w:ascii="Calibri" w:hAnsi="Calibri"/>
                <w:b w:val="0"/>
                <w:i w:val="0"/>
                <w:color w:val="000000"/>
                <w:sz w:val="14"/>
              </w:rPr>
              <w:t xml:space="preserve"> | </w:t>
            </w:r>
            <w:r>
              <w:rPr>
                <w:rFonts w:ascii="Calibri" w:hAnsi="Calibri"/>
                <w:b w:val="0"/>
                <w:i w:val="0"/>
                <w:color w:val="000000"/>
                <w:sz w:val="14"/>
              </w:rPr>
              <w:t>Palletising, labels, packing lists</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47"/>
          </w:tcPr>
          <w:p>
            <w:r/>
            <w:r>
              <w:rPr>
                <w:rFonts w:ascii="Calibri" w:hAnsi="Calibri"/>
                <w:b w:val="0"/>
                <w:i w:val="0"/>
                <w:color w:val="000000"/>
                <w:sz w:val="18"/>
              </w:rPr>
              <w:t>I</w:t>
            </w:r>
            <w:r>
              <w:rPr>
                <w:rFonts w:ascii="Calibri" w:hAnsi="Calibri"/>
                <w:b w:val="0"/>
                <w:i w:val="0"/>
                <w:color w:val="000000"/>
                <w:sz w:val="14"/>
              </w:rPr>
            </w:r>
          </w:p>
        </w:tc>
        <w:tc>
          <w:tcPr>
            <w:tcW w:type="dxa" w:w="1500"/>
          </w:tcPr>
          <w:p>
            <w:r/>
            <w:r>
              <w:rPr>
                <w:rFonts w:ascii="Calibri" w:hAnsi="Calibri"/>
                <w:b w:val="0"/>
                <w:i w:val="0"/>
                <w:color w:val="000000"/>
                <w:sz w:val="18"/>
              </w:rPr>
              <w:t>I</w:t>
            </w:r>
            <w:r>
              <w:rPr>
                <w:rFonts w:ascii="Calibri" w:hAnsi="Calibri"/>
                <w:b w:val="0"/>
                <w:i w:val="0"/>
                <w:color w:val="000000"/>
                <w:sz w:val="14"/>
              </w:rPr>
            </w:r>
          </w:p>
        </w:tc>
        <w:tc>
          <w:tcPr>
            <w:tcW w:type="dxa" w:w="1196"/>
          </w:tcPr>
          <w:p>
            <w:r/>
            <w:r>
              <w:rPr>
                <w:rFonts w:ascii="Calibri" w:hAnsi="Calibri"/>
                <w:b w:val="0"/>
                <w:i w:val="0"/>
                <w:color w:val="000000"/>
                <w:sz w:val="18"/>
              </w:rPr>
              <w:t>A/R</w:t>
            </w:r>
            <w:r>
              <w:rPr>
                <w:rFonts w:ascii="Calibri" w:hAnsi="Calibri"/>
                <w:b w:val="0"/>
                <w:i w:val="0"/>
                <w:color w:val="000000"/>
                <w:sz w:val="14"/>
              </w:rPr>
            </w:r>
          </w:p>
        </w:tc>
        <w:tc>
          <w:tcPr>
            <w:tcW w:type="dxa" w:w="1343"/>
          </w:tcPr>
          <w:p>
            <w:r/>
            <w:r>
              <w:rPr>
                <w:rFonts w:ascii="Calibri" w:hAnsi="Calibri"/>
                <w:b w:val="0"/>
                <w:i w:val="0"/>
                <w:color w:val="000000"/>
                <w:sz w:val="18"/>
              </w:rPr>
              <w:t>—</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Поставување на логерите</w:t>
            </w:r>
            <w:r>
              <w:rPr>
                <w:rFonts w:ascii="Calibri" w:hAnsi="Calibri"/>
                <w:b w:val="0"/>
                <w:i w:val="0"/>
                <w:color w:val="000000"/>
                <w:sz w:val="14"/>
              </w:rPr>
              <w:t xml:space="preserve"> | </w:t>
            </w:r>
            <w:r>
              <w:rPr>
                <w:rFonts w:ascii="Calibri" w:hAnsi="Calibri"/>
                <w:b w:val="0"/>
                <w:i w:val="0"/>
                <w:color w:val="000000"/>
                <w:sz w:val="14"/>
              </w:rPr>
              <w:t>Logger placement</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47"/>
          </w:tcPr>
          <w:p>
            <w:r/>
            <w:r>
              <w:rPr>
                <w:rFonts w:ascii="Calibri" w:hAnsi="Calibri"/>
                <w:b w:val="0"/>
                <w:i w:val="0"/>
                <w:color w:val="000000"/>
                <w:sz w:val="18"/>
              </w:rPr>
              <w:t>A</w:t>
            </w:r>
            <w:r>
              <w:rPr>
                <w:rFonts w:ascii="Calibri" w:hAnsi="Calibri"/>
                <w:b w:val="0"/>
                <w:i w:val="0"/>
                <w:color w:val="000000"/>
                <w:sz w:val="14"/>
              </w:rPr>
            </w:r>
          </w:p>
        </w:tc>
        <w:tc>
          <w:tcPr>
            <w:tcW w:type="dxa" w:w="1500"/>
          </w:tcPr>
          <w:p>
            <w:r/>
            <w:r>
              <w:rPr>
                <w:rFonts w:ascii="Calibri" w:hAnsi="Calibri"/>
                <w:b w:val="0"/>
                <w:i w:val="0"/>
                <w:color w:val="000000"/>
                <w:sz w:val="18"/>
              </w:rPr>
              <w:t>—</w:t>
            </w:r>
            <w:r>
              <w:rPr>
                <w:rFonts w:ascii="Calibri" w:hAnsi="Calibri"/>
                <w:b w:val="0"/>
                <w:i w:val="0"/>
                <w:color w:val="000000"/>
                <w:sz w:val="14"/>
              </w:rPr>
            </w:r>
          </w:p>
        </w:tc>
        <w:tc>
          <w:tcPr>
            <w:tcW w:type="dxa" w:w="1196"/>
          </w:tcPr>
          <w:p>
            <w:r/>
            <w:r>
              <w:rPr>
                <w:rFonts w:ascii="Calibri" w:hAnsi="Calibri"/>
                <w:b w:val="0"/>
                <w:i w:val="0"/>
                <w:color w:val="000000"/>
                <w:sz w:val="18"/>
              </w:rPr>
              <w:t>R</w:t>
            </w:r>
            <w:r>
              <w:rPr>
                <w:rFonts w:ascii="Calibri" w:hAnsi="Calibri"/>
                <w:b w:val="0"/>
                <w:i w:val="0"/>
                <w:color w:val="000000"/>
                <w:sz w:val="14"/>
              </w:rPr>
            </w:r>
          </w:p>
        </w:tc>
        <w:tc>
          <w:tcPr>
            <w:tcW w:type="dxa" w:w="1343"/>
          </w:tcPr>
          <w:p>
            <w:r/>
            <w:r>
              <w:rPr>
                <w:rFonts w:ascii="Calibri" w:hAnsi="Calibri"/>
                <w:b w:val="0"/>
                <w:i w:val="0"/>
                <w:color w:val="000000"/>
                <w:sz w:val="18"/>
              </w:rPr>
              <w:t>—</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Отпрема и ланец на надзор</w:t>
            </w:r>
            <w:r>
              <w:rPr>
                <w:rFonts w:ascii="Calibri" w:hAnsi="Calibri"/>
                <w:b w:val="0"/>
                <w:i w:val="0"/>
                <w:color w:val="000000"/>
                <w:sz w:val="14"/>
              </w:rPr>
              <w:t xml:space="preserve"> | </w:t>
            </w:r>
            <w:r>
              <w:rPr>
                <w:rFonts w:ascii="Calibri" w:hAnsi="Calibri"/>
                <w:b w:val="0"/>
                <w:i w:val="0"/>
                <w:color w:val="000000"/>
                <w:sz w:val="14"/>
              </w:rPr>
              <w:t>Dispatch and chain of custody</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47"/>
          </w:tcPr>
          <w:p>
            <w:r/>
            <w:r>
              <w:rPr>
                <w:rFonts w:ascii="Calibri" w:hAnsi="Calibri"/>
                <w:b w:val="0"/>
                <w:i w:val="0"/>
                <w:color w:val="000000"/>
                <w:sz w:val="18"/>
              </w:rPr>
              <w:t>I</w:t>
            </w:r>
            <w:r>
              <w:rPr>
                <w:rFonts w:ascii="Calibri" w:hAnsi="Calibri"/>
                <w:b w:val="0"/>
                <w:i w:val="0"/>
                <w:color w:val="000000"/>
                <w:sz w:val="14"/>
              </w:rPr>
            </w:r>
          </w:p>
        </w:tc>
        <w:tc>
          <w:tcPr>
            <w:tcW w:type="dxa" w:w="1500"/>
          </w:tcPr>
          <w:p>
            <w:r/>
            <w:r>
              <w:rPr>
                <w:rFonts w:ascii="Calibri" w:hAnsi="Calibri"/>
                <w:b w:val="0"/>
                <w:i w:val="0"/>
                <w:color w:val="000000"/>
                <w:sz w:val="18"/>
              </w:rPr>
              <w:t>A</w:t>
            </w:r>
            <w:r>
              <w:rPr>
                <w:rFonts w:ascii="Calibri" w:hAnsi="Calibri"/>
                <w:b w:val="0"/>
                <w:i w:val="0"/>
                <w:color w:val="000000"/>
                <w:sz w:val="14"/>
              </w:rPr>
            </w:r>
          </w:p>
        </w:tc>
        <w:tc>
          <w:tcPr>
            <w:tcW w:type="dxa" w:w="1196"/>
          </w:tcPr>
          <w:p>
            <w:r/>
            <w:r>
              <w:rPr>
                <w:rFonts w:ascii="Calibri" w:hAnsi="Calibri"/>
                <w:b w:val="0"/>
                <w:i w:val="0"/>
                <w:color w:val="000000"/>
                <w:sz w:val="18"/>
              </w:rPr>
              <w:t>R</w:t>
            </w:r>
            <w:r>
              <w:rPr>
                <w:rFonts w:ascii="Calibri" w:hAnsi="Calibri"/>
                <w:b w:val="0"/>
                <w:i w:val="0"/>
                <w:color w:val="000000"/>
                <w:sz w:val="14"/>
              </w:rPr>
            </w:r>
          </w:p>
        </w:tc>
        <w:tc>
          <w:tcPr>
            <w:tcW w:type="dxa" w:w="1343"/>
          </w:tcPr>
          <w:p>
            <w:r/>
            <w:r>
              <w:rPr>
                <w:rFonts w:ascii="Calibri" w:hAnsi="Calibri"/>
                <w:b w:val="0"/>
                <w:i w:val="0"/>
                <w:color w:val="000000"/>
                <w:sz w:val="18"/>
              </w:rPr>
              <w:t>R</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Контрола во транзит</w:t>
            </w:r>
            <w:r>
              <w:rPr>
                <w:rFonts w:ascii="Calibri" w:hAnsi="Calibri"/>
                <w:b w:val="0"/>
                <w:i w:val="0"/>
                <w:color w:val="000000"/>
                <w:sz w:val="14"/>
              </w:rPr>
              <w:t xml:space="preserve"> | </w:t>
            </w:r>
            <w:r>
              <w:rPr>
                <w:rFonts w:ascii="Calibri" w:hAnsi="Calibri"/>
                <w:b w:val="0"/>
                <w:i w:val="0"/>
                <w:color w:val="000000"/>
                <w:sz w:val="14"/>
              </w:rPr>
              <w:t>In-transit control</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47"/>
          </w:tcPr>
          <w:p>
            <w:r/>
            <w:r>
              <w:rPr>
                <w:rFonts w:ascii="Calibri" w:hAnsi="Calibri"/>
                <w:b w:val="0"/>
                <w:i w:val="0"/>
                <w:color w:val="000000"/>
                <w:sz w:val="18"/>
              </w:rPr>
              <w:t>I</w:t>
            </w:r>
            <w:r>
              <w:rPr>
                <w:rFonts w:ascii="Calibri" w:hAnsi="Calibri"/>
                <w:b w:val="0"/>
                <w:i w:val="0"/>
                <w:color w:val="000000"/>
                <w:sz w:val="14"/>
              </w:rPr>
            </w:r>
          </w:p>
        </w:tc>
        <w:tc>
          <w:tcPr>
            <w:tcW w:type="dxa" w:w="1500"/>
          </w:tcPr>
          <w:p>
            <w:r/>
            <w:r>
              <w:rPr>
                <w:rFonts w:ascii="Calibri" w:hAnsi="Calibri"/>
                <w:b w:val="0"/>
                <w:i w:val="0"/>
                <w:color w:val="000000"/>
                <w:sz w:val="18"/>
              </w:rPr>
              <w:t>A</w:t>
            </w:r>
            <w:r>
              <w:rPr>
                <w:rFonts w:ascii="Calibri" w:hAnsi="Calibri"/>
                <w:b w:val="0"/>
                <w:i w:val="0"/>
                <w:color w:val="000000"/>
                <w:sz w:val="14"/>
              </w:rPr>
            </w:r>
          </w:p>
        </w:tc>
        <w:tc>
          <w:tcPr>
            <w:tcW w:type="dxa" w:w="1196"/>
          </w:tcPr>
          <w:p>
            <w:r/>
            <w:r>
              <w:rPr>
                <w:rFonts w:ascii="Calibri" w:hAnsi="Calibri"/>
                <w:b w:val="0"/>
                <w:i w:val="0"/>
                <w:color w:val="000000"/>
                <w:sz w:val="18"/>
              </w:rPr>
              <w:t>I</w:t>
            </w:r>
            <w:r>
              <w:rPr>
                <w:rFonts w:ascii="Calibri" w:hAnsi="Calibri"/>
                <w:b w:val="0"/>
                <w:i w:val="0"/>
                <w:color w:val="000000"/>
                <w:sz w:val="14"/>
              </w:rPr>
            </w:r>
          </w:p>
        </w:tc>
        <w:tc>
          <w:tcPr>
            <w:tcW w:type="dxa" w:w="1343"/>
          </w:tcPr>
          <w:p>
            <w:r/>
            <w:r>
              <w:rPr>
                <w:rFonts w:ascii="Calibri" w:hAnsi="Calibri"/>
                <w:b w:val="0"/>
                <w:i w:val="0"/>
                <w:color w:val="000000"/>
                <w:sz w:val="18"/>
              </w:rPr>
              <w:t>R</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Прием и проверка</w:t>
            </w:r>
            <w:r>
              <w:rPr>
                <w:rFonts w:ascii="Calibri" w:hAnsi="Calibri"/>
                <w:b w:val="0"/>
                <w:i w:val="0"/>
                <w:color w:val="000000"/>
                <w:sz w:val="14"/>
              </w:rPr>
              <w:t xml:space="preserve"> | </w:t>
            </w:r>
            <w:r>
              <w:rPr>
                <w:rFonts w:ascii="Calibri" w:hAnsi="Calibri"/>
                <w:b w:val="0"/>
                <w:i w:val="0"/>
                <w:color w:val="000000"/>
                <w:sz w:val="14"/>
              </w:rPr>
              <w:t>Receipt and verification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47"/>
          </w:tcPr>
          <w:p>
            <w:r/>
            <w:r>
              <w:rPr>
                <w:rFonts w:ascii="Calibri" w:hAnsi="Calibri"/>
                <w:b w:val="0"/>
                <w:i w:val="0"/>
                <w:color w:val="000000"/>
                <w:sz w:val="18"/>
              </w:rPr>
              <w:t>I</w:t>
            </w:r>
            <w:r>
              <w:rPr>
                <w:rFonts w:ascii="Calibri" w:hAnsi="Calibri"/>
                <w:b w:val="0"/>
                <w:i w:val="0"/>
                <w:color w:val="000000"/>
                <w:sz w:val="14"/>
              </w:rPr>
            </w:r>
          </w:p>
        </w:tc>
        <w:tc>
          <w:tcPr>
            <w:tcW w:type="dxa" w:w="1500"/>
          </w:tcPr>
          <w:p>
            <w:r/>
            <w:r>
              <w:rPr>
                <w:rFonts w:ascii="Calibri" w:hAnsi="Calibri"/>
                <w:b w:val="0"/>
                <w:i w:val="0"/>
                <w:color w:val="000000"/>
                <w:sz w:val="18"/>
              </w:rPr>
              <w:t>C</w:t>
            </w:r>
            <w:r>
              <w:rPr>
                <w:rFonts w:ascii="Calibri" w:hAnsi="Calibri"/>
                <w:b w:val="0"/>
                <w:i w:val="0"/>
                <w:color w:val="000000"/>
                <w:sz w:val="14"/>
              </w:rPr>
            </w:r>
          </w:p>
        </w:tc>
        <w:tc>
          <w:tcPr>
            <w:tcW w:type="dxa" w:w="1196"/>
          </w:tcPr>
          <w:p>
            <w:r/>
            <w:r>
              <w:rPr>
                <w:rFonts w:ascii="Calibri" w:hAnsi="Calibri"/>
                <w:b w:val="0"/>
                <w:i w:val="0"/>
                <w:color w:val="000000"/>
                <w:sz w:val="18"/>
              </w:rPr>
              <w:t>C</w:t>
            </w:r>
            <w:r>
              <w:rPr>
                <w:rFonts w:ascii="Calibri" w:hAnsi="Calibri"/>
                <w:b w:val="0"/>
                <w:i w:val="0"/>
                <w:color w:val="000000"/>
                <w:sz w:val="14"/>
              </w:rPr>
            </w:r>
          </w:p>
        </w:tc>
        <w:tc>
          <w:tcPr>
            <w:tcW w:type="dxa" w:w="1343"/>
          </w:tcPr>
          <w:p>
            <w:r/>
            <w:r>
              <w:rPr>
                <w:rFonts w:ascii="Calibri" w:hAnsi="Calibri"/>
                <w:b w:val="0"/>
                <w:i w:val="0"/>
                <w:color w:val="000000"/>
                <w:sz w:val="18"/>
              </w:rPr>
              <w:t>R</w:t>
            </w:r>
            <w:r>
              <w:rPr>
                <w:rFonts w:ascii="Calibri" w:hAnsi="Calibri"/>
                <w:b w:val="0"/>
                <w:i w:val="0"/>
                <w:color w:val="000000"/>
                <w:sz w:val="14"/>
              </w:rPr>
            </w:r>
          </w:p>
        </w:tc>
        <w:tc>
          <w:tcPr>
            <w:tcW w:type="dxa" w:w="1187"/>
          </w:tcPr>
          <w:p>
            <w:r/>
            <w:r>
              <w:rPr>
                <w:rFonts w:ascii="Calibri" w:hAnsi="Calibri"/>
                <w:b w:val="0"/>
                <w:i w:val="0"/>
                <w:color w:val="000000"/>
                <w:sz w:val="18"/>
              </w:rPr>
              <w:t>A/R</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Известување до МЗ</w:t>
            </w:r>
            <w:r>
              <w:rPr>
                <w:rFonts w:ascii="Calibri" w:hAnsi="Calibri"/>
                <w:b w:val="0"/>
                <w:i w:val="0"/>
                <w:color w:val="000000"/>
                <w:sz w:val="14"/>
              </w:rPr>
              <w:t xml:space="preserve"> | </w:t>
            </w:r>
            <w:r>
              <w:rPr>
                <w:rFonts w:ascii="Calibri" w:hAnsi="Calibri"/>
                <w:b w:val="0"/>
                <w:i w:val="0"/>
                <w:color w:val="000000"/>
                <w:sz w:val="14"/>
              </w:rPr>
              <w:t>MoH post-transport report</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47"/>
          </w:tcPr>
          <w:p>
            <w:r/>
            <w:r>
              <w:rPr>
                <w:rFonts w:ascii="Calibri" w:hAnsi="Calibri"/>
                <w:b w:val="0"/>
                <w:i w:val="0"/>
                <w:color w:val="000000"/>
                <w:sz w:val="18"/>
              </w:rPr>
              <w:t>C</w:t>
            </w:r>
            <w:r>
              <w:rPr>
                <w:rFonts w:ascii="Calibri" w:hAnsi="Calibri"/>
                <w:b w:val="0"/>
                <w:i w:val="0"/>
                <w:color w:val="000000"/>
                <w:sz w:val="14"/>
              </w:rPr>
            </w:r>
          </w:p>
        </w:tc>
        <w:tc>
          <w:tcPr>
            <w:tcW w:type="dxa" w:w="1500"/>
          </w:tcPr>
          <w:p>
            <w:r/>
            <w:r>
              <w:rPr>
                <w:rFonts w:ascii="Calibri" w:hAnsi="Calibri"/>
                <w:b w:val="0"/>
                <w:i w:val="0"/>
                <w:color w:val="000000"/>
                <w:sz w:val="18"/>
              </w:rPr>
              <w:t>R</w:t>
            </w:r>
            <w:r>
              <w:rPr>
                <w:rFonts w:ascii="Calibri" w:hAnsi="Calibri"/>
                <w:b w:val="0"/>
                <w:i w:val="0"/>
                <w:color w:val="000000"/>
                <w:sz w:val="14"/>
              </w:rPr>
            </w:r>
          </w:p>
        </w:tc>
        <w:tc>
          <w:tcPr>
            <w:tcW w:type="dxa" w:w="1196"/>
          </w:tcPr>
          <w:p>
            <w:r/>
            <w:r>
              <w:rPr>
                <w:rFonts w:ascii="Calibri" w:hAnsi="Calibri"/>
                <w:b w:val="0"/>
                <w:i w:val="0"/>
                <w:color w:val="000000"/>
                <w:sz w:val="18"/>
              </w:rPr>
              <w:t>C</w:t>
            </w:r>
            <w:r>
              <w:rPr>
                <w:rFonts w:ascii="Calibri" w:hAnsi="Calibri"/>
                <w:b w:val="0"/>
                <w:i w:val="0"/>
                <w:color w:val="000000"/>
                <w:sz w:val="14"/>
              </w:rPr>
            </w:r>
          </w:p>
        </w:tc>
        <w:tc>
          <w:tcPr>
            <w:tcW w:type="dxa" w:w="1343"/>
          </w:tcPr>
          <w:p>
            <w:r/>
            <w:r>
              <w:rPr>
                <w:rFonts w:ascii="Calibri" w:hAnsi="Calibri"/>
                <w:b w:val="0"/>
                <w:i w:val="0"/>
                <w:color w:val="000000"/>
                <w:sz w:val="18"/>
              </w:rPr>
              <w:t>—</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A</w:t>
            </w:r>
            <w:r>
              <w:rPr>
                <w:rFonts w:ascii="Calibri" w:hAnsi="Calibri"/>
                <w:b w:val="0"/>
                <w:i w:val="0"/>
                <w:color w:val="000000"/>
                <w:sz w:val="14"/>
              </w:rPr>
            </w:r>
          </w:p>
        </w:tc>
      </w:tr>
      <w:tr>
        <w:trPr>
          <w:cantSplit/>
        </w:trPr>
        <w:tc>
          <w:tcPr>
            <w:tcW w:type="dxa" w:w="3670"/>
          </w:tcPr>
          <w:p>
            <w:r/>
            <w:r>
              <w:rPr>
                <w:rFonts w:ascii="Calibri" w:hAnsi="Calibri"/>
                <w:b w:val="0"/>
                <w:i w:val="0"/>
                <w:color w:val="000000"/>
                <w:sz w:val="18"/>
              </w:rPr>
              <w:t>Преглед и диспозиција</w:t>
            </w:r>
            <w:r>
              <w:rPr>
                <w:rFonts w:ascii="Calibri" w:hAnsi="Calibri"/>
                <w:b w:val="0"/>
                <w:i w:val="0"/>
                <w:color w:val="000000"/>
                <w:sz w:val="14"/>
              </w:rPr>
              <w:t xml:space="preserve"> | </w:t>
            </w:r>
            <w:r>
              <w:rPr>
                <w:rFonts w:ascii="Calibri" w:hAnsi="Calibri"/>
                <w:b w:val="0"/>
                <w:i w:val="0"/>
                <w:color w:val="000000"/>
                <w:sz w:val="14"/>
              </w:rPr>
              <w:t>Review and disposition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47"/>
          </w:tcPr>
          <w:p>
            <w:r/>
            <w:r>
              <w:rPr>
                <w:rFonts w:ascii="Calibri" w:hAnsi="Calibri"/>
                <w:b w:val="0"/>
                <w:i w:val="0"/>
                <w:color w:val="000000"/>
                <w:sz w:val="18"/>
              </w:rPr>
              <w:t>A/R</w:t>
            </w:r>
            <w:r>
              <w:rPr>
                <w:rFonts w:ascii="Calibri" w:hAnsi="Calibri"/>
                <w:b w:val="0"/>
                <w:i w:val="0"/>
                <w:color w:val="000000"/>
                <w:sz w:val="14"/>
              </w:rPr>
            </w:r>
          </w:p>
        </w:tc>
        <w:tc>
          <w:tcPr>
            <w:tcW w:type="dxa" w:w="1500"/>
          </w:tcPr>
          <w:p>
            <w:r/>
            <w:r>
              <w:rPr>
                <w:rFonts w:ascii="Calibri" w:hAnsi="Calibri"/>
                <w:b w:val="0"/>
                <w:i w:val="0"/>
                <w:color w:val="000000"/>
                <w:sz w:val="18"/>
              </w:rPr>
              <w:t>C</w:t>
            </w:r>
            <w:r>
              <w:rPr>
                <w:rFonts w:ascii="Calibri" w:hAnsi="Calibri"/>
                <w:b w:val="0"/>
                <w:i w:val="0"/>
                <w:color w:val="000000"/>
                <w:sz w:val="14"/>
              </w:rPr>
            </w:r>
          </w:p>
        </w:tc>
        <w:tc>
          <w:tcPr>
            <w:tcW w:type="dxa" w:w="1196"/>
          </w:tcPr>
          <w:p>
            <w:r/>
            <w:r>
              <w:rPr>
                <w:rFonts w:ascii="Calibri" w:hAnsi="Calibri"/>
                <w:b w:val="0"/>
                <w:i w:val="0"/>
                <w:color w:val="000000"/>
                <w:sz w:val="18"/>
              </w:rPr>
              <w:t>C</w:t>
            </w:r>
            <w:r>
              <w:rPr>
                <w:rFonts w:ascii="Calibri" w:hAnsi="Calibri"/>
                <w:b w:val="0"/>
                <w:i w:val="0"/>
                <w:color w:val="000000"/>
                <w:sz w:val="14"/>
              </w:rPr>
            </w:r>
          </w:p>
        </w:tc>
        <w:tc>
          <w:tcPr>
            <w:tcW w:type="dxa" w:w="1343"/>
          </w:tcPr>
          <w:p>
            <w:r/>
            <w:r>
              <w:rPr>
                <w:rFonts w:ascii="Calibri" w:hAnsi="Calibri"/>
                <w:b w:val="0"/>
                <w:i w:val="0"/>
                <w:color w:val="000000"/>
                <w:sz w:val="18"/>
              </w:rPr>
              <w:t>—</w:t>
            </w:r>
            <w:r>
              <w:rPr>
                <w:rFonts w:ascii="Calibri" w:hAnsi="Calibri"/>
                <w:b w:val="0"/>
                <w:i w:val="0"/>
                <w:color w:val="000000"/>
                <w:sz w:val="14"/>
              </w:rPr>
            </w:r>
          </w:p>
        </w:tc>
        <w:tc>
          <w:tcPr>
            <w:tcW w:type="dxa" w:w="1187"/>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C</w:t>
            </w:r>
            <w:r>
              <w:rPr>
                <w:rFonts w:ascii="Calibri" w:hAnsi="Calibri"/>
                <w:b w:val="0"/>
                <w:i w:val="0"/>
                <w:color w:val="000000"/>
                <w:sz w:val="14"/>
              </w:rPr>
            </w:r>
          </w:p>
        </w:tc>
      </w:tr>
    </w:tbl>
    <w:p>
      <w:pPr>
        <w:keepNext/>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A = одговорен за исходот; R = изведува; C = се консултира; I = се информира. Полициското придружување го извршува МВР и не е дел од матрицата.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 accountable; R = responsible; C = consulted; I = informed. The police escort is performed by the MoIA and is not part of the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Складирање/Логистика: одговорен за оперативната изведба, ресурсите, формирањето на палетите, печатењето и поставувањето на етикетите, листите на пакување (WHSOP_003_A03), поставувањето на логерите, товарањето и комплетирањето на манифестот (WHSOP_003_A04) и чек-листата (WHSOP_003_A05).</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Warehousing/Logistics: responsible for operational execution, resources, building the pallets, printing and applying the labels, the packing lists (WHSOP_003_A03), logger placement, loading and completion of the manifest (WHSOP_003_A04) and checklist (WHSOP_003_A05).</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Обезбедување: го изготвува и поднесува Барањето за полициско придружување и известувањето до МВР (WHSOP_003_A02), ја проверува писмената потврда од МВР пред да ја одобри отпремата, го потврдува присуството на полициското придружување на точката на предавање 1, одржува телефонска врска со возачот за време на транспортот и го изготвува извештајот по транспортот (WHSOP_003_A06).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Security: prepares and submits the Request for police escort and notification to the MoIA (WHSOP_003_A02), verifies the written MoIA confirmation before authorising dispatch, confirms the presence of the police escort at transfer point 1, keeps telephone contact with the driver during the transport and prepares the post-transport report (WHSOP_003_A06).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КК: го потврдува статусот на материјалот пред отпремата и се консултира кога отстапување во условите на транспорт може да влијае на квалитетот.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QC Head: confirms the status of the material before dispatch and is consulted when a deviation in transport conditions may affect quality.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QA: ја одобрува оваа СОП, го одобрува TRA (WHSOP_003_A01), го одобрува распоредот на логерите, ги презема и прегледува податоците од логерите, го прегледува комплетниот транспортен досие во рок од 48 часа и ја носи диспозицијата (WHSOP_003_A07); води истраги и CAPA.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QA Manager: approves this SOP, approves the TRA (WHSOP_003_A01), approves the logger placement plan, downloads and reviews the logger data, reviews the complete transport file within 48 hours and records the disposition (WHSOP_003_A07); leads investigations and CAPA.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Квалификувано лице (QP): го потпишува извештајот до Министерството за здравство, ја носи диспозицијата при критични отстапувања и ја задржува крајната одговорност за усогласеност.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Qualified Person (QP): signs the report to the Ministry of Health, decides the disposition of critical deviations and retains ultimate responsibility for compliance.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Возач и придружник (овластен персонал на Пјурли Плант, најмалку две лица): го преземаат товарот на точката на предавање 1, ја возат одобрената рута под полициско придружување, не го оставаат возилото без надзор, ги евидентираат контролните јавувања и инцидентите, го предаваат товарот на примачот и ги враќаат документите и логерот во рок од 24 часа.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Driver and escort person (authorised Purely Plant personnel, at least two persons): take over the load at transfer point 1, drive the approved route under police escort, never leave the vehicle unattended, record check-in calls and incidents, hand the load over to the consignee and return the documents and the logger within 24 hours.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Примач: го проверува бројот на палети, целоста на завиткувањето и пломбите и идентитетот пред потпис, ги вади и запира логерите за еднократна употреба и го потпишува ланецот на надзор.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Consignee: verifies the pallet count, integrity of the wrapping and seals, and identity before signing, removes and stops the single-use loggers and signs the chain of custody.</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4.0 РЕФЕРЕНТНИ ДОКУМЕНТИ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4.0 REFERENCE DOCUMENTS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4.1 Национална регулатива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4.1 National legislation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контрола на опојни дроги и психотропни супстанции (пречистен текст, Сл. весник бр. 37/16) — транспорт на опојни дроги, претходно известување до Министерството за внатрешни работи и известување до Министерството за здравство.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Control of Narcotic Drugs and Psychotropic Substances (consolidated text, Off. Gazette No. 37/16) — transport of narcotic drugs, prior notification to the Ministry of Interior Affairs and notification to the Ministry of Health.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лекови и медицински средства (Сл. весник на РМ бр. 106/07 со измени).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Medicines and Medical Devices (Off. Gazette of RM No. 106/07, as amended).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Упатство за начелата на добрата производна пракса (Сл. весник на РМ бр. 26/09).</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on the principles of Good Manufacturing Practice (Off. Gazette of RM No. 26/09).</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4.2 EU GMP / GDP и меѓународни стандарди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4.2 EU GMP / GDP and international standards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 Part I Chapter 4 (документација), Chapter 5 §5.10 (транспорт); Annex 7 (растителни лекови); Annex 11 (компјутеризирани системи — софтвер на USB логерите); Annex 15 §6 (верификација на транспортот).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 Part I Chapter 4 (documentation), Chapter 5 §5.10 (transport); Annex 7 (herbal medicinal products); Annex 11 (computerised systems — USB logger software); Annex 15 §6 (verification of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Guidelines of 5 November 2013 on Good Distribution Practice of medicinal products for human use (2013/C 343/01), Chapter 9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of 5 November 2013 on Good Distribution Practice of medicinal products for human use (2013/C 343/01), Chapter 9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WHO TRS No. 957 (2010), Annex 5 (GDP); WHO TRS No. 961 (2011), Annex 9 — Model guidance for the storage and transport of time- and temperature-sensitive pharmaceutical products.</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WHO TRS No. 957 (2010), Annex 5 (GDP); WHO TRS No. 961 (2011), Annex 9 — Model guidance for the storage and transport of time- and temperature-sensitive pharmaceutical products.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Ph. Eur. Монографија 3028 (Cannabis flos); ICH Q9(R1) (управување со ризик); ICH Q10.</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Ph. Eur. Monograph 3028 (Cannabis flos); ICH Q9(R1) (risk management); ICH Q10.</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Единствена конвенција за опојни дроги (1961).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 Convention on Narcotic Drugs (1961).</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5.0 ДЕФИНИЦИИ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5.0 DEFINITIONS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5.1 Дефиниции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Опојна дрога — супстанца ставена под контрола со Законот за контрола на опојни дроги и психотропни супстанции; во оваа СОП: канабис и производи од канабис во сите форми (во постарите документи: „еуфорични супстанции“).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Narcotic drug — a substance placed under control by the Law on Control of Narcotic Drugs and Psychotropic Substances; in this SOP: cannabis and cannabis products in all forms (in older documents: "euphoric substances").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Транспортен настан — едно движење на една или повеќе палети од едно место на испраќање до едно место на прием, идентификувано со единствен идентификатор (UTID).</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Transport event — one movement of one or more pallets from one dispatch point to one receipt point, identified by a unique transport identifier (UTID).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UTID — единствен идентификатор на транспорт, формат TR-YYYYMMDD-NNN (на пр. TR-20261015-001); ги поврзува сите записи на настанот.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UTID — unique transport identifier, format TR-YYYYMMDD-NNN (e.g. TR-20261015-001); links all records of the event.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Палета — евро-палета (1200 × 800 mm), голема (G — 8 картони) или мала (M — 4 картони), завиткана со стреч-фолија и термо-ќебе; идентификатор на палета: UTID-Pnn (на пр. TR-20261015-001-P01).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Pallet — a Euro pallet (1200 × 800 mm), large (L — 8 cartons) or small (S — 4 cartons), wrapped in stretch film and a thermal blanket; pallet ID: UTID-Pnn (e.g. TR-20261015-001-P01).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Картон — транспортна кутија од брановиден картон со 10 кеси меѓупроизвод (ринфуз); идентификатор на картон: UTID-Pnn-Cnn (на пр. TR-20261015-001-P01-C03).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Carton — a corrugated transport box holding 10 bags of intermediate (bulk); carton ID: UTID-Pnn-Cnn (e.g. TR-20261015-001-P01-C03).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Кеса — примарно пакување на меѓупроизводот, означено со серијата и редниот број на кесата од производствениот запис; не се преозначува за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Bag — the primary packaging of the intermediate, labelled with the batch and the bag number from the production record; it is not relabelled for transport.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Листа на пакување — запис на хартија што ги наведува содржаните единици: кесите во картонот или картоните во палетата (WHSOP_003_A03).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Packing list — a paper record listing the units contained: the bags in a carton or the cartons on a pallet (WHSOP_003_A03).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Логер за еднократна употреба — калибриран температурен логер со фабрички сертификат, кој се активира еднаш, оди со палетата и по запирање дава неизменлив извештај (PDF).</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Single-use logger — a calibrated temperature logger with a factory certificate, activated once, travelling with the pallet and producing an unalterable report (PDF) once stopped.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USB логер — калибриран логер за температура и влага за повеќекратна употреба, чии податоци се преземаат преку USB со софтвер верификуван според Annex 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USB logger — a calibrated reusable temperature and humidity logger whose data are downloaded via USB with software verified per Annex 11.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Рута (лента) — дефинирана комбинација на место на испраќање, место на прием, патека, возило/конфигурација на пакување и сезона, квалификувана согласно QASOP_0XX.</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Lane — a defined combination of dispatch point, receipt point, route, vehicle/packaging configuration and season, qualified per QASOP_0XX.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Ланец на надзор — документирана, хронолошка и непрекината евиденција на поседувањето и предавањето на пратката.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Chain of custody — the documented, chronological and unbroken record of possession and hand-over of the consignment.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Пломба со доказ за отворање — серијализирана безбедносна пломба или лента која видливо покажува секое неовластено отворање.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Tamper-evident seal — a serialised security seal or tape that visibly shows any unauthorised opening.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Температурна екскурзија — секое отстапување од пропишаниот опсег на температура или влага, без оглед на времетраењето.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Temperature excursion — any departure from the prescribed temperature or humidity range, regardless of duration.</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5.2 Кратенки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МВР — Министерство за внатрешни работи (MoIA); МЗ — Министерство за здравство (MoH); TRA — процена на ризик од транспорт; UTID; G/M — голема/мала палета (L/S); RH; MKT; CAPA; GMP; GDP; QA; QC; QP; SOP; CoA.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MoIA — Ministry of Interior Affairs (МВР); MoH — Ministry of Health (МЗ); TRA — transport risk assessment; UTID; L/S — large/small pallet (G/M); RH; MKT; CAPA; GMP; GDP; QA; QC; QP; SOP; CoA.</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6.0 ПОСТАПКА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6.0 PROCEDURE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 Општи барања и матрица на услови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 General requirements and condition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Секое движење мора да биде: (а) извршено по квалификувана рута според QASOP_0XX (статус QUALIFIED во регистарот QASOP_0XX_A06), со истата конфигурација на возило и палети; (б) пријавено до МВР со барање за полициско придружување и писмено потврдено пред отпремата; (в) извршено од најмалку две овластени лица на Пјурли Плант, под полициско придружување; и (г) следено со калибрирани логери според 6.4.5. Ниту едно движење не започнува ако некој од овие услови не е исполнет.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Every movement must be: (a) executed on a lane qualified per QASOP_0XX (status QUALIFIED in register QASOP_0XX_A06), with the same vehicle and pallet configuration; (b) notified to the MoIA with a request for police escort and confirmed in writing before dispatch; (c) performed by at least two authorised Purely Plant persons, under police escort; and (d) monitored with calibrated loggers per 6.4.5. No movement starts if any of these conditions is not met.</w:t>
            </w:r>
          </w:p>
        </w:tc>
      </w:tr>
    </w:tbl>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496"/>
        <w:gridCol w:w="1939"/>
        <w:gridCol w:w="1036"/>
        <w:gridCol w:w="2496"/>
        <w:gridCol w:w="2496"/>
      </w:tblGrid>
      <w:tr>
        <w:trPr>
          <w:cantSplit/>
          <w:tblHeader w:val="true"/>
        </w:trPr>
        <w:tc>
          <w:tcPr>
            <w:shd w:val="clear" w:color="auto" w:fill="D9E2F3"/>
            <w:tcW w:type="dxa" w:w="2496"/>
          </w:tcPr>
          <w:p>
            <w:pPr>
              <w:keepNext/>
            </w:pPr>
            <w:r/>
            <w:r>
              <w:rPr>
                <w:rFonts w:ascii="Calibri" w:hAnsi="Calibri"/>
                <w:b/>
                <w:i w:val="0"/>
                <w:color w:val="000000"/>
                <w:sz w:val="20"/>
              </w:rPr>
              <w:t>Вид на материјал</w:t>
            </w:r>
            <w:r>
              <w:rPr>
                <w:rFonts w:ascii="Calibri" w:hAnsi="Calibri"/>
                <w:b w:val="0"/>
                <w:i w:val="0"/>
                <w:color w:val="000000"/>
                <w:sz w:val="14"/>
              </w:rPr>
              <w:t xml:space="preserve"> | </w:t>
            </w:r>
            <w:r>
              <w:rPr>
                <w:rFonts w:ascii="Calibri" w:hAnsi="Calibri"/>
                <w:b/>
                <w:i w:val="0"/>
                <w:color w:val="000000"/>
                <w:sz w:val="14"/>
              </w:rPr>
              <w:t>Material</w:t>
            </w:r>
          </w:p>
        </w:tc>
        <w:tc>
          <w:tcPr>
            <w:shd w:val="clear" w:color="auto" w:fill="D9E2F3"/>
            <w:tcW w:type="dxa" w:w="1939"/>
          </w:tcPr>
          <w:p>
            <w:pPr>
              <w:keepNext/>
            </w:pPr>
            <w:r/>
            <w:r>
              <w:rPr>
                <w:rFonts w:ascii="Calibri" w:hAnsi="Calibri"/>
                <w:b/>
                <w:i w:val="0"/>
                <w:color w:val="000000"/>
                <w:sz w:val="20"/>
              </w:rPr>
              <w:t>Температура</w:t>
            </w:r>
            <w:r>
              <w:rPr>
                <w:rFonts w:ascii="Calibri" w:hAnsi="Calibri"/>
                <w:b w:val="0"/>
                <w:i w:val="0"/>
                <w:color w:val="000000"/>
                <w:sz w:val="14"/>
              </w:rPr>
              <w:t xml:space="preserve"> | </w:t>
            </w:r>
            <w:r>
              <w:rPr>
                <w:rFonts w:ascii="Calibri" w:hAnsi="Calibri"/>
                <w:b/>
                <w:i w:val="0"/>
                <w:color w:val="000000"/>
                <w:sz w:val="14"/>
              </w:rPr>
              <w:t>Temperature</w:t>
            </w:r>
          </w:p>
        </w:tc>
        <w:tc>
          <w:tcPr>
            <w:shd w:val="clear" w:color="auto" w:fill="D9E2F3"/>
            <w:tcW w:type="dxa" w:w="1036"/>
          </w:tcPr>
          <w:p>
            <w:pPr>
              <w:keepNext/>
            </w:pPr>
            <w:r/>
            <w:r>
              <w:rPr>
                <w:rFonts w:ascii="Calibri" w:hAnsi="Calibri"/>
                <w:b/>
                <w:i w:val="0"/>
                <w:color w:val="000000"/>
                <w:sz w:val="20"/>
              </w:rPr>
              <w:t>Влага</w:t>
            </w:r>
            <w:r>
              <w:rPr>
                <w:rFonts w:ascii="Calibri" w:hAnsi="Calibri"/>
                <w:b w:val="0"/>
                <w:i w:val="0"/>
                <w:color w:val="000000"/>
                <w:sz w:val="14"/>
              </w:rPr>
              <w:t xml:space="preserve"> | </w:t>
            </w:r>
            <w:r>
              <w:rPr>
                <w:rFonts w:ascii="Calibri" w:hAnsi="Calibri"/>
                <w:b/>
                <w:i w:val="0"/>
                <w:color w:val="000000"/>
                <w:sz w:val="14"/>
              </w:rPr>
              <w:t>Humidity</w:t>
            </w:r>
          </w:p>
        </w:tc>
        <w:tc>
          <w:tcPr>
            <w:shd w:val="clear" w:color="auto" w:fill="D9E2F3"/>
            <w:tcW w:type="dxa" w:w="2496"/>
          </w:tcPr>
          <w:p>
            <w:pPr>
              <w:keepNext/>
            </w:pPr>
            <w:r/>
            <w:r>
              <w:rPr>
                <w:rFonts w:ascii="Calibri" w:hAnsi="Calibri"/>
                <w:b/>
                <w:i w:val="0"/>
                <w:color w:val="000000"/>
                <w:sz w:val="20"/>
              </w:rPr>
              <w:t>Логери</w:t>
            </w:r>
            <w:r>
              <w:rPr>
                <w:rFonts w:ascii="Calibri" w:hAnsi="Calibri"/>
                <w:b w:val="0"/>
                <w:i w:val="0"/>
                <w:color w:val="000000"/>
                <w:sz w:val="14"/>
              </w:rPr>
              <w:t xml:space="preserve"> | </w:t>
            </w:r>
            <w:r>
              <w:rPr>
                <w:rFonts w:ascii="Calibri" w:hAnsi="Calibri"/>
                <w:b/>
                <w:i w:val="0"/>
                <w:color w:val="000000"/>
                <w:sz w:val="14"/>
              </w:rPr>
              <w:t>Loggers</w:t>
            </w:r>
          </w:p>
        </w:tc>
        <w:tc>
          <w:tcPr>
            <w:shd w:val="clear" w:color="auto" w:fill="D9E2F3"/>
            <w:tcW w:type="dxa" w:w="2496"/>
          </w:tcPr>
          <w:p>
            <w:pPr>
              <w:keepNext/>
            </w:pPr>
            <w:r/>
            <w:r>
              <w:rPr>
                <w:rFonts w:ascii="Calibri" w:hAnsi="Calibri"/>
                <w:b/>
                <w:i w:val="0"/>
                <w:color w:val="000000"/>
                <w:sz w:val="20"/>
              </w:rPr>
              <w:t>Пакување</w:t>
            </w:r>
            <w:r>
              <w:rPr>
                <w:rFonts w:ascii="Calibri" w:hAnsi="Calibri"/>
                <w:b w:val="0"/>
                <w:i w:val="0"/>
                <w:color w:val="000000"/>
                <w:sz w:val="14"/>
              </w:rPr>
              <w:t xml:space="preserve"> | </w:t>
            </w:r>
            <w:r>
              <w:rPr>
                <w:rFonts w:ascii="Calibri" w:hAnsi="Calibri"/>
                <w:b/>
                <w:i w:val="0"/>
                <w:color w:val="000000"/>
                <w:sz w:val="14"/>
              </w:rPr>
              <w:t>Packaging</w:t>
            </w:r>
          </w:p>
        </w:tc>
      </w:tr>
      <w:tr>
        <w:trPr>
          <w:cantSplit/>
        </w:trPr>
        <w:tc>
          <w:tcPr>
            <w:tcW w:type="dxa" w:w="2496"/>
          </w:tcPr>
          <w:p>
            <w:pPr>
              <w:keepNext/>
            </w:pPr>
            <w:r/>
            <w:r>
              <w:rPr>
                <w:rFonts w:ascii="Calibri" w:hAnsi="Calibri"/>
                <w:b w:val="0"/>
                <w:i w:val="0"/>
                <w:color w:val="000000"/>
                <w:sz w:val="20"/>
              </w:rPr>
              <w:t>Меѓупроизвод (ринфуз во кеси)</w:t>
            </w:r>
            <w:r>
              <w:rPr>
                <w:rFonts w:ascii="Calibri" w:hAnsi="Calibri"/>
                <w:b w:val="0"/>
                <w:i w:val="0"/>
                <w:color w:val="000000"/>
                <w:sz w:val="14"/>
              </w:rPr>
              <w:t xml:space="preserve"> | </w:t>
            </w:r>
            <w:r>
              <w:rPr>
                <w:rFonts w:ascii="Calibri" w:hAnsi="Calibri"/>
                <w:b w:val="0"/>
                <w:i w:val="0"/>
                <w:color w:val="000000"/>
                <w:sz w:val="14"/>
              </w:rPr>
              <w:t>Intermediate (bulk in bags)</w:t>
            </w:r>
          </w:p>
        </w:tc>
        <w:tc>
          <w:tcPr>
            <w:tcW w:type="dxa" w:w="1939"/>
          </w:tcPr>
          <w:p>
            <w:pPr>
              <w:keepNext/>
            </w:pPr>
            <w:r/>
            <w:r>
              <w:rPr>
                <w:rFonts w:ascii="Calibri" w:hAnsi="Calibri"/>
                <w:b w:val="0"/>
                <w:i w:val="0"/>
                <w:color w:val="000000"/>
                <w:sz w:val="20"/>
              </w:rPr>
              <w:t>15–25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496"/>
          </w:tcPr>
          <w:p>
            <w:pPr>
              <w:keepNext/>
            </w:pPr>
            <w:r/>
            <w:r>
              <w:rPr>
                <w:rFonts w:ascii="Calibri" w:hAnsi="Calibri"/>
                <w:b w:val="0"/>
                <w:i w:val="0"/>
                <w:color w:val="000000"/>
                <w:sz w:val="20"/>
              </w:rPr>
              <w:t>10 кеси/картон; палета G 8 или M 4 картони; стреч-фолија и термо-ќебе</w:t>
            </w:r>
            <w:r>
              <w:rPr>
                <w:rFonts w:ascii="Calibri" w:hAnsi="Calibri"/>
                <w:b w:val="0"/>
                <w:i w:val="0"/>
                <w:color w:val="000000"/>
                <w:sz w:val="14"/>
              </w:rPr>
              <w:t xml:space="preserve"> | </w:t>
            </w:r>
            <w:r>
              <w:rPr>
                <w:rFonts w:ascii="Calibri" w:hAnsi="Calibri"/>
                <w:b w:val="0"/>
                <w:i w:val="0"/>
                <w:color w:val="000000"/>
                <w:sz w:val="14"/>
              </w:rPr>
              <w:t>10 bags/carton; pallet L 8 or S 4 cartons; stretch film and thermal blanket</w:t>
            </w:r>
          </w:p>
        </w:tc>
      </w:tr>
      <w:tr>
        <w:trPr>
          <w:cantSplit/>
        </w:trPr>
        <w:tc>
          <w:tcPr>
            <w:tcW w:type="dxa" w:w="2496"/>
          </w:tcPr>
          <w:p>
            <w:pPr>
              <w:keepNext/>
            </w:pPr>
            <w:r/>
            <w:r>
              <w:rPr>
                <w:rFonts w:ascii="Calibri" w:hAnsi="Calibri"/>
                <w:b w:val="0"/>
                <w:i w:val="0"/>
                <w:color w:val="000000"/>
                <w:sz w:val="20"/>
              </w:rPr>
              <w:t>Готов производ — сув цвет</w:t>
            </w:r>
            <w:r>
              <w:rPr>
                <w:rFonts w:ascii="Calibri" w:hAnsi="Calibri"/>
                <w:b w:val="0"/>
                <w:i w:val="0"/>
                <w:color w:val="000000"/>
                <w:sz w:val="14"/>
              </w:rPr>
              <w:t xml:space="preserve"> | </w:t>
            </w:r>
            <w:r>
              <w:rPr>
                <w:rFonts w:ascii="Calibri" w:hAnsi="Calibri"/>
                <w:b w:val="0"/>
                <w:i w:val="0"/>
                <w:color w:val="000000"/>
                <w:sz w:val="14"/>
              </w:rPr>
              <w:t>Finished product — dried flower</w:t>
            </w:r>
          </w:p>
        </w:tc>
        <w:tc>
          <w:tcPr>
            <w:tcW w:type="dxa" w:w="1939"/>
          </w:tcPr>
          <w:p>
            <w:pPr>
              <w:keepNext/>
            </w:pPr>
            <w:r/>
            <w:r>
              <w:rPr>
                <w:rFonts w:ascii="Calibri" w:hAnsi="Calibri"/>
                <w:b w:val="0"/>
                <w:i w:val="0"/>
                <w:color w:val="000000"/>
                <w:sz w:val="20"/>
              </w:rPr>
              <w:t>15–25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496"/>
          </w:tcPr>
          <w:p>
            <w:pPr>
              <w:keepNext/>
            </w:pPr>
            <w:r/>
            <w:r>
              <w:rPr>
                <w:rFonts w:ascii="Calibri" w:hAnsi="Calibri"/>
                <w:b w:val="0"/>
                <w:i w:val="0"/>
                <w:color w:val="000000"/>
                <w:sz w:val="20"/>
              </w:rPr>
              <w:t>запечатени кеси во картони на палета, како погоре</w:t>
            </w:r>
            <w:r>
              <w:rPr>
                <w:rFonts w:ascii="Calibri" w:hAnsi="Calibri"/>
                <w:b w:val="0"/>
                <w:i w:val="0"/>
                <w:color w:val="000000"/>
                <w:sz w:val="14"/>
              </w:rPr>
              <w:t xml:space="preserve"> | </w:t>
            </w:r>
            <w:r>
              <w:rPr>
                <w:rFonts w:ascii="Calibri" w:hAnsi="Calibri"/>
                <w:b w:val="0"/>
                <w:i w:val="0"/>
                <w:color w:val="000000"/>
                <w:sz w:val="14"/>
              </w:rPr>
              <w:t>sealed bags in cartons on pallets, as above</w:t>
            </w:r>
          </w:p>
        </w:tc>
      </w:tr>
      <w:tr>
        <w:trPr>
          <w:cantSplit/>
        </w:trPr>
        <w:tc>
          <w:tcPr>
            <w:tcW w:type="dxa" w:w="2496"/>
          </w:tcPr>
          <w:p>
            <w:pPr>
              <w:keepNext/>
            </w:pPr>
            <w:r/>
            <w:r>
              <w:rPr>
                <w:rFonts w:ascii="Calibri" w:hAnsi="Calibri"/>
                <w:b w:val="0"/>
                <w:i w:val="0"/>
                <w:color w:val="000000"/>
                <w:sz w:val="20"/>
              </w:rPr>
              <w:t>Клонови</w:t>
            </w:r>
            <w:r>
              <w:rPr>
                <w:rFonts w:ascii="Calibri" w:hAnsi="Calibri"/>
                <w:b w:val="0"/>
                <w:i w:val="0"/>
                <w:color w:val="000000"/>
                <w:sz w:val="14"/>
              </w:rPr>
              <w:t xml:space="preserve"> | </w:t>
            </w:r>
            <w:r>
              <w:rPr>
                <w:rFonts w:ascii="Calibri" w:hAnsi="Calibri"/>
                <w:b w:val="0"/>
                <w:i w:val="0"/>
                <w:color w:val="000000"/>
                <w:sz w:val="14"/>
              </w:rPr>
              <w:t>Clones</w:t>
            </w:r>
          </w:p>
        </w:tc>
        <w:tc>
          <w:tcPr>
            <w:tcW w:type="dxa" w:w="1939"/>
          </w:tcPr>
          <w:p>
            <w:pPr>
              <w:keepNext/>
            </w:pPr>
            <w:r/>
            <w:r>
              <w:rPr>
                <w:rFonts w:ascii="Calibri" w:hAnsi="Calibri"/>
                <w:b w:val="0"/>
                <w:i w:val="0"/>
                <w:color w:val="000000"/>
                <w:sz w:val="20"/>
              </w:rPr>
              <w:t>+2 до +8 °C</w:t>
            </w:r>
            <w:r>
              <w:rPr>
                <w:rFonts w:ascii="Calibri" w:hAnsi="Calibri"/>
                <w:b w:val="0"/>
                <w:i w:val="0"/>
                <w:color w:val="000000"/>
                <w:sz w:val="14"/>
              </w:rPr>
              <w:t xml:space="preserve"> | </w:t>
            </w:r>
            <w:r>
              <w:rPr>
                <w:rFonts w:ascii="Calibri" w:hAnsi="Calibri"/>
                <w:b w:val="0"/>
                <w:i w:val="0"/>
                <w:color w:val="000000"/>
                <w:sz w:val="14"/>
              </w:rPr>
              <w:t>+2 to +8 °C</w:t>
            </w:r>
          </w:p>
        </w:tc>
        <w:tc>
          <w:tcPr>
            <w:tcW w:type="dxa" w:w="1036"/>
          </w:tcPr>
          <w:p>
            <w:pPr>
              <w:keepNext/>
            </w:pPr>
            <w:r/>
            <w:r>
              <w:rPr>
                <w:rFonts w:ascii="Calibri" w:hAnsi="Calibri"/>
                <w:b w:val="0"/>
                <w:i w:val="0"/>
                <w:color w:val="000000"/>
                <w:sz w:val="20"/>
              </w:rPr>
              <w:t>—</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во ладилникот + 1 USB</w:t>
            </w:r>
            <w:r>
              <w:rPr>
                <w:rFonts w:ascii="Calibri" w:hAnsi="Calibri"/>
                <w:b w:val="0"/>
                <w:i w:val="0"/>
                <w:color w:val="000000"/>
                <w:sz w:val="14"/>
              </w:rPr>
              <w:t xml:space="preserve"> | </w:t>
            </w:r>
            <w:r>
              <w:rPr>
                <w:rFonts w:ascii="Calibri" w:hAnsi="Calibri"/>
                <w:b w:val="0"/>
                <w:i w:val="0"/>
                <w:color w:val="000000"/>
                <w:sz w:val="14"/>
              </w:rPr>
              <w:t>1 single-use in the cool box + 1 USB</w:t>
            </w:r>
          </w:p>
        </w:tc>
        <w:tc>
          <w:tcPr>
            <w:tcW w:type="dxa" w:w="2496"/>
          </w:tcPr>
          <w:p>
            <w:pPr>
              <w:keepNext/>
            </w:pPr>
            <w:r/>
            <w:r>
              <w:rPr>
                <w:rFonts w:ascii="Calibri" w:hAnsi="Calibri"/>
                <w:b w:val="0"/>
                <w:i w:val="0"/>
                <w:color w:val="000000"/>
                <w:sz w:val="20"/>
              </w:rPr>
              <w:t>квалификуван ладилник</w:t>
            </w:r>
            <w:r>
              <w:rPr>
                <w:rFonts w:ascii="Calibri" w:hAnsi="Calibri"/>
                <w:b w:val="0"/>
                <w:i w:val="0"/>
                <w:color w:val="000000"/>
                <w:sz w:val="14"/>
              </w:rPr>
              <w:t xml:space="preserve"> | </w:t>
            </w:r>
            <w:r>
              <w:rPr>
                <w:rFonts w:ascii="Calibri" w:hAnsi="Calibri"/>
                <w:b w:val="0"/>
                <w:i w:val="0"/>
                <w:color w:val="000000"/>
                <w:sz w:val="14"/>
              </w:rPr>
              <w:t>qualified cool box</w:t>
            </w:r>
          </w:p>
        </w:tc>
      </w:tr>
      <w:tr>
        <w:trPr>
          <w:cantSplit/>
        </w:trPr>
        <w:tc>
          <w:tcPr>
            <w:tcW w:type="dxa" w:w="2496"/>
          </w:tcPr>
          <w:p>
            <w:pPr>
              <w:keepNext/>
            </w:pPr>
            <w:r/>
            <w:r>
              <w:rPr>
                <w:rFonts w:ascii="Calibri" w:hAnsi="Calibri"/>
                <w:b w:val="0"/>
                <w:i w:val="0"/>
                <w:color w:val="000000"/>
                <w:sz w:val="20"/>
              </w:rPr>
              <w:t>Семе</w:t>
            </w:r>
            <w:r>
              <w:rPr>
                <w:rFonts w:ascii="Calibri" w:hAnsi="Calibri"/>
                <w:b w:val="0"/>
                <w:i w:val="0"/>
                <w:color w:val="000000"/>
                <w:sz w:val="14"/>
              </w:rPr>
              <w:t xml:space="preserve"> | </w:t>
            </w:r>
            <w:r>
              <w:rPr>
                <w:rFonts w:ascii="Calibri" w:hAnsi="Calibri"/>
                <w:b w:val="0"/>
                <w:i w:val="0"/>
                <w:color w:val="000000"/>
                <w:sz w:val="14"/>
              </w:rPr>
              <w:t>Seeds</w:t>
            </w:r>
          </w:p>
        </w:tc>
        <w:tc>
          <w:tcPr>
            <w:tcW w:type="dxa" w:w="1939"/>
          </w:tcPr>
          <w:p>
            <w:pPr>
              <w:keepNext/>
            </w:pPr>
            <w:r/>
            <w:r>
              <w:rPr>
                <w:rFonts w:ascii="Calibri" w:hAnsi="Calibri"/>
                <w:b w:val="0"/>
                <w:i w:val="0"/>
                <w:color w:val="000000"/>
                <w:sz w:val="20"/>
              </w:rPr>
              <w:t>5–20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USB во товарниот простор</w:t>
            </w:r>
            <w:r>
              <w:rPr>
                <w:rFonts w:ascii="Calibri" w:hAnsi="Calibri"/>
                <w:b w:val="0"/>
                <w:i w:val="0"/>
                <w:color w:val="000000"/>
                <w:sz w:val="14"/>
              </w:rPr>
              <w:t xml:space="preserve"> | </w:t>
            </w:r>
            <w:r>
              <w:rPr>
                <w:rFonts w:ascii="Calibri" w:hAnsi="Calibri"/>
                <w:b w:val="0"/>
                <w:i w:val="0"/>
                <w:color w:val="000000"/>
                <w:sz w:val="14"/>
              </w:rPr>
              <w:t>1 USB in the load space</w:t>
            </w:r>
          </w:p>
        </w:tc>
        <w:tc>
          <w:tcPr>
            <w:tcW w:type="dxa" w:w="2496"/>
          </w:tcPr>
          <w:p>
            <w:pPr>
              <w:keepNext/>
            </w:pPr>
            <w:r/>
            <w:r>
              <w:rPr>
                <w:rFonts w:ascii="Calibri" w:hAnsi="Calibri"/>
                <w:b w:val="0"/>
                <w:i w:val="0"/>
                <w:color w:val="000000"/>
                <w:sz w:val="20"/>
              </w:rPr>
              <w:t>херметичка амбалажа</w:t>
            </w:r>
            <w:r>
              <w:rPr>
                <w:rFonts w:ascii="Calibri" w:hAnsi="Calibri"/>
                <w:b w:val="0"/>
                <w:i w:val="0"/>
                <w:color w:val="000000"/>
                <w:sz w:val="14"/>
              </w:rPr>
              <w:t xml:space="preserve"> | </w:t>
            </w:r>
            <w:r>
              <w:rPr>
                <w:rFonts w:ascii="Calibri" w:hAnsi="Calibri"/>
                <w:b w:val="0"/>
                <w:i w:val="0"/>
                <w:color w:val="000000"/>
                <w:sz w:val="14"/>
              </w:rPr>
              <w:t>airtight container</w:t>
            </w:r>
          </w:p>
        </w:tc>
      </w:tr>
      <w:tr>
        <w:trPr>
          <w:cantSplit/>
        </w:trPr>
        <w:tc>
          <w:tcPr>
            <w:tcW w:type="dxa" w:w="2496"/>
          </w:tcPr>
          <w:p>
            <w:r/>
            <w:r>
              <w:rPr>
                <w:rFonts w:ascii="Calibri" w:hAnsi="Calibri"/>
                <w:b w:val="0"/>
                <w:i w:val="0"/>
                <w:color w:val="000000"/>
                <w:sz w:val="20"/>
              </w:rPr>
              <w:t>Отпад за уништување</w:t>
            </w:r>
            <w:r>
              <w:rPr>
                <w:rFonts w:ascii="Calibri" w:hAnsi="Calibri"/>
                <w:b w:val="0"/>
                <w:i w:val="0"/>
                <w:color w:val="000000"/>
                <w:sz w:val="14"/>
              </w:rPr>
              <w:t xml:space="preserve"> | </w:t>
            </w:r>
            <w:r>
              <w:rPr>
                <w:rFonts w:ascii="Calibri" w:hAnsi="Calibri"/>
                <w:b w:val="0"/>
                <w:i w:val="0"/>
                <w:color w:val="000000"/>
                <w:sz w:val="14"/>
              </w:rPr>
              <w:t>Waste for destruction</w:t>
            </w:r>
          </w:p>
        </w:tc>
        <w:tc>
          <w:tcPr>
            <w:tcW w:type="dxa" w:w="1939"/>
          </w:tcPr>
          <w:p>
            <w:r/>
            <w:r>
              <w:rPr>
                <w:rFonts w:ascii="Calibri" w:hAnsi="Calibri"/>
                <w:b w:val="0"/>
                <w:i w:val="0"/>
                <w:color w:val="000000"/>
                <w:sz w:val="20"/>
              </w:rPr>
              <w:t>не е критична</w:t>
            </w:r>
            <w:r>
              <w:rPr>
                <w:rFonts w:ascii="Calibri" w:hAnsi="Calibri"/>
                <w:b w:val="0"/>
                <w:i w:val="0"/>
                <w:color w:val="000000"/>
                <w:sz w:val="14"/>
              </w:rPr>
              <w:t xml:space="preserve"> | </w:t>
            </w:r>
            <w:r>
              <w:rPr>
                <w:rFonts w:ascii="Calibri" w:hAnsi="Calibri"/>
                <w:b w:val="0"/>
                <w:i w:val="0"/>
                <w:color w:val="000000"/>
                <w:sz w:val="14"/>
              </w:rPr>
              <w:t>not critical</w:t>
            </w:r>
          </w:p>
        </w:tc>
        <w:tc>
          <w:tcPr>
            <w:tcW w:type="dxa" w:w="1036"/>
          </w:tcPr>
          <w:p>
            <w:r/>
            <w:r>
              <w:rPr>
                <w:rFonts w:ascii="Calibri" w:hAnsi="Calibri"/>
                <w:b w:val="0"/>
                <w:i w:val="0"/>
                <w:color w:val="000000"/>
                <w:sz w:val="20"/>
              </w:rPr>
              <w:t>—</w:t>
            </w:r>
            <w:r>
              <w:rPr>
                <w:rFonts w:ascii="Calibri" w:hAnsi="Calibri"/>
                <w:b w:val="0"/>
                <w:i w:val="0"/>
                <w:color w:val="000000"/>
                <w:sz w:val="14"/>
              </w:rPr>
            </w:r>
          </w:p>
        </w:tc>
        <w:tc>
          <w:tcPr>
            <w:tcW w:type="dxa" w:w="2496"/>
          </w:tcPr>
          <w:p>
            <w:r/>
            <w:r>
              <w:rPr>
                <w:rFonts w:ascii="Calibri" w:hAnsi="Calibri"/>
                <w:b w:val="0"/>
                <w:i w:val="0"/>
                <w:color w:val="000000"/>
                <w:sz w:val="20"/>
              </w:rPr>
              <w:t>не е задолжителен</w:t>
            </w:r>
            <w:r>
              <w:rPr>
                <w:rFonts w:ascii="Calibri" w:hAnsi="Calibri"/>
                <w:b w:val="0"/>
                <w:i w:val="0"/>
                <w:color w:val="000000"/>
                <w:sz w:val="14"/>
              </w:rPr>
              <w:t xml:space="preserve"> | </w:t>
            </w:r>
            <w:r>
              <w:rPr>
                <w:rFonts w:ascii="Calibri" w:hAnsi="Calibri"/>
                <w:b w:val="0"/>
                <w:i w:val="0"/>
                <w:color w:val="000000"/>
                <w:sz w:val="14"/>
              </w:rPr>
              <w:t>not required</w:t>
            </w:r>
          </w:p>
        </w:tc>
        <w:tc>
          <w:tcPr>
            <w:tcW w:type="dxa" w:w="2496"/>
          </w:tcPr>
          <w:p>
            <w:r/>
            <w:r>
              <w:rPr>
                <w:rFonts w:ascii="Calibri" w:hAnsi="Calibri"/>
                <w:b w:val="0"/>
                <w:i w:val="0"/>
                <w:color w:val="000000"/>
                <w:sz w:val="20"/>
              </w:rPr>
              <w:t>запечатени вреќи, записник</w:t>
            </w:r>
            <w:r>
              <w:rPr>
                <w:rFonts w:ascii="Calibri" w:hAnsi="Calibri"/>
                <w:b w:val="0"/>
                <w:i w:val="0"/>
                <w:color w:val="000000"/>
                <w:sz w:val="14"/>
              </w:rPr>
              <w:t xml:space="preserve"> | </w:t>
            </w:r>
            <w:r>
              <w:rPr>
                <w:rFonts w:ascii="Calibri" w:hAnsi="Calibri"/>
                <w:b w:val="0"/>
                <w:i w:val="0"/>
                <w:color w:val="000000"/>
                <w:sz w:val="14"/>
              </w:rPr>
              <w:t>sealed sacks, record</w:t>
            </w:r>
          </w:p>
        </w:tc>
      </w:tr>
    </w:tbl>
    <w:p>
      <w:pPr>
        <w:keepNext/>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6.2 Фаза 1 — Планирање и процена на ризик</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6.2 Stage 1 — Planning and risk assessment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6.2.1 Иницијаторот (Логистика за меѓупроизвод и производ, Култивација за пропагационен материјал) го пријавува барањето до Сектор Обезбедување најмалку 5 работни дена пред планираниот датум, со: вид и количина на материјал (нето маса во грамови), број на палети (G/M), картони и кеси, примач, планиран датум и посебни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6.2.1 The initiator (Logistics for intermediate and product, Cultivation for propagation material) submits the request to Security at least 5 working days before the planned date, stating: type and quantity of material (net mass in grams), number of pallets (L/S), cartons and bags, consignee, planned date and special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6.2.2 Сектор Обезбедување проверува дали рутата е со статус QUALIFIED и важечка сезонска квалификација во QASOP_0XX_A06, за истото возило и истата конфигурација на палети. Ако не е, транспортот не се изведува додека QA не одобри квалификација или документирана исклучителна мерка преку контрола на промени.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6.2.2 Security verifies that the lane holds QUALIFIED status and a valid seasonal qualification in QASOP_0XX_A06, for the same vehicle and the same pallet configuration. If it does not, the transport is not performed until QA approves a qualification or a documented exceptional measure via change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6.2.3 Логистика генерира UTID и ја пополнува Процената на ризик од транспорт (WHSOP_003_A01): безбедност, сезонска температура, времетраење, стабилност на материјалот, распоред на палетите во возилото, точки на запирање и мерки за намалување на ризикот. QA го одобрува TRA пред барањето до МВР.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6.2.3 Logistics generates the UTID and completes the Transport Risk Assessment (WHSOP_003_A01): security, seasonal temperature, duration, material stability, arrangement of the pallets in the vehicle, stopping points and mitigation measures. QA approves the TRA before the request to the MoIA.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6.3 Фаза 2 — Барање за полициско придружување (најмалку 24 часа пред отпремата)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6.3 Stage 2 — Request for police escort (at least 24 hours before dispatch)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6.3.1 Сектор Обезбедување го пополнува Барањето за полициско придружување и известување за транспорт до МВР (WHSOP_003_A02) со: податоци за Пјурли Плант и број на дозвола, UTID, датум и време на поаѓање и очекувано пристигнување, адреса на испраќање и прием, намена, вкупна нето количина (g), број на палети, картони и кеси, регистарски број на возилото, лицата што го извршуваат транспортот, опис на рутата и предложено место и време на почеток на придружувањето.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6.3.1 Security completes the Request for police escort and notification of transport to the MoIA (WHSOP_003_A02) with: Purely Plant details and licence number, UTID, departure date/time and expected arrival, dispatch and receipt addresses, purpose, total net quantity (g), number of pallets, cartons and bags, vehicle registration, the persons performing the transport, route description and the proposed place and time at which the escort starts.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6.3.2 Барањето се поднесува најмалку 24 часа пред поаѓањето (лично со заверка — препорачано, препорачана пошта со повратница или официјална е-пошта ако е прифатена). Писмената потврда од МВР (заверка или допис) е ЗАДОЛЖИТЕЛНА пред отпремата; ако не е добиена или придружувањето не се појави, отпремата се одложува и се известува QP.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6.3.2 The request is submitted at least 24 hours before departure (in person with stamp — preferred, registered mail with return receipt, or official e-mail where accepted). Written MoIA confirmation (stamp or letter) is MANDATORY before dispatch; if it is not received or the escort does not arrive, dispatch is postponed and the QP is informed.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6.4 Фаза 3 — Формирање на палети, означување и логери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6.4 Stage 3 — Palletising, labelling and loggers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6.4.1 Материјалот се зема од складиштето во статус ОДОБРЕНО, со двојна проверка од две лица (идентитет на кесата, серија, нето маса); двете лица потпишуваат на листата на пакување на картонот (WHSOP_003_A03). При неусогласеност — СТОП, истрага и решавање пред продолжување.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6.4.1 The material is taken from storage in APPROVED status, with two-person verification (bag identity, batch, net mass); both persons sign the carton packing list (WHSOP_003_A03). On any discrepancy — STOP, investigate and resolve before proceeding.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6.4.2 Картон: 10 кеси, листа на пакување на картонот во проѕирна плика на картонот и копија во досието; картонот се затвора со серијализирана безбедносна лента; етикетата на картонот (A03) се лепи на една страна. Палета: голема — 8 картони, мала — 4 картони, на евро-палета; картоните се редат без препуштање преку работ на палетата; палетата се завиткува со стреч-фолија, преку неа со термо-ќебе, и повторно со стреч-фолија; крајот на фолијата се лепи со безбедносна лента потпишана и датирана од двете лица.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6.4.2 Carton: 10 bags, the carton packing list in a clear pouch on the carton and a copy in the file; the carton is closed with serialised security tape; the carton label (A03) is applied on one side. Pallet: large — 8 cartons, small — 4 cartons, on a Euro pallet; cartons are stacked without overhanging the pallet edge; the pallet is wrapped in stretch film, then the thermal blanket over it, then stretch film again; the film end is closed with security tape signed and dated by both persons.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6.4.3 Етикети (систем на хартија, без бар-кодови и скенери): етикетите се печатат од контролираниот образец WHSOP_003_A03, со големи читливи знаци; етикетата на палетата се става во проѕирна плика на две соседни страни на надворешното завиткување. Пред лепење, второ лице ги споредува етикетите со листите на пакување и го потпишува тоа. Корекциите се прават според добрата документациска пракса (една линија, иницијали, датум); испишана етикета не се пребришува — се печати нова, а погрешната се поништува и се чува.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6.4.3 Labels (paper-based system, no barcodes or scanners): labels are printed from the controlled template WHSOP_003_A03, in large legible characters; the pallet label is placed in a clear pouch on two adjacent sides of the outer wrap. Before application, a second person compares the labels with the packing lists and signs for it. Corrections follow good documentation practice (single line, initials, date); a printed label is never overwritten — a new one is printed and the wrong one is voided and retained.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6.4.4 Надворешната етикета на палетата содржи: UTID и ID на палетата, тип (G/M), „палета n од N“, број на картони и кеси, испраќач и примач со контакт, услови на чување (15–25 °C, RH ≤ 60 %, заштита од влага), „ПРАТКА ПОД КОНТРОЛА — САМО ОВЛАСТЕН ТРАНСПОРТ“ и број за итни случаи. Таа не ја опишува содржината пошироко од потребното за испорака; сериите и масите се во листата на пакување на палетата, во запечатена плика прикачена на палетата.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6.4.4 The external pallet label carries: UTID and pallet ID, type (L/S), "pallet n of N", number of cartons and bags, consignor and consignee with contact, storage conditions (15–25 °C, RH ≤ 60 %, protect from moisture), "CONTROLLED CONSIGNMENT — AUTHORISED TRANSPORT ONLY" and an emergency number. It does not describe the contents beyond what delivery requires; batches and masses are on the pallet packing list, in a sealed envelope attached to the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6.4.5 Логери: (а) по еден логер за еднократна употреба во секоја палета — се активира и се проверува (почетно време, интервал, граници на аларм), се поставува во горниот слој, во аголот на палетата свртен кон вратите на товарниот простор (или во најлошата позиција утврдена со PQ), меѓу два картона, под термо-ќебето, без допир со фолијата; серискиот број се запишува на листата на пакување на палетата и во A04; (б) еден USB логер за температура и влага во товарниот простор, на рутинската позиција утврдена со OQ (QASOP_0XX), со важечка калибрација. Логерите не се ставаат во запечатените картони, за да може примачот да ги извади без да ги отвора.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6.4.5 Loggers: (a) one single-use logger in every pallet — activated and checked (start time, interval, alarm limits), placed in the top layer, at the pallet corner facing the load-space doors (or at the worst-case position established in PQ), between two cartons, under the thermal blanket and not touching the film; its serial number is recorded on the pallet packing list and in A04; (b) one USB temperature and humidity logger in the load space, at the routine position established in OQ (QASOP_0XX), with valid calibration. Loggers are not placed inside the sealed cartons, so that the consignee can remove them without opening the cartons.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6.5 Фаза 4 — Отпрема и почеток на ланецот на надзор</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6.5 Stage 4 — Dispatch and start of the chain of custody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6.5.1 Пред предавањето, Обезбедување и Логистика ја пополнуваат Чек-листата пред отпрема (WHSOP_003_A05, дел А): писмена потврда од МВР, одобрен TRA, рута QUALIFIED, палети, етикети и листи на пакување, пломби и ленти, логери, документи, идентитет на лицата и возилото, состојба на возилото. Ако ЕДНА ставка не е потврдена, транспортот НЕ започнува.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6.5.1 Before hand-over, Security and Logistics complete the Pre-dispatch Checklist (WHSOP_003_A05, part A): written MoIA confirmation, approved TRA, lane QUALIFIED, pallets, labels and packing lists, seals and tapes, loggers, documents, identity of the persons and the vehicle, vehicle condition. If ANY item is not confirmed, the transport does NOT start.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6.5.2 Возилото се проверува: регистарски број според A02, чист, сув и заклучлив товарен простор без мириси и штетници. Ако возилото има активна контрола на температура, таа се поставува на опсегот од 6.1 и се предкондиционира најмалку 30 минути; ако нема, заштитата е пасивна (термо-ќебе) и важи само за времетраењето и сезоната квалификувани во QASOP_0XX. Лицата се брифираат за рутата, временскиот прозорец, забраната за непланирани застанувања и протоколот за инциденти.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6.5.2 The vehicle is checked: registration as per A02, clean, dry and lockable load space free of odours and pests. If the vehicle has active temperature control, it is set to the range in 6.1 and pre-conditioned for at least 30 minutes; if it has none, protection is passive (thermal blanket) and is valid only for the duration and season qualified in QASOP_0XX. The persons are briefed on the route, time window, prohibition of unscheduled stops and incident protocol.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6.5.3 Палетите се товарат по распоредот од TRA, се обезбедуваат против поместување и не се допираат до ѕидовите и вратите; се фотографираат натоварените палети и пломбата на вратата. На точката на предавање 1 (Пјурли Плант → возач и придружник), во присуство на полициското придружување, се бројат палетите, се проверува целоста на завиткувањето и броевите на пломбите, и се потпишува WHSOP_003_A04; Раководителот на Обезбедување ја одобрува отпремата и го евидентира времето на поаѓање.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6.5.3 The pallets are loaded according to the arrangement in the TRA, secured against movement and kept clear of the walls and doors; the loaded pallets and the door seal are photographed. At transfer point 1 (Purely Plant → driver and escort person), in the presence of the police escort, the pallets are counted, the integrity of the wrapping and the seal numbers are checked, and WHSOP_003_A04 is signed; the Head of Security authorises dispatch and records the departure time.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6.6 Фаза 5 — Контрола во транзит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6.6 Stage 5 — In-transit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6.6.1 Возачот ја следи одобрената рута под полициско придружување, без отстапување; возилото никогаш не се остава без надзор; се застанува само на места одобрени во TRA или по барање на придружувањето, и содржината не се открива. Принудно отстапување (затворен пат, итност) се договара со придружувањето, веднаш се пријавува и се документира.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6.6.1 The driver follows the approved route under police escort, without deviation; the vehicle is never left unattended; stops are made only at points approved in the TRA or at the request of the escort, and the contents are not disclosed. Any forced deviation (road closure, emergency) is agreed with the escort, reported immediately and documented.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6.6.2 Придружникот ги евидентира контролните јавувања до Сектор Обезбедување по телефон во WHSOP_003_A04 §4.2: поаѓање, средина на рутата (ако е над 2 часа), 15–30 мин пред пристигнување, пристигнување — време, место, целост на пломбата и (ако возилото има дисплеј) температура на товарниот простор. Не се користи електронски систем за следење; рутата се потврдува со дневникот на јавувања и со потписите на точките на предавање.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6.6.2 The escort person records the check-in calls to Security by telephone in WHSOP_003_A04 §4.2: departure, mid-route (if over 2 hours), 15–30 min before arrival, arrival — time, place, seal integrity and (if the vehicle has a display) load-space temperature. No electronic tracking system is used; the route is confirmed by the call log and the signatures at the transfer points.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6.6.3 Инциденти (оштетена пломба или завиткување, дефект, сообраќајна незгода, доцнење над 2 часа, аларм на логер, безбедносен инцидент) се пријавуваат во рок од 15 минути: возач/придружник → Обезбедување Пјурли Плант → QA → QP (при критичен инцидент). Безбедносните инциденти на патот ги презема полициското придружување. Палетите не се отвораат. Инцидентот се евидентира во WHSOP_003_A04 и се отвора отстапување (QAS-05-002).</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6.6.3 Incidents (damaged seal or wrapping, breakdown, traffic accident, delay over 2 hours, logger alarm, security incident) are reported within 15 minutes: driver/escort person → Purely Plant Security → QA → QP (for critical incidents). Security incidents on the road are handled by the police escort. Pallets are not opened. The incident is recorded in WHSOP_003_A04 and a deviation is opened (QAS-05-002).</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6.7 Фаза 6 — Прием и проверка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6.7 Stage 6 — Receipt and verification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6.7.1 Пред потпис, примачот ја пополнува Чек-листата за прием (WHSOP_003_A05, дел Б): идентитет на лицата и возилото, број на палети, целост на завиткувањето, безбедносните ленти и пломбата на вратата, совпаѓање на етикетите на палетите со манифестот, број на картони по палета.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6.7.1 Before signing, the consignee completes the Receipt Checklist (WHSOP_003_A05, part B): identity of the persons and the vehicle, number of pallets, integrity of the wrapping, security tapes and door seal, match of the pallet labels with the manifest, number of cartons per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6.7.2 Примачот го одвиткува секоја палета, го вади логерот за еднократна употреба, го запира и ги запишува минимумот, максимумот и статусот на алармот (ако логерот го покажува), потоа ги брои картоните и ги проверува безбедносните ленти; кесите во картоните ги проверува според листата на пакување при отворањето. Логерите или нивните PDF-извештаи се враќаат на Пјурли Плант во рок од 24 часа.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6.7.2 The consignee unwraps each pallet, removes the single-use logger, stops it and records the minimum, maximum and alarm status (where the logger shows it), then counts the cartons and checks the security tapes; the bags in the cartons are checked against the packing list when the cartons are opened. The loggers or their PDF reports are returned to Purely Plant within 24 hours.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6.7.3 Ако пломбата или завиткувањето е оштетено или бројот не одговара, пратката НЕ се прифаќа: се фотографира, се известува QA на Пјурли Плант и се чека диспозиција. При аларм на логер или разлика во бројот/масата, пратката може да се прими „со резерва“ само по одлука на QA. Точка на предавање 2 (возач → примач) се потпишува и заверува во WHSOP_003_A04 со статус на прием: ПРИФАТЕНО / ПРИФАТЕНО СО РЕЗЕРВА / ОДБИЕНО.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6.7.3 If the seal or wrapping is damaged or the count does not match, the consignment is NOT accepted: it is photographed, Purely Plant QA is notified and disposition is awaited. On a logger alarm or a count/mass discrepancy, the consignment may be received "with reservation" only on a QA decision. Transfer point 2 (driver → consignee) is signed and stamped in WHSOP_003_A04 with the receipt status: ACCEPTED / ACCEPTED WITH RESERVATION / REJECTED.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6.8 Фаза 7 — Порамнување, известување по транспортот и архивирање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6.8 Stage 7 — Reconciliation, post-transport notification and archiving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6.8.1 Во рок од 24 часа по испораката возачот и придружникот ги враќаат: потпишаниот A04 и A05, USB логерот, фотографиите и скршените пломби; логерите за еднократна употреба или нивните PDF-извештаи ги враќа примачот. QA ги презема податоците од USB логерот со верификуваниот софтвер и ги чува изворните датотеки неизменети.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6.8.1 Within 24 hours of delivery the driver and escort person return: the signed A04 and A05, the USB logger, the photographs and the broken seals; the single-use loggers or their PDF reports are returned by the consignee. QA downloads the USB logger data with the verified software and keeps the original files unaltered.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6.8.2 Се порамнува количината на три нивоа: палети, картони и кеси; испратена нето маса наспроти примена маса по картон. Разлика над прецизноста на вагата на примачот се истражува како отстапување.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6.8.2 The quantity is reconciled at three levels: pallets, cartons and bags; dispatched net mass against received mass per carton. Any difference beyond the precision of the consignee's balance is investigated as a deviation.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6.8.3 Во рок од 3 работни дена по транспортот, Обезбедување го изготвува Известувањето по транспортот до МЗ (WHSOP_003_A06); QP го потпишува и се поднесува со доказ за поднесување.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6.8.3 Within 3 working days after the transport, Security prepares the post-transport notification to the MoH (WHSOP_003_A06); the QP signs it and it is submitted with proof of submission.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6.8.4 QA го прегледува досието во рок од 48 часа и ја евидентира диспозицијата во WHSOP_003_A07: ОДОБРЕНО / ОДОБРЕНО СО ОТСТАПУВАЊЕ / НЕУСОГЛАСЕНО (QP одлучува за материјалот). Податоците од сите логери се додаваат во трендот на рутата (QASOP_0XX_A06).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6.8.4 QA reviews the file within 48 hours and records the disposition in WHSOP_003_A07: APPROVED / APPROVED WITH DEVIATION / NON-COMPLIANT (QP decides on the material). The data from all loggers are added to the lane trend (QASOP_0XX_A06).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6.8.5 Досието се архивира под UTID: A01–A07, потврда од МВР, листи на пакување, поништени етикети, извештаи од логерите, фотографии и отстапувања. Рок на чување: најмалку 5 години или 1 година по истекот на рокот на употреба на серијата, што е подолго (EU GMP Part I §4.11).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6.8.5 The file is archived under the UTID: A01–A07, MoIA confirmation, packing lists, voided labels, logger reports, photographs and deviations. Retention: at least 5 years or 1 year after batch expiry, whichever is longer (EU GMP Part I §4.11).</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6.9 Управување со отстапувања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6.9 Deviation management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Отстапување е секое неисполнување на оваа СОП: регулаторно (отпрема без потврда од МВР или без придружување, доцнење на известувањето до МЗ), безбедносно (пломба, лента, завиткување, рута, инцидент), за интегритет (аларм на логер, оштетување, губење) или документациско (неусогласена етикета или листа на пакување). Пратката се задржува/сегрегира во КАРАНТИН, се известува QA и се води истрага и CAPA според QAS-05-002 / QAS-05-001; при критично отстапување QP ја носи диспозицијата. Екскурзијата се оценува со податоците за стабилност и MKT; без оценка, материјалот не се користи.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deviation is any failure to meet this SOP: regulatory (dispatch without MoIA confirmation or without escort, late MoH notification), security (seal, tape, wrapping, route, incident), integrity (logger alarm, damage, loss) or documentary (label or packing list mismatch). The consignment is held/segregated in QUARANTINE, QA is notified and an investigation and CAPA are performed per QAS-05-002 / QAS-05-001; for a critical deviation the QP decides the disposition. An excursion is assessed against stability data and the MKT; without that assessment the material is not used.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6.10 Обука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6.10 Training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Целиот вклучен персонал (Логистика, Обезбедување, возачи и придружници, КК, QA) се обучува за оваа СОП и анексите пред ефективниот датум и при секоја ревизија, со документирана евиденција (HR-01-006); освежителна обука најмалку на секои 2 години. Обуката на возачите и придружниците опфаќа и постапување со полициското придружување, поставување и вадење на логерите и пополнување на документите на хартија.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All involved personnel (Logistics, Security, drivers and escort persons, QC, QA) are trained on this SOP and its annexes before the effective date and at every revision, with documented records (HR-01-006); refresher training at least every 2 years. Training of drivers and escort persons also covers working with the police escort, placing and removing the loggers and completing the paper records.</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7.0 ЗАПИСИ</w:t>
      </w:r>
      <w:r>
        <w:rPr>
          <w:rFonts w:ascii="Calibri" w:hAnsi="Calibri"/>
          <w:b w:val="0"/>
          <w:i w:val="0"/>
          <w:color w:val="000000"/>
          <w:sz w:val="24"/>
        </w:rPr>
        <w:tab/>
      </w:r>
      <w:r>
        <w:rPr>
          <w:rFonts w:ascii="Calibri" w:hAnsi="Calibri"/>
          <w:b/>
          <w:i w:val="0"/>
          <w:color w:val="595959"/>
          <w:sz w:val="24"/>
        </w:rPr>
        <w:t>7.0 RECORDS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1826"/>
        <w:gridCol w:w="4320"/>
        <w:gridCol w:w="4320"/>
      </w:tblGrid>
      <w:tr>
        <w:trPr>
          <w:cantSplit/>
          <w:tblHeader w:val="true"/>
        </w:trPr>
        <w:tc>
          <w:tcPr>
            <w:shd w:val="clear" w:color="auto" w:fill="D9E2F3"/>
            <w:tcW w:type="dxa" w:w="1826"/>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4320"/>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c>
          <w:tcPr>
            <w:shd w:val="clear" w:color="auto" w:fill="D9E2F3"/>
            <w:tcW w:type="dxa" w:w="4320"/>
          </w:tcPr>
          <w:p>
            <w:pPr>
              <w:keepNext/>
            </w:pPr>
            <w:r/>
            <w:r>
              <w:rPr>
                <w:rFonts w:ascii="Calibri" w:hAnsi="Calibri"/>
                <w:b/>
                <w:i w:val="0"/>
                <w:color w:val="000000"/>
                <w:sz w:val="22"/>
              </w:rPr>
              <w:t>Кој пополнува</w:t>
            </w:r>
            <w:r>
              <w:rPr>
                <w:rFonts w:ascii="Calibri" w:hAnsi="Calibri"/>
                <w:b w:val="0"/>
                <w:i w:val="0"/>
                <w:color w:val="000000"/>
                <w:sz w:val="14"/>
              </w:rPr>
              <w:t xml:space="preserve"> | </w:t>
            </w:r>
            <w:r>
              <w:rPr>
                <w:rFonts w:ascii="Calibri" w:hAnsi="Calibri"/>
                <w:b/>
                <w:i w:val="0"/>
                <w:color w:val="000000"/>
                <w:sz w:val="14"/>
              </w:rPr>
              <w:t>Completed by</w:t>
            </w:r>
          </w:p>
        </w:tc>
      </w:tr>
      <w:tr>
        <w:trPr>
          <w:cantSplit/>
        </w:trPr>
        <w:tc>
          <w:tcPr>
            <w:tcW w:type="dxa" w:w="1826"/>
          </w:tcPr>
          <w:p>
            <w:pPr>
              <w:keepNext/>
            </w:pPr>
            <w:r/>
            <w:r>
              <w:rPr>
                <w:rFonts w:ascii="Calibri" w:hAnsi="Calibri"/>
                <w:b w:val="0"/>
                <w:i w:val="0"/>
                <w:color w:val="000000"/>
                <w:sz w:val="22"/>
              </w:rPr>
              <w:t>WHSOP_003_A01</w:t>
            </w:r>
            <w:r>
              <w:rPr>
                <w:rFonts w:ascii="Calibri" w:hAnsi="Calibri"/>
                <w:b w:val="0"/>
                <w:i w:val="0"/>
                <w:color w:val="000000"/>
                <w:sz w:val="14"/>
              </w:rPr>
            </w:r>
          </w:p>
        </w:tc>
        <w:tc>
          <w:tcPr>
            <w:tcW w:type="dxa" w:w="4320"/>
          </w:tcPr>
          <w:p>
            <w:pPr>
              <w:keepNext/>
            </w:pPr>
            <w:r/>
            <w:r>
              <w:rPr>
                <w:rFonts w:ascii="Calibri" w:hAnsi="Calibri"/>
                <w:b w:val="0"/>
                <w:i w:val="0"/>
                <w:color w:val="000000"/>
                <w:sz w:val="22"/>
              </w:rPr>
              <w:t>Процена на ризик од транспорт (TRA)</w:t>
            </w:r>
            <w:r>
              <w:rPr>
                <w:rFonts w:ascii="Calibri" w:hAnsi="Calibri"/>
                <w:b w:val="0"/>
                <w:i w:val="0"/>
                <w:color w:val="000000"/>
                <w:sz w:val="14"/>
              </w:rPr>
              <w:t xml:space="preserve"> | </w:t>
            </w:r>
            <w:r>
              <w:rPr>
                <w:rFonts w:ascii="Calibri" w:hAnsi="Calibri"/>
                <w:b w:val="0"/>
                <w:i w:val="0"/>
                <w:color w:val="000000"/>
                <w:sz w:val="14"/>
              </w:rPr>
              <w:t>Transport Risk Assessment (TRA)</w:t>
            </w:r>
          </w:p>
        </w:tc>
        <w:tc>
          <w:tcPr>
            <w:tcW w:type="dxa" w:w="4320"/>
          </w:tcPr>
          <w:p>
            <w:pPr>
              <w:keepNext/>
            </w:pPr>
            <w:r/>
            <w:r>
              <w:rPr>
                <w:rFonts w:ascii="Calibri" w:hAnsi="Calibri"/>
                <w:b w:val="0"/>
                <w:i w:val="0"/>
                <w:color w:val="000000"/>
                <w:sz w:val="22"/>
              </w:rPr>
              <w:t>Логистика, QA</w:t>
            </w:r>
            <w:r>
              <w:rPr>
                <w:rFonts w:ascii="Calibri" w:hAnsi="Calibri"/>
                <w:b w:val="0"/>
                <w:i w:val="0"/>
                <w:color w:val="000000"/>
                <w:sz w:val="14"/>
              </w:rPr>
              <w:t xml:space="preserve"> | </w:t>
            </w:r>
            <w:r>
              <w:rPr>
                <w:rFonts w:ascii="Calibri" w:hAnsi="Calibri"/>
                <w:b w:val="0"/>
                <w:i w:val="0"/>
                <w:color w:val="000000"/>
                <w:sz w:val="14"/>
              </w:rPr>
              <w:t>Logistics, QA</w:t>
            </w:r>
          </w:p>
        </w:tc>
      </w:tr>
      <w:tr>
        <w:trPr>
          <w:cantSplit/>
        </w:trPr>
        <w:tc>
          <w:tcPr>
            <w:tcW w:type="dxa" w:w="1826"/>
          </w:tcPr>
          <w:p>
            <w:pPr>
              <w:keepNext/>
            </w:pPr>
            <w:r/>
            <w:r>
              <w:rPr>
                <w:rFonts w:ascii="Calibri" w:hAnsi="Calibri"/>
                <w:b w:val="0"/>
                <w:i w:val="0"/>
                <w:color w:val="000000"/>
                <w:sz w:val="22"/>
              </w:rPr>
              <w:t>WHSOP_003_A02</w:t>
            </w:r>
            <w:r>
              <w:rPr>
                <w:rFonts w:ascii="Calibri" w:hAnsi="Calibri"/>
                <w:b w:val="0"/>
                <w:i w:val="0"/>
                <w:color w:val="000000"/>
                <w:sz w:val="14"/>
              </w:rPr>
            </w:r>
          </w:p>
        </w:tc>
        <w:tc>
          <w:tcPr>
            <w:tcW w:type="dxa" w:w="4320"/>
          </w:tcPr>
          <w:p>
            <w:pPr>
              <w:keepNext/>
            </w:pPr>
            <w:r/>
            <w:r>
              <w:rPr>
                <w:rFonts w:ascii="Calibri" w:hAnsi="Calibri"/>
                <w:b w:val="0"/>
                <w:i w:val="0"/>
                <w:color w:val="000000"/>
                <w:sz w:val="22"/>
              </w:rPr>
              <w:t>Барање за полициско придружување и известување за транспорт до МВР</w:t>
            </w:r>
            <w:r>
              <w:rPr>
                <w:rFonts w:ascii="Calibri" w:hAnsi="Calibri"/>
                <w:b w:val="0"/>
                <w:i w:val="0"/>
                <w:color w:val="000000"/>
                <w:sz w:val="14"/>
              </w:rPr>
              <w:t xml:space="preserve"> | </w:t>
            </w:r>
            <w:r>
              <w:rPr>
                <w:rFonts w:ascii="Calibri" w:hAnsi="Calibri"/>
                <w:b w:val="0"/>
                <w:i w:val="0"/>
                <w:color w:val="000000"/>
                <w:sz w:val="14"/>
              </w:rPr>
              <w:t>Request for Police Escort and Notification of Transport to the MoIA</w:t>
            </w:r>
          </w:p>
        </w:tc>
        <w:tc>
          <w:tcPr>
            <w:tcW w:type="dxa" w:w="4320"/>
          </w:tcPr>
          <w:p>
            <w:pPr>
              <w:keepNext/>
            </w:pPr>
            <w:r/>
            <w:r>
              <w:rPr>
                <w:rFonts w:ascii="Calibri" w:hAnsi="Calibri"/>
                <w:b w:val="0"/>
                <w:i w:val="0"/>
                <w:color w:val="000000"/>
                <w:sz w:val="22"/>
              </w:rPr>
              <w:t>Обезбедување</w:t>
            </w:r>
            <w:r>
              <w:rPr>
                <w:rFonts w:ascii="Calibri" w:hAnsi="Calibri"/>
                <w:b w:val="0"/>
                <w:i w:val="0"/>
                <w:color w:val="000000"/>
                <w:sz w:val="14"/>
              </w:rPr>
              <w:t xml:space="preserve"> | </w:t>
            </w:r>
            <w:r>
              <w:rPr>
                <w:rFonts w:ascii="Calibri" w:hAnsi="Calibri"/>
                <w:b w:val="0"/>
                <w:i w:val="0"/>
                <w:color w:val="000000"/>
                <w:sz w:val="14"/>
              </w:rPr>
              <w:t>Security</w:t>
            </w:r>
          </w:p>
        </w:tc>
      </w:tr>
      <w:tr>
        <w:trPr>
          <w:cantSplit/>
        </w:trPr>
        <w:tc>
          <w:tcPr>
            <w:tcW w:type="dxa" w:w="1826"/>
          </w:tcPr>
          <w:p>
            <w:pPr>
              <w:keepNext/>
            </w:pPr>
            <w:r/>
            <w:r>
              <w:rPr>
                <w:rFonts w:ascii="Calibri" w:hAnsi="Calibri"/>
                <w:b w:val="0"/>
                <w:i w:val="0"/>
                <w:color w:val="000000"/>
                <w:sz w:val="22"/>
              </w:rPr>
              <w:t>WHSOP_003_A03</w:t>
            </w:r>
            <w:r>
              <w:rPr>
                <w:rFonts w:ascii="Calibri" w:hAnsi="Calibri"/>
                <w:b w:val="0"/>
                <w:i w:val="0"/>
                <w:color w:val="000000"/>
                <w:sz w:val="14"/>
              </w:rPr>
            </w:r>
          </w:p>
        </w:tc>
        <w:tc>
          <w:tcPr>
            <w:tcW w:type="dxa" w:w="4320"/>
          </w:tcPr>
          <w:p>
            <w:pPr>
              <w:keepNext/>
            </w:pPr>
            <w:r/>
            <w:r>
              <w:rPr>
                <w:rFonts w:ascii="Calibri" w:hAnsi="Calibri"/>
                <w:b w:val="0"/>
                <w:i w:val="0"/>
                <w:color w:val="000000"/>
                <w:sz w:val="22"/>
              </w:rPr>
              <w:t>Етикети и листи на пакување за палети и картони</w:t>
            </w:r>
            <w:r>
              <w:rPr>
                <w:rFonts w:ascii="Calibri" w:hAnsi="Calibri"/>
                <w:b w:val="0"/>
                <w:i w:val="0"/>
                <w:color w:val="000000"/>
                <w:sz w:val="14"/>
              </w:rPr>
              <w:t xml:space="preserve"> | </w:t>
            </w:r>
            <w:r>
              <w:rPr>
                <w:rFonts w:ascii="Calibri" w:hAnsi="Calibri"/>
                <w:b w:val="0"/>
                <w:i w:val="0"/>
                <w:color w:val="000000"/>
                <w:sz w:val="14"/>
              </w:rPr>
              <w:t>Pallet and Carton Labels and Packing Lists</w:t>
            </w:r>
          </w:p>
        </w:tc>
        <w:tc>
          <w:tcPr>
            <w:tcW w:type="dxa" w:w="4320"/>
          </w:tcPr>
          <w:p>
            <w:pPr>
              <w:keepNext/>
            </w:pPr>
            <w:r/>
            <w:r>
              <w:rPr>
                <w:rFonts w:ascii="Calibri" w:hAnsi="Calibri"/>
                <w:b w:val="0"/>
                <w:i w:val="0"/>
                <w:color w:val="000000"/>
                <w:sz w:val="22"/>
              </w:rPr>
              <w:t>Логистика</w:t>
            </w:r>
            <w:r>
              <w:rPr>
                <w:rFonts w:ascii="Calibri" w:hAnsi="Calibri"/>
                <w:b w:val="0"/>
                <w:i w:val="0"/>
                <w:color w:val="000000"/>
                <w:sz w:val="14"/>
              </w:rPr>
              <w:t xml:space="preserve"> | </w:t>
            </w:r>
            <w:r>
              <w:rPr>
                <w:rFonts w:ascii="Calibri" w:hAnsi="Calibri"/>
                <w:b w:val="0"/>
                <w:i w:val="0"/>
                <w:color w:val="000000"/>
                <w:sz w:val="14"/>
              </w:rPr>
              <w:t>Logistics</w:t>
            </w:r>
          </w:p>
        </w:tc>
      </w:tr>
      <w:tr>
        <w:trPr>
          <w:cantSplit/>
        </w:trPr>
        <w:tc>
          <w:tcPr>
            <w:tcW w:type="dxa" w:w="1826"/>
          </w:tcPr>
          <w:p>
            <w:pPr>
              <w:keepNext/>
            </w:pPr>
            <w:r/>
            <w:r>
              <w:rPr>
                <w:rFonts w:ascii="Calibri" w:hAnsi="Calibri"/>
                <w:b w:val="0"/>
                <w:i w:val="0"/>
                <w:color w:val="000000"/>
                <w:sz w:val="22"/>
              </w:rPr>
              <w:t>WHSOP_003_A04</w:t>
            </w:r>
            <w:r>
              <w:rPr>
                <w:rFonts w:ascii="Calibri" w:hAnsi="Calibri"/>
                <w:b w:val="0"/>
                <w:i w:val="0"/>
                <w:color w:val="000000"/>
                <w:sz w:val="14"/>
              </w:rPr>
            </w:r>
          </w:p>
        </w:tc>
        <w:tc>
          <w:tcPr>
            <w:tcW w:type="dxa" w:w="4320"/>
          </w:tcPr>
          <w:p>
            <w:pPr>
              <w:keepNext/>
            </w:pPr>
            <w:r/>
            <w:r>
              <w:rPr>
                <w:rFonts w:ascii="Calibri" w:hAnsi="Calibri"/>
                <w:b w:val="0"/>
                <w:i w:val="0"/>
                <w:color w:val="000000"/>
                <w:sz w:val="22"/>
              </w:rPr>
              <w:t>Транспортен манифест и ланец на надзор</w:t>
            </w:r>
            <w:r>
              <w:rPr>
                <w:rFonts w:ascii="Calibri" w:hAnsi="Calibri"/>
                <w:b w:val="0"/>
                <w:i w:val="0"/>
                <w:color w:val="000000"/>
                <w:sz w:val="14"/>
              </w:rPr>
              <w:t xml:space="preserve"> | </w:t>
            </w:r>
            <w:r>
              <w:rPr>
                <w:rFonts w:ascii="Calibri" w:hAnsi="Calibri"/>
                <w:b w:val="0"/>
                <w:i w:val="0"/>
                <w:color w:val="000000"/>
                <w:sz w:val="14"/>
              </w:rPr>
              <w:t>Transport Manifest and Chain of Custody</w:t>
            </w:r>
          </w:p>
        </w:tc>
        <w:tc>
          <w:tcPr>
            <w:tcW w:type="dxa" w:w="4320"/>
          </w:tcPr>
          <w:p>
            <w:pPr>
              <w:keepNext/>
            </w:pPr>
            <w:r/>
            <w:r>
              <w:rPr>
                <w:rFonts w:ascii="Calibri" w:hAnsi="Calibri"/>
                <w:b w:val="0"/>
                <w:i w:val="0"/>
                <w:color w:val="000000"/>
                <w:sz w:val="22"/>
              </w:rPr>
              <w:t>Логистика, возач, примач</w:t>
            </w:r>
            <w:r>
              <w:rPr>
                <w:rFonts w:ascii="Calibri" w:hAnsi="Calibri"/>
                <w:b w:val="0"/>
                <w:i w:val="0"/>
                <w:color w:val="000000"/>
                <w:sz w:val="14"/>
              </w:rPr>
              <w:t xml:space="preserve"> | </w:t>
            </w:r>
            <w:r>
              <w:rPr>
                <w:rFonts w:ascii="Calibri" w:hAnsi="Calibri"/>
                <w:b w:val="0"/>
                <w:i w:val="0"/>
                <w:color w:val="000000"/>
                <w:sz w:val="14"/>
              </w:rPr>
              <w:t>Logistics, driver, consignee</w:t>
            </w:r>
          </w:p>
        </w:tc>
      </w:tr>
      <w:tr>
        <w:trPr>
          <w:cantSplit/>
        </w:trPr>
        <w:tc>
          <w:tcPr>
            <w:tcW w:type="dxa" w:w="1826"/>
          </w:tcPr>
          <w:p>
            <w:pPr>
              <w:keepNext/>
            </w:pPr>
            <w:r/>
            <w:r>
              <w:rPr>
                <w:rFonts w:ascii="Calibri" w:hAnsi="Calibri"/>
                <w:b w:val="0"/>
                <w:i w:val="0"/>
                <w:color w:val="000000"/>
                <w:sz w:val="22"/>
              </w:rPr>
              <w:t>WHSOP_003_A05</w:t>
            </w:r>
            <w:r>
              <w:rPr>
                <w:rFonts w:ascii="Calibri" w:hAnsi="Calibri"/>
                <w:b w:val="0"/>
                <w:i w:val="0"/>
                <w:color w:val="000000"/>
                <w:sz w:val="14"/>
              </w:rPr>
            </w:r>
          </w:p>
        </w:tc>
        <w:tc>
          <w:tcPr>
            <w:tcW w:type="dxa" w:w="4320"/>
          </w:tcPr>
          <w:p>
            <w:pPr>
              <w:keepNext/>
            </w:pPr>
            <w:r/>
            <w:r>
              <w:rPr>
                <w:rFonts w:ascii="Calibri" w:hAnsi="Calibri"/>
                <w:b w:val="0"/>
                <w:i w:val="0"/>
                <w:color w:val="000000"/>
                <w:sz w:val="22"/>
              </w:rPr>
              <w:t>Чек-листа пред отпрема и при прием</w:t>
            </w:r>
            <w:r>
              <w:rPr>
                <w:rFonts w:ascii="Calibri" w:hAnsi="Calibri"/>
                <w:b w:val="0"/>
                <w:i w:val="0"/>
                <w:color w:val="000000"/>
                <w:sz w:val="14"/>
              </w:rPr>
              <w:t xml:space="preserve"> | </w:t>
            </w:r>
            <w:r>
              <w:rPr>
                <w:rFonts w:ascii="Calibri" w:hAnsi="Calibri"/>
                <w:b w:val="0"/>
                <w:i w:val="0"/>
                <w:color w:val="000000"/>
                <w:sz w:val="14"/>
              </w:rPr>
              <w:t>Pre-dispatch and Receipt Checklist</w:t>
            </w:r>
          </w:p>
        </w:tc>
        <w:tc>
          <w:tcPr>
            <w:tcW w:type="dxa" w:w="4320"/>
          </w:tcPr>
          <w:p>
            <w:pPr>
              <w:keepNext/>
            </w:pPr>
            <w:r/>
            <w:r>
              <w:rPr>
                <w:rFonts w:ascii="Calibri" w:hAnsi="Calibri"/>
                <w:b w:val="0"/>
                <w:i w:val="0"/>
                <w:color w:val="000000"/>
                <w:sz w:val="22"/>
              </w:rPr>
              <w:t>Обезбедување, Логистика, примач</w:t>
            </w:r>
            <w:r>
              <w:rPr>
                <w:rFonts w:ascii="Calibri" w:hAnsi="Calibri"/>
                <w:b w:val="0"/>
                <w:i w:val="0"/>
                <w:color w:val="000000"/>
                <w:sz w:val="14"/>
              </w:rPr>
              <w:t xml:space="preserve"> | </w:t>
            </w:r>
            <w:r>
              <w:rPr>
                <w:rFonts w:ascii="Calibri" w:hAnsi="Calibri"/>
                <w:b w:val="0"/>
                <w:i w:val="0"/>
                <w:color w:val="000000"/>
                <w:sz w:val="14"/>
              </w:rPr>
              <w:t>Security, Logistics, consignee</w:t>
            </w:r>
          </w:p>
        </w:tc>
      </w:tr>
      <w:tr>
        <w:trPr>
          <w:cantSplit/>
        </w:trPr>
        <w:tc>
          <w:tcPr>
            <w:tcW w:type="dxa" w:w="1826"/>
          </w:tcPr>
          <w:p>
            <w:pPr>
              <w:keepNext/>
            </w:pPr>
            <w:r/>
            <w:r>
              <w:rPr>
                <w:rFonts w:ascii="Calibri" w:hAnsi="Calibri"/>
                <w:b w:val="0"/>
                <w:i w:val="0"/>
                <w:color w:val="000000"/>
                <w:sz w:val="22"/>
              </w:rPr>
              <w:t>WHSOP_003_A06</w:t>
            </w:r>
            <w:r>
              <w:rPr>
                <w:rFonts w:ascii="Calibri" w:hAnsi="Calibri"/>
                <w:b w:val="0"/>
                <w:i w:val="0"/>
                <w:color w:val="000000"/>
                <w:sz w:val="14"/>
              </w:rPr>
            </w:r>
          </w:p>
        </w:tc>
        <w:tc>
          <w:tcPr>
            <w:tcW w:type="dxa" w:w="4320"/>
          </w:tcPr>
          <w:p>
            <w:pPr>
              <w:keepNext/>
            </w:pPr>
            <w:r/>
            <w:r>
              <w:rPr>
                <w:rFonts w:ascii="Calibri" w:hAnsi="Calibri"/>
                <w:b w:val="0"/>
                <w:i w:val="0"/>
                <w:color w:val="000000"/>
                <w:sz w:val="22"/>
              </w:rPr>
              <w:t>Известување по транспортот до Министерството за здравство</w:t>
            </w:r>
            <w:r>
              <w:rPr>
                <w:rFonts w:ascii="Calibri" w:hAnsi="Calibri"/>
                <w:b w:val="0"/>
                <w:i w:val="0"/>
                <w:color w:val="000000"/>
                <w:sz w:val="14"/>
              </w:rPr>
              <w:t xml:space="preserve"> | </w:t>
            </w:r>
            <w:r>
              <w:rPr>
                <w:rFonts w:ascii="Calibri" w:hAnsi="Calibri"/>
                <w:b w:val="0"/>
                <w:i w:val="0"/>
                <w:color w:val="000000"/>
                <w:sz w:val="14"/>
              </w:rPr>
              <w:t>Post-transport Notification to the Ministry of Health</w:t>
            </w:r>
          </w:p>
        </w:tc>
        <w:tc>
          <w:tcPr>
            <w:tcW w:type="dxa" w:w="4320"/>
          </w:tcPr>
          <w:p>
            <w:pPr>
              <w:keepNext/>
            </w:pPr>
            <w:r/>
            <w:r>
              <w:rPr>
                <w:rFonts w:ascii="Calibri" w:hAnsi="Calibri"/>
                <w:b w:val="0"/>
                <w:i w:val="0"/>
                <w:color w:val="000000"/>
                <w:sz w:val="22"/>
              </w:rPr>
              <w:t>Обезбедување, QP</w:t>
            </w:r>
            <w:r>
              <w:rPr>
                <w:rFonts w:ascii="Calibri" w:hAnsi="Calibri"/>
                <w:b w:val="0"/>
                <w:i w:val="0"/>
                <w:color w:val="000000"/>
                <w:sz w:val="14"/>
              </w:rPr>
              <w:t xml:space="preserve"> | </w:t>
            </w:r>
            <w:r>
              <w:rPr>
                <w:rFonts w:ascii="Calibri" w:hAnsi="Calibri"/>
                <w:b w:val="0"/>
                <w:i w:val="0"/>
                <w:color w:val="000000"/>
                <w:sz w:val="14"/>
              </w:rPr>
              <w:t>Security, QP</w:t>
            </w:r>
          </w:p>
        </w:tc>
      </w:tr>
      <w:tr>
        <w:trPr>
          <w:cantSplit/>
        </w:trPr>
        <w:tc>
          <w:tcPr>
            <w:tcW w:type="dxa" w:w="1826"/>
          </w:tcPr>
          <w:p>
            <w:r/>
            <w:r>
              <w:rPr>
                <w:rFonts w:ascii="Calibri" w:hAnsi="Calibri"/>
                <w:b w:val="0"/>
                <w:i w:val="0"/>
                <w:color w:val="000000"/>
                <w:sz w:val="22"/>
              </w:rPr>
              <w:t>WHSOP_003_A07</w:t>
            </w:r>
            <w:r>
              <w:rPr>
                <w:rFonts w:ascii="Calibri" w:hAnsi="Calibri"/>
                <w:b w:val="0"/>
                <w:i w:val="0"/>
                <w:color w:val="000000"/>
                <w:sz w:val="14"/>
              </w:rPr>
            </w:r>
          </w:p>
        </w:tc>
        <w:tc>
          <w:tcPr>
            <w:tcW w:type="dxa" w:w="4320"/>
          </w:tcPr>
          <w:p>
            <w:r/>
            <w:r>
              <w:rPr>
                <w:rFonts w:ascii="Calibri" w:hAnsi="Calibri"/>
                <w:b w:val="0"/>
                <w:i w:val="0"/>
                <w:color w:val="000000"/>
                <w:sz w:val="22"/>
              </w:rPr>
              <w:t>Преглед на транспортното досие и диспозиција</w:t>
            </w:r>
            <w:r>
              <w:rPr>
                <w:rFonts w:ascii="Calibri" w:hAnsi="Calibri"/>
                <w:b w:val="0"/>
                <w:i w:val="0"/>
                <w:color w:val="000000"/>
                <w:sz w:val="14"/>
              </w:rPr>
              <w:t xml:space="preserve"> | </w:t>
            </w:r>
            <w:r>
              <w:rPr>
                <w:rFonts w:ascii="Calibri" w:hAnsi="Calibri"/>
                <w:b w:val="0"/>
                <w:i w:val="0"/>
                <w:color w:val="000000"/>
                <w:sz w:val="14"/>
              </w:rPr>
              <w:t>Transport File Review and Disposition</w:t>
            </w:r>
          </w:p>
        </w:tc>
        <w:tc>
          <w:tcPr>
            <w:tcW w:type="dxa" w:w="4320"/>
          </w:tcPr>
          <w:p>
            <w:r/>
            <w:r>
              <w:rPr>
                <w:rFonts w:ascii="Calibri" w:hAnsi="Calibri"/>
                <w:b w:val="0"/>
                <w:i w:val="0"/>
                <w:color w:val="000000"/>
                <w:sz w:val="22"/>
              </w:rPr>
              <w:t>QA</w:t>
            </w:r>
            <w:r>
              <w:rPr>
                <w:rFonts w:ascii="Calibri" w:hAnsi="Calibri"/>
                <w:b w:val="0"/>
                <w:i w:val="0"/>
                <w:color w:val="000000"/>
                <w:sz w:val="14"/>
              </w:rPr>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8.0 ПОВРЗАНИ ДОКУМЕНТИ</w:t>
      </w:r>
      <w:r>
        <w:rPr>
          <w:rFonts w:ascii="Calibri" w:hAnsi="Calibri"/>
          <w:b w:val="0"/>
          <w:i w:val="0"/>
          <w:color w:val="000000"/>
          <w:sz w:val="24"/>
        </w:rPr>
        <w:tab/>
      </w:r>
      <w:r>
        <w:rPr>
          <w:rFonts w:ascii="Calibri" w:hAnsi="Calibri"/>
          <w:b/>
          <w:i w:val="0"/>
          <w:color w:val="595959"/>
          <w:sz w:val="24"/>
        </w:rPr>
        <w:t>8.0 RELATED DOCUMENTS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4301"/>
        <w:gridCol w:w="6165"/>
      </w:tblGrid>
      <w:tr>
        <w:trPr>
          <w:cantSplit/>
          <w:tblHeader w:val="true"/>
        </w:trPr>
        <w:tc>
          <w:tcPr>
            <w:shd w:val="clear" w:color="auto" w:fill="D9E2F3"/>
            <w:tcW w:type="dxa" w:w="4301"/>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6165"/>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4301"/>
          </w:tcPr>
          <w:p>
            <w:pPr>
              <w:keepNext/>
            </w:pPr>
            <w:r/>
            <w:r>
              <w:rPr>
                <w:rFonts w:ascii="Calibri" w:hAnsi="Calibri"/>
                <w:b w:val="0"/>
                <w:i w:val="0"/>
                <w:color w:val="000000"/>
                <w:sz w:val="22"/>
              </w:rPr>
              <w:t>QASOP_0XX</w:t>
            </w:r>
            <w:r>
              <w:rPr>
                <w:rFonts w:ascii="Calibri" w:hAnsi="Calibri"/>
                <w:b w:val="0"/>
                <w:i w:val="0"/>
                <w:color w:val="000000"/>
                <w:sz w:val="14"/>
              </w:rPr>
            </w:r>
          </w:p>
        </w:tc>
        <w:tc>
          <w:tcPr>
            <w:tcW w:type="dxa" w:w="6165"/>
          </w:tcPr>
          <w:p>
            <w:pPr>
              <w:keepNext/>
            </w:pPr>
            <w:r/>
            <w:r>
              <w:rPr>
                <w:rFonts w:ascii="Calibri" w:hAnsi="Calibri"/>
                <w:b w:val="0"/>
                <w:i w:val="0"/>
                <w:color w:val="000000"/>
                <w:sz w:val="22"/>
              </w:rPr>
              <w:t>Валидација на транспорт — квалификација на рути (OQ/PQ)</w:t>
            </w:r>
            <w:r>
              <w:rPr>
                <w:rFonts w:ascii="Calibri" w:hAnsi="Calibri"/>
                <w:b w:val="0"/>
                <w:i w:val="0"/>
                <w:color w:val="000000"/>
                <w:sz w:val="14"/>
              </w:rPr>
              <w:t xml:space="preserve"> | </w:t>
            </w:r>
            <w:r>
              <w:rPr>
                <w:rFonts w:ascii="Calibri" w:hAnsi="Calibri"/>
                <w:b w:val="0"/>
                <w:i w:val="0"/>
                <w:color w:val="000000"/>
                <w:sz w:val="14"/>
              </w:rPr>
              <w:t>Transport Validation — Lane Qualification (OQ/PQ)</w:t>
            </w:r>
          </w:p>
        </w:tc>
      </w:tr>
      <w:tr>
        <w:trPr>
          <w:cantSplit/>
        </w:trPr>
        <w:tc>
          <w:tcPr>
            <w:tcW w:type="dxa" w:w="4301"/>
          </w:tcPr>
          <w:p>
            <w:pPr>
              <w:keepNext/>
            </w:pPr>
            <w:r/>
            <w:r>
              <w:rPr>
                <w:rFonts w:ascii="Calibri" w:hAnsi="Calibri"/>
                <w:b w:val="0"/>
                <w:i w:val="0"/>
                <w:color w:val="000000"/>
                <w:sz w:val="22"/>
              </w:rPr>
              <w:t>WHSOP_002</w:t>
            </w:r>
            <w:r>
              <w:rPr>
                <w:rFonts w:ascii="Calibri" w:hAnsi="Calibri"/>
                <w:b w:val="0"/>
                <w:i w:val="0"/>
                <w:color w:val="000000"/>
                <w:sz w:val="14"/>
              </w:rPr>
            </w:r>
          </w:p>
        </w:tc>
        <w:tc>
          <w:tcPr>
            <w:tcW w:type="dxa" w:w="6165"/>
          </w:tcPr>
          <w:p>
            <w:pPr>
              <w:keepNext/>
            </w:pPr>
            <w:r/>
            <w:r>
              <w:rPr>
                <w:rFonts w:ascii="Calibri" w:hAnsi="Calibri"/>
                <w:b w:val="0"/>
                <w:i w:val="0"/>
                <w:color w:val="000000"/>
                <w:sz w:val="22"/>
              </w:rPr>
              <w:t>Транспорт, увоз, извоз и дистрибуција на медицински канабис</w:t>
            </w:r>
            <w:r>
              <w:rPr>
                <w:rFonts w:ascii="Calibri" w:hAnsi="Calibri"/>
                <w:b w:val="0"/>
                <w:i w:val="0"/>
                <w:color w:val="000000"/>
                <w:sz w:val="14"/>
              </w:rPr>
              <w:t xml:space="preserve"> | </w:t>
            </w:r>
            <w:r>
              <w:rPr>
                <w:rFonts w:ascii="Calibri" w:hAnsi="Calibri"/>
                <w:b w:val="0"/>
                <w:i w:val="0"/>
                <w:color w:val="000000"/>
                <w:sz w:val="14"/>
              </w:rPr>
              <w:t>Transport, Import, Export and Distribution of Medical Cannabis</w:t>
            </w:r>
          </w:p>
        </w:tc>
      </w:tr>
      <w:tr>
        <w:trPr>
          <w:cantSplit/>
        </w:trPr>
        <w:tc>
          <w:tcPr>
            <w:tcW w:type="dxa" w:w="4301"/>
          </w:tcPr>
          <w:p>
            <w:r/>
            <w:r>
              <w:rPr>
                <w:rFonts w:ascii="Calibri" w:hAnsi="Calibri"/>
                <w:b w:val="0"/>
                <w:i w:val="0"/>
                <w:color w:val="000000"/>
                <w:sz w:val="22"/>
              </w:rPr>
              <w:t>WHSOP 001</w:t>
            </w:r>
            <w:r>
              <w:rPr>
                <w:rFonts w:ascii="Calibri" w:hAnsi="Calibri"/>
                <w:b w:val="0"/>
                <w:i w:val="0"/>
                <w:color w:val="000000"/>
                <w:sz w:val="14"/>
              </w:rPr>
            </w:r>
          </w:p>
        </w:tc>
        <w:tc>
          <w:tcPr>
            <w:tcW w:type="dxa" w:w="6165"/>
          </w:tcPr>
          <w:p>
            <w:r/>
            <w:r>
              <w:rPr>
                <w:rFonts w:ascii="Calibri" w:hAnsi="Calibri"/>
                <w:b w:val="0"/>
                <w:i w:val="0"/>
                <w:color w:val="000000"/>
                <w:sz w:val="22"/>
              </w:rPr>
              <w:t>Прием, складирање, евиденција и издавање</w:t>
            </w:r>
            <w:r>
              <w:rPr>
                <w:rFonts w:ascii="Calibri" w:hAnsi="Calibri"/>
                <w:b w:val="0"/>
                <w:i w:val="0"/>
                <w:color w:val="000000"/>
                <w:sz w:val="14"/>
              </w:rPr>
              <w:t xml:space="preserve"> | </w:t>
            </w:r>
            <w:r>
              <w:rPr>
                <w:rFonts w:ascii="Calibri" w:hAnsi="Calibri"/>
                <w:b w:val="0"/>
                <w:i w:val="0"/>
                <w:color w:val="000000"/>
                <w:sz w:val="14"/>
              </w:rPr>
              <w:t>Reception, storage, record and issuing</w:t>
            </w:r>
          </w:p>
        </w:tc>
      </w:tr>
      <w:tr>
        <w:trPr>
          <w:cantSplit/>
        </w:trPr>
        <w:tc>
          <w:tcPr>
            <w:tcW w:type="dxa" w:w="4301"/>
          </w:tcPr>
          <w:p>
            <w:r/>
            <w:r>
              <w:rPr>
                <w:rFonts w:ascii="Calibri" w:hAnsi="Calibri"/>
                <w:b w:val="0"/>
                <w:i w:val="0"/>
                <w:color w:val="000000"/>
                <w:sz w:val="22"/>
              </w:rPr>
              <w:t>PP-QC-SOP-025</w:t>
            </w:r>
            <w:r>
              <w:rPr>
                <w:rFonts w:ascii="Calibri" w:hAnsi="Calibri"/>
                <w:b w:val="0"/>
                <w:i w:val="0"/>
                <w:color w:val="000000"/>
                <w:sz w:val="14"/>
              </w:rPr>
            </w:r>
          </w:p>
        </w:tc>
        <w:tc>
          <w:tcPr>
            <w:tcW w:type="dxa" w:w="6165"/>
          </w:tcPr>
          <w:p>
            <w:r/>
            <w:r>
              <w:rPr>
                <w:rFonts w:ascii="Calibri" w:hAnsi="Calibri"/>
                <w:b w:val="0"/>
                <w:i w:val="0"/>
                <w:color w:val="000000"/>
                <w:sz w:val="22"/>
              </w:rPr>
              <w:t>Транспорт на мостри до надворешна лабораторија за контрола на квалитет</w:t>
            </w:r>
            <w:r>
              <w:rPr>
                <w:rFonts w:ascii="Calibri" w:hAnsi="Calibri"/>
                <w:b w:val="0"/>
                <w:i w:val="0"/>
                <w:color w:val="000000"/>
                <w:sz w:val="14"/>
              </w:rPr>
              <w:t xml:space="preserve"> | </w:t>
            </w:r>
            <w:r>
              <w:rPr>
                <w:rFonts w:ascii="Calibri" w:hAnsi="Calibri"/>
                <w:b w:val="0"/>
                <w:i w:val="0"/>
                <w:color w:val="000000"/>
                <w:sz w:val="14"/>
              </w:rPr>
              <w:t>Transport of Samples to an Outsourced Quality-Control Laboratory</w:t>
            </w:r>
          </w:p>
        </w:tc>
      </w:tr>
      <w:tr>
        <w:trPr>
          <w:cantSplit/>
        </w:trPr>
        <w:tc>
          <w:tcPr>
            <w:tcW w:type="dxa" w:w="4301"/>
          </w:tcPr>
          <w:p>
            <w:r/>
            <w:r>
              <w:rPr>
                <w:rFonts w:ascii="Calibri" w:hAnsi="Calibri"/>
                <w:b w:val="0"/>
                <w:i w:val="0"/>
                <w:color w:val="000000"/>
                <w:sz w:val="22"/>
              </w:rPr>
              <w:t>QAS-05-001 / QAS-05-002</w:t>
            </w:r>
            <w:r>
              <w:rPr>
                <w:rFonts w:ascii="Calibri" w:hAnsi="Calibri"/>
                <w:b w:val="0"/>
                <w:i w:val="0"/>
                <w:color w:val="000000"/>
                <w:sz w:val="14"/>
              </w:rPr>
            </w:r>
          </w:p>
        </w:tc>
        <w:tc>
          <w:tcPr>
            <w:tcW w:type="dxa" w:w="6165"/>
          </w:tcPr>
          <w:p>
            <w:r/>
            <w:r>
              <w:rPr>
                <w:rFonts w:ascii="Calibri" w:hAnsi="Calibri"/>
                <w:b w:val="0"/>
                <w:i w:val="0"/>
                <w:color w:val="000000"/>
                <w:sz w:val="22"/>
              </w:rPr>
              <w:t>CAPA; Отстапувања</w:t>
            </w:r>
            <w:r>
              <w:rPr>
                <w:rFonts w:ascii="Calibri" w:hAnsi="Calibri"/>
                <w:b w:val="0"/>
                <w:i w:val="0"/>
                <w:color w:val="000000"/>
                <w:sz w:val="14"/>
              </w:rPr>
              <w:t xml:space="preserve"> | </w:t>
            </w:r>
            <w:r>
              <w:rPr>
                <w:rFonts w:ascii="Calibri" w:hAnsi="Calibri"/>
                <w:b w:val="0"/>
                <w:i w:val="0"/>
                <w:color w:val="000000"/>
                <w:sz w:val="14"/>
              </w:rPr>
              <w:t>CAPA; Deviations</w:t>
            </w:r>
          </w:p>
        </w:tc>
      </w:tr>
      <w:tr>
        <w:trPr>
          <w:cantSplit/>
        </w:trPr>
        <w:tc>
          <w:tcPr>
            <w:tcW w:type="dxa" w:w="4301"/>
          </w:tcPr>
          <w:p>
            <w:r/>
            <w:r>
              <w:rPr>
                <w:rFonts w:ascii="Calibri" w:hAnsi="Calibri"/>
                <w:b w:val="0"/>
                <w:i w:val="0"/>
                <w:color w:val="000000"/>
                <w:sz w:val="22"/>
              </w:rPr>
              <w:t>QAS-08-001</w:t>
            </w:r>
            <w:r>
              <w:rPr>
                <w:rFonts w:ascii="Calibri" w:hAnsi="Calibri"/>
                <w:b w:val="0"/>
                <w:i w:val="0"/>
                <w:color w:val="000000"/>
                <w:sz w:val="14"/>
              </w:rPr>
            </w:r>
          </w:p>
        </w:tc>
        <w:tc>
          <w:tcPr>
            <w:tcW w:type="dxa" w:w="6165"/>
          </w:tcPr>
          <w:p>
            <w:r/>
            <w:r>
              <w:rPr>
                <w:rFonts w:ascii="Calibri" w:hAnsi="Calibri"/>
                <w:b w:val="0"/>
                <w:i w:val="0"/>
                <w:color w:val="000000"/>
                <w:sz w:val="22"/>
              </w:rPr>
              <w:t>Контрола на промени</w:t>
            </w:r>
            <w:r>
              <w:rPr>
                <w:rFonts w:ascii="Calibri" w:hAnsi="Calibri"/>
                <w:b w:val="0"/>
                <w:i w:val="0"/>
                <w:color w:val="000000"/>
                <w:sz w:val="14"/>
              </w:rPr>
              <w:t xml:space="preserve"> | </w:t>
            </w:r>
            <w:r>
              <w:rPr>
                <w:rFonts w:ascii="Calibri" w:hAnsi="Calibri"/>
                <w:b w:val="0"/>
                <w:i w:val="0"/>
                <w:color w:val="000000"/>
                <w:sz w:val="14"/>
              </w:rPr>
              <w:t>Change control</w:t>
            </w:r>
          </w:p>
        </w:tc>
      </w:tr>
      <w:tr>
        <w:trPr>
          <w:cantSplit/>
        </w:trPr>
        <w:tc>
          <w:tcPr>
            <w:tcW w:type="dxa" w:w="4301"/>
          </w:tcPr>
          <w:p>
            <w:r/>
            <w:r>
              <w:rPr>
                <w:rFonts w:ascii="Calibri" w:hAnsi="Calibri"/>
                <w:b w:val="0"/>
                <w:i w:val="0"/>
                <w:color w:val="000000"/>
                <w:sz w:val="22"/>
              </w:rPr>
              <w:t>QAS-10-003</w:t>
            </w:r>
            <w:r>
              <w:rPr>
                <w:rFonts w:ascii="Calibri" w:hAnsi="Calibri"/>
                <w:b w:val="0"/>
                <w:i w:val="0"/>
                <w:color w:val="000000"/>
                <w:sz w:val="14"/>
              </w:rPr>
            </w:r>
          </w:p>
        </w:tc>
        <w:tc>
          <w:tcPr>
            <w:tcW w:type="dxa" w:w="6165"/>
          </w:tcPr>
          <w:p>
            <w:r/>
            <w:r>
              <w:rPr>
                <w:rFonts w:ascii="Calibri" w:hAnsi="Calibri"/>
                <w:b w:val="0"/>
                <w:i w:val="0"/>
                <w:color w:val="000000"/>
                <w:sz w:val="22"/>
              </w:rPr>
              <w:t>Квалификација на добавувачи (логери, пакување)</w:t>
            </w:r>
            <w:r>
              <w:rPr>
                <w:rFonts w:ascii="Calibri" w:hAnsi="Calibri"/>
                <w:b w:val="0"/>
                <w:i w:val="0"/>
                <w:color w:val="000000"/>
                <w:sz w:val="14"/>
              </w:rPr>
              <w:t xml:space="preserve"> | </w:t>
            </w:r>
            <w:r>
              <w:rPr>
                <w:rFonts w:ascii="Calibri" w:hAnsi="Calibri"/>
                <w:b w:val="0"/>
                <w:i w:val="0"/>
                <w:color w:val="000000"/>
                <w:sz w:val="14"/>
              </w:rPr>
              <w:t>Vendor qualification (loggers, packaging)</w:t>
            </w:r>
          </w:p>
        </w:tc>
      </w:tr>
      <w:tr>
        <w:trPr>
          <w:cantSplit/>
        </w:trPr>
        <w:tc>
          <w:tcPr>
            <w:tcW w:type="dxa" w:w="4301"/>
          </w:tcPr>
          <w:p>
            <w:r/>
            <w:r>
              <w:rPr>
                <w:rFonts w:ascii="Calibri" w:hAnsi="Calibri"/>
                <w:b w:val="0"/>
                <w:i w:val="0"/>
                <w:color w:val="000000"/>
                <w:sz w:val="22"/>
              </w:rPr>
              <w:t>PRO-05-001</w:t>
            </w:r>
            <w:r>
              <w:rPr>
                <w:rFonts w:ascii="Calibri" w:hAnsi="Calibri"/>
                <w:b w:val="0"/>
                <w:i w:val="0"/>
                <w:color w:val="000000"/>
                <w:sz w:val="14"/>
              </w:rPr>
            </w:r>
          </w:p>
        </w:tc>
        <w:tc>
          <w:tcPr>
            <w:tcW w:type="dxa" w:w="6165"/>
          </w:tcPr>
          <w:p>
            <w:r/>
            <w:r>
              <w:rPr>
                <w:rFonts w:ascii="Calibri" w:hAnsi="Calibri"/>
                <w:b w:val="0"/>
                <w:i w:val="0"/>
                <w:color w:val="000000"/>
                <w:sz w:val="22"/>
              </w:rPr>
              <w:t>Управување со отпад од канабис</w:t>
            </w:r>
            <w:r>
              <w:rPr>
                <w:rFonts w:ascii="Calibri" w:hAnsi="Calibri"/>
                <w:b w:val="0"/>
                <w:i w:val="0"/>
                <w:color w:val="000000"/>
                <w:sz w:val="14"/>
              </w:rPr>
              <w:t xml:space="preserve"> | </w:t>
            </w:r>
            <w:r>
              <w:rPr>
                <w:rFonts w:ascii="Calibri" w:hAnsi="Calibri"/>
                <w:b w:val="0"/>
                <w:i w:val="0"/>
                <w:color w:val="000000"/>
                <w:sz w:val="14"/>
              </w:rPr>
              <w:t>Cannabis waste management</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9.0 РЕВИЗИЈА</w:t>
      </w:r>
      <w:r>
        <w:rPr>
          <w:rFonts w:ascii="Calibri" w:hAnsi="Calibri"/>
          <w:b w:val="0"/>
          <w:i w:val="0"/>
          <w:color w:val="000000"/>
          <w:sz w:val="24"/>
        </w:rPr>
        <w:tab/>
      </w:r>
      <w:r>
        <w:rPr>
          <w:rFonts w:ascii="Calibri" w:hAnsi="Calibri"/>
          <w:b/>
          <w:i w:val="0"/>
          <w:color w:val="595959"/>
          <w:sz w:val="24"/>
        </w:rPr>
        <w:t>9.0 REVISION</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974"/>
        <w:gridCol w:w="1474"/>
        <w:gridCol w:w="6017"/>
      </w:tblGrid>
      <w:tr>
        <w:trPr>
          <w:cantSplit/>
          <w:tblHeader w:val="true"/>
        </w:trPr>
        <w:tc>
          <w:tcPr>
            <w:shd w:val="clear" w:color="auto" w:fill="D9E2F3"/>
            <w:tcW w:type="dxa" w:w="2974"/>
          </w:tcPr>
          <w:p>
            <w:pPr>
              <w:keepNext/>
            </w:pPr>
            <w:r/>
            <w:r>
              <w:rPr>
                <w:rFonts w:ascii="Calibri" w:hAnsi="Calibri"/>
                <w:b/>
                <w:i w:val="0"/>
                <w:color w:val="000000"/>
                <w:sz w:val="22"/>
              </w:rPr>
              <w:t>Верзија</w:t>
            </w:r>
            <w:r>
              <w:rPr>
                <w:rFonts w:ascii="Calibri" w:hAnsi="Calibri"/>
                <w:b w:val="0"/>
                <w:i w:val="0"/>
                <w:color w:val="000000"/>
                <w:sz w:val="14"/>
              </w:rPr>
              <w:t xml:space="preserve"> | </w:t>
            </w:r>
            <w:r>
              <w:rPr>
                <w:rFonts w:ascii="Calibri" w:hAnsi="Calibri"/>
                <w:b/>
                <w:i w:val="0"/>
                <w:color w:val="000000"/>
                <w:sz w:val="14"/>
              </w:rPr>
              <w:t>Version</w:t>
            </w:r>
          </w:p>
        </w:tc>
        <w:tc>
          <w:tcPr>
            <w:shd w:val="clear" w:color="auto" w:fill="D9E2F3"/>
            <w:tcW w:type="dxa" w:w="1474"/>
          </w:tcPr>
          <w:p>
            <w:pPr>
              <w:keepNext/>
            </w:pPr>
            <w:r/>
            <w:r>
              <w:rPr>
                <w:rFonts w:ascii="Calibri" w:hAnsi="Calibri"/>
                <w:b/>
                <w:i w:val="0"/>
                <w:color w:val="000000"/>
                <w:sz w:val="22"/>
              </w:rPr>
              <w:t>Датум</w:t>
            </w:r>
            <w:r>
              <w:rPr>
                <w:rFonts w:ascii="Calibri" w:hAnsi="Calibri"/>
                <w:b w:val="0"/>
                <w:i w:val="0"/>
                <w:color w:val="000000"/>
                <w:sz w:val="14"/>
              </w:rPr>
              <w:t xml:space="preserve"> | </w:t>
            </w:r>
            <w:r>
              <w:rPr>
                <w:rFonts w:ascii="Calibri" w:hAnsi="Calibri"/>
                <w:b/>
                <w:i w:val="0"/>
                <w:color w:val="000000"/>
                <w:sz w:val="14"/>
              </w:rPr>
              <w:t>Date</w:t>
            </w:r>
          </w:p>
        </w:tc>
        <w:tc>
          <w:tcPr>
            <w:shd w:val="clear" w:color="auto" w:fill="D9E2F3"/>
            <w:tcW w:type="dxa" w:w="6017"/>
          </w:tcPr>
          <w:p>
            <w:pPr>
              <w:keepNext/>
            </w:pPr>
            <w:r/>
            <w:r>
              <w:rPr>
                <w:rFonts w:ascii="Calibri" w:hAnsi="Calibri"/>
                <w:b/>
                <w:i w:val="0"/>
                <w:color w:val="000000"/>
                <w:sz w:val="22"/>
              </w:rPr>
              <w:t>Опис на измени</w:t>
            </w:r>
            <w:r>
              <w:rPr>
                <w:rFonts w:ascii="Calibri" w:hAnsi="Calibri"/>
                <w:b w:val="0"/>
                <w:i w:val="0"/>
                <w:color w:val="000000"/>
                <w:sz w:val="14"/>
              </w:rPr>
              <w:t xml:space="preserve"> | </w:t>
            </w:r>
            <w:r>
              <w:rPr>
                <w:rFonts w:ascii="Calibri" w:hAnsi="Calibri"/>
                <w:b/>
                <w:i w:val="0"/>
                <w:color w:val="000000"/>
                <w:sz w:val="14"/>
              </w:rPr>
              <w:t>Description of changes</w:t>
            </w:r>
          </w:p>
        </w:tc>
      </w:tr>
      <w:tr>
        <w:trPr>
          <w:cantSplit/>
        </w:trPr>
        <w:tc>
          <w:tcPr>
            <w:tcW w:type="dxa" w:w="2974"/>
          </w:tcPr>
          <w:p>
            <w:r/>
            <w:r>
              <w:rPr>
                <w:rFonts w:ascii="Calibri" w:hAnsi="Calibri"/>
                <w:b w:val="0"/>
                <w:i w:val="0"/>
                <w:color w:val="000000"/>
                <w:sz w:val="22"/>
              </w:rPr>
              <w:t>01</w:t>
            </w:r>
            <w:r>
              <w:rPr>
                <w:rFonts w:ascii="Calibri" w:hAnsi="Calibri"/>
                <w:b w:val="0"/>
                <w:i w:val="0"/>
                <w:color w:val="000000"/>
                <w:sz w:val="14"/>
              </w:rPr>
            </w:r>
          </w:p>
        </w:tc>
        <w:tc>
          <w:tcPr>
            <w:tcW w:type="dxa" w:w="1474"/>
          </w:tcPr>
          <w:p>
            <w:r/>
            <w:r>
              <w:rPr>
                <w:rFonts w:ascii="Calibri" w:hAnsi="Calibri"/>
                <w:b w:val="0"/>
                <w:i w:val="0"/>
                <w:color w:val="000000"/>
                <w:sz w:val="22"/>
              </w:rPr>
            </w:r>
            <w:r>
              <w:rPr>
                <w:rFonts w:ascii="Calibri" w:hAnsi="Calibri"/>
                <w:b w:val="0"/>
                <w:i w:val="0"/>
                <w:color w:val="000000"/>
                <w:sz w:val="14"/>
              </w:rPr>
            </w:r>
          </w:p>
        </w:tc>
        <w:tc>
          <w:tcPr>
            <w:tcW w:type="dxa" w:w="6017"/>
          </w:tcPr>
          <w:p>
            <w:r/>
            <w:r>
              <w:rPr>
                <w:rFonts w:ascii="Calibri" w:hAnsi="Calibri"/>
                <w:b w:val="0"/>
                <w:i w:val="0"/>
                <w:color w:val="000000"/>
                <w:sz w:val="22"/>
              </w:rPr>
              <w:t>Нова СОП; ги обединува внатрешните движења на опојни дроги (производ, пропагационен материјал, отпад) под полициско придружување од МВР, со палети и систем на хартија; заменува ги соодветните делови на PRO-06-001 и LO_SOP_006. Транспортот на мостри за КК не е опфатен (PP-QC-SOP-025).</w:t>
            </w:r>
            <w:r>
              <w:rPr>
                <w:rFonts w:ascii="Calibri" w:hAnsi="Calibri"/>
                <w:b w:val="0"/>
                <w:i w:val="0"/>
                <w:color w:val="000000"/>
                <w:sz w:val="14"/>
              </w:rPr>
              <w:t xml:space="preserve"> | </w:t>
            </w:r>
            <w:r>
              <w:rPr>
                <w:rFonts w:ascii="Calibri" w:hAnsi="Calibri"/>
                <w:b w:val="0"/>
                <w:i w:val="0"/>
                <w:color w:val="000000"/>
                <w:sz w:val="14"/>
              </w:rPr>
              <w:t>New SOP; consolidates inland movements of narcotic drugs (product, propagation material, waste) under MoIA police escort, palletised and paper-based; supersedes the relevant sections of PRO-06-001 and LO_SOP_006. QC sample transport is not covered (PP-QC-SOP-025).</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Внатрешен (копнен) транспорт на опојни дроги — медицински канабис</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Inland Transport of Narcotic Drugs (Euphoric Substances) — Medical Cannabis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WHSOP_003</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