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inorHAnsi" w:hAnsiTheme="minorHAnsi" w:eastAsiaTheme="minorEastAsia" w:cstheme="minorBidi"/>
          <w:kern w:val="2"/>
          <w:sz w:val="21"/>
          <w:szCs w:val="24"/>
          <w:lang w:val="en-US" w:eastAsia="zh-CN" w:bidi="ar-SA"/>
        </w:rPr>
      </w:pPr>
      <w:r>
        <w:rPr>
          <w:rFonts w:hint="eastAsia"/>
          <w:sz w:val="32"/>
          <w:szCs w:val="32"/>
          <w:lang w:eastAsia="zh-CN"/>
        </w:rPr>
        <w:t>第一次超市订购单明细报告分析</w:t>
      </w:r>
    </w:p>
    <w:p>
      <w:pPr>
        <w:pStyle w:val="3"/>
        <w:numPr>
          <w:ilvl w:val="0"/>
          <w:numId w:val="1"/>
        </w:numPr>
        <w:bidi w:val="0"/>
        <w:rPr>
          <w:rFonts w:hint="eastAsia"/>
          <w:b w:val="0"/>
          <w:bCs/>
          <w:sz w:val="24"/>
          <w:szCs w:val="24"/>
          <w:lang w:val="en-US" w:eastAsia="zh-CN"/>
        </w:rPr>
      </w:pPr>
      <w:r>
        <w:rPr>
          <w:rFonts w:hint="eastAsia"/>
          <w:b w:val="0"/>
          <w:bCs/>
          <w:sz w:val="24"/>
          <w:szCs w:val="24"/>
          <w:lang w:val="en-US" w:eastAsia="zh-CN"/>
        </w:rPr>
        <w:t>超市订购单明细数据初步处理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ind w:left="0" w:right="0" w:firstLine="480" w:firstLineChars="200"/>
        <w:jc w:val="left"/>
        <w:textAlignment w:val="baseline"/>
        <w:rPr>
          <w:rFonts w:hint="eastAsia" w:asciiTheme="minorEastAsia" w:hAnsiTheme="minorEastAsia" w:eastAsiaTheme="minorEastAsia" w:cstheme="minorEastAsia"/>
          <w:i w:val="0"/>
          <w:caps w:val="0"/>
          <w:color w:val="000000"/>
          <w:spacing w:val="0"/>
          <w:sz w:val="24"/>
          <w:szCs w:val="24"/>
          <w:shd w:val="clear" w:fill="FFFFFF"/>
          <w:vertAlign w:val="baseline"/>
          <w:lang w:eastAsia="zh-CN"/>
        </w:rPr>
      </w:pPr>
      <w:r>
        <w:rPr>
          <w:rFonts w:hint="eastAsia" w:asciiTheme="minorEastAsia" w:hAnsiTheme="minorEastAsia" w:eastAsiaTheme="minorEastAsia" w:cstheme="minorEastAsia"/>
          <w:sz w:val="24"/>
          <w:szCs w:val="24"/>
          <w:lang w:val="en-US" w:eastAsia="zh-CN"/>
        </w:rPr>
        <w:t>利用python导入原表item，观察到共有订购交易记录</w:t>
      </w:r>
      <w:r>
        <w:rPr>
          <w:rFonts w:hint="eastAsia" w:asciiTheme="minorEastAsia" w:hAnsiTheme="minorEastAsia" w:eastAsiaTheme="minorEastAsia" w:cstheme="minorEastAsia"/>
          <w:i w:val="0"/>
          <w:caps w:val="0"/>
          <w:color w:val="000000"/>
          <w:spacing w:val="0"/>
          <w:sz w:val="24"/>
          <w:szCs w:val="24"/>
          <w:shd w:val="clear" w:fill="FFFFFF"/>
          <w:vertAlign w:val="baseline"/>
        </w:rPr>
        <w:t>173</w:t>
      </w:r>
      <w:r>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t>2761</w:t>
      </w:r>
      <w:r>
        <w:rPr>
          <w:rFonts w:hint="eastAsia" w:asciiTheme="minorEastAsia" w:hAnsiTheme="minorEastAsia" w:eastAsiaTheme="minorEastAsia" w:cstheme="minorEastAsia"/>
          <w:i w:val="0"/>
          <w:caps w:val="0"/>
          <w:color w:val="000000"/>
          <w:spacing w:val="0"/>
          <w:sz w:val="24"/>
          <w:szCs w:val="24"/>
          <w:shd w:val="clear" w:fill="FFFFFF"/>
          <w:vertAlign w:val="baseline"/>
          <w:lang w:eastAsia="zh-CN"/>
        </w:rPr>
        <w:t>项，超市订够指标列分别表示交易时间、商店编码、</w:t>
      </w:r>
      <w:r>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t>POS机编码、商品栏编码、商品编码、购买商品数量、购买实际金额、正常购买金额、折扣类型和折扣金额。</w:t>
      </w:r>
      <w:r>
        <w:rPr>
          <w:rFonts w:hint="eastAsia" w:asciiTheme="minorEastAsia" w:hAnsiTheme="minorEastAsia" w:eastAsiaTheme="minorEastAsia" w:cstheme="minorEastAsia"/>
          <w:i w:val="0"/>
          <w:caps w:val="0"/>
          <w:color w:val="000000"/>
          <w:spacing w:val="0"/>
          <w:sz w:val="24"/>
          <w:szCs w:val="24"/>
          <w:shd w:val="clear" w:fill="FFFFFF"/>
          <w:vertAlign w:val="baseline"/>
          <w:lang w:eastAsia="zh-CN"/>
        </w:rPr>
        <w:t>本报告首先根据指标列对存在不合理的交易记录进行初步处理，并对存在问题的交易记录进行更正及删除。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Theme="minorEastAsia" w:hAnsiTheme="minorEastAsia" w:eastAsiaTheme="minorEastAsia" w:cstheme="minorEastAsia"/>
          <w:i w:val="0"/>
          <w:caps w:val="0"/>
          <w:color w:val="000000"/>
          <w:spacing w:val="0"/>
          <w:sz w:val="24"/>
          <w:szCs w:val="24"/>
          <w:shd w:val="clear" w:fill="FFFFFF"/>
          <w:vertAlign w:val="baseline"/>
          <w:lang w:eastAsia="zh-CN"/>
        </w:rPr>
      </w:pPr>
      <w:r>
        <w:drawing>
          <wp:inline distT="0" distB="0" distL="114300" distR="114300">
            <wp:extent cx="3982720" cy="1389380"/>
            <wp:effectExtent l="0" t="0" r="177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l="-12" t="1441"/>
                    <a:stretch>
                      <a:fillRect/>
                    </a:stretch>
                  </pic:blipFill>
                  <pic:spPr>
                    <a:xfrm>
                      <a:off x="0" y="0"/>
                      <a:ext cx="3982720" cy="1389380"/>
                    </a:xfrm>
                    <a:prstGeom prst="rect">
                      <a:avLst/>
                    </a:prstGeom>
                    <a:noFill/>
                    <a:ln>
                      <a:noFill/>
                    </a:ln>
                  </pic:spPr>
                </pic:pic>
              </a:graphicData>
            </a:graphic>
          </wp:inline>
        </w:drawing>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7" w:beforeLines="50" w:beforeAutospacing="0" w:after="157" w:afterLines="50" w:afterAutospacing="0"/>
        <w:ind w:left="0" w:right="0" w:firstLine="0"/>
        <w:jc w:val="left"/>
        <w:textAlignment w:val="baseline"/>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t>交易数量问题</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ind w:leftChars="0" w:right="0" w:rightChars="0" w:firstLine="480" w:firstLineChars="200"/>
        <w:jc w:val="left"/>
        <w:textAlignment w:val="baseline"/>
        <w:rPr>
          <w:rFonts w:hint="default" w:asciiTheme="minorEastAsia" w:hAnsiTheme="minorEastAsia" w:eastAsiaTheme="minorEastAsia" w:cstheme="minorEastAsia"/>
          <w:i w:val="0"/>
          <w:caps w:val="0"/>
          <w:color w:val="000000"/>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t>如下图所示。超市交易明细中记录2022条的交易数目存在问题，问题在于交易数量为负值。按照实际交易情况分析，交易数目应为非负数，因此本报告将2022条明细记录中的交易数量更正为正数，更新item表。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monospace" w:hAnsi="monospace" w:cs="monospace"/>
          <w:i w:val="0"/>
          <w:caps w:val="0"/>
          <w:color w:val="000000"/>
          <w:spacing w:val="0"/>
          <w:sz w:val="21"/>
          <w:szCs w:val="21"/>
          <w:shd w:val="clear" w:fill="FFFFFF"/>
          <w:vertAlign w:val="baseline"/>
          <w:lang w:val="en-US" w:eastAsia="zh-CN"/>
        </w:rPr>
      </w:pPr>
      <w:r>
        <w:drawing>
          <wp:inline distT="0" distB="0" distL="114300" distR="114300">
            <wp:extent cx="3762375" cy="1537335"/>
            <wp:effectExtent l="0" t="0" r="952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762375" cy="1537335"/>
                    </a:xfrm>
                    <a:prstGeom prst="rect">
                      <a:avLst/>
                    </a:prstGeom>
                    <a:noFill/>
                    <a:ln>
                      <a:noFill/>
                    </a:ln>
                  </pic:spPr>
                </pic:pic>
              </a:graphicData>
            </a:graphic>
          </wp:inline>
        </w:drawing>
      </w:r>
    </w:p>
    <w:p>
      <w:pPr>
        <w:numPr>
          <w:ilvl w:val="0"/>
          <w:numId w:val="0"/>
        </w:numPr>
        <w:bidi w:val="0"/>
        <w:jc w:val="left"/>
        <w:rPr>
          <w:rFonts w:hint="eastAsia"/>
          <w:lang w:val="en-US" w:eastAsia="zh-CN"/>
        </w:rPr>
      </w:pP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7" w:beforeLines="50" w:beforeAutospacing="0" w:after="157" w:afterLines="50" w:afterAutospacing="0"/>
        <w:ind w:left="0" w:right="0" w:firstLine="0"/>
        <w:jc w:val="left"/>
        <w:textAlignment w:val="baseline"/>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t>实际交易金额问题</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各商店实际交易金额并存在与以上与交易数量相同的问题，即实际交易金额存在负数的情况为2020条明细，观察处理数据发现交易数量与实际交易金额均为负值可能导致异常实际折扣数值异常，因此本次在python中对存在负值问题的数据进行了绝对值处理，将其同样更正为正值。</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如下图所示，通过数据显示在交易记录明细当中有636条交易记录的实际交易金额为0元，且折扣类型都为Q。超市在6月1日—7月4日期间对部分商品进行全折销售。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center"/>
        <w:textAlignment w:val="auto"/>
      </w:pPr>
      <w:r>
        <w:drawing>
          <wp:inline distT="0" distB="0" distL="114300" distR="114300">
            <wp:extent cx="3596640" cy="1570990"/>
            <wp:effectExtent l="0" t="0" r="381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596640" cy="15709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lang w:val="en-US" w:eastAsia="zh-CN"/>
        </w:rPr>
      </w:pP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7" w:beforeLines="50" w:beforeAutospacing="0" w:after="157" w:afterLines="50" w:afterAutospacing="0"/>
        <w:ind w:leftChars="0" w:right="0" w:rightChars="0"/>
        <w:jc w:val="left"/>
        <w:textAlignment w:val="baseline"/>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t>3.折扣金额问题</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交易数量以及实际交易金额出现问题，本次对折扣金额也同样做出对比计算来验证再计算折扣金额和实际各商店记录折扣金额是否存在出入。本次通过简单计算编写算式表达式重新计算折扣金额，表达式为实际交易金额-交易数量*正常交易金额，且按照大多数商店计数规则保留2位小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对前步骤更改过后，结果对比发现在1732761项交易记录明细当中有6524条记录存在不对等的情况。经过初步分析导致DISCOUNT_AMOUNT和RDISCOUNT_AMOUNT不对等的原因有三类：</w:t>
      </w:r>
    </w:p>
    <w:p>
      <w:pPr>
        <w:numPr>
          <w:ilvl w:val="0"/>
          <w:numId w:val="3"/>
        </w:numPr>
        <w:bidi w:val="0"/>
        <w:jc w:val="left"/>
        <w:rPr>
          <w:rFonts w:hint="eastAsia" w:asciiTheme="minorEastAsia" w:hAnsiTheme="minorEastAsia" w:cstheme="minorEastAsia"/>
          <w:i w:val="0"/>
          <w:caps w:val="0"/>
          <w:color w:val="000000"/>
          <w:spacing w:val="0"/>
          <w:sz w:val="24"/>
          <w:szCs w:val="24"/>
          <w:shd w:val="clear" w:fill="FFFFFF"/>
          <w:vertAlign w:val="baseline"/>
          <w:lang w:val="en-US" w:eastAsia="zh-CN"/>
        </w:rPr>
      </w:pPr>
      <w:r>
        <w:rPr>
          <w:rFonts w:hint="eastAsia" w:asciiTheme="minorEastAsia" w:hAnsiTheme="minorEastAsia" w:cstheme="minorEastAsia"/>
          <w:i w:val="0"/>
          <w:caps w:val="0"/>
          <w:color w:val="000000"/>
          <w:spacing w:val="0"/>
          <w:sz w:val="24"/>
          <w:szCs w:val="24"/>
          <w:shd w:val="clear" w:fill="FFFFFF"/>
          <w:vertAlign w:val="baseline"/>
          <w:lang w:val="en-US" w:eastAsia="zh-CN"/>
        </w:rPr>
        <w:t>各商店计算折扣价格计数问题</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default" w:asciiTheme="minorHAnsi" w:hAnsiTheme="minorHAnsi" w:eastAsiaTheme="minorEastAsia" w:cstheme="minorBidi"/>
          <w:kern w:val="2"/>
          <w:sz w:val="21"/>
          <w:szCs w:val="24"/>
          <w:lang w:val="en-US" w:eastAsia="zh-CN" w:bidi="ar-SA"/>
        </w:rPr>
      </w:pPr>
      <w:r>
        <w:rPr>
          <w:rFonts w:hint="eastAsia" w:asciiTheme="majorEastAsia" w:hAnsiTheme="majorEastAsia" w:eastAsiaTheme="majorEastAsia" w:cstheme="majorEastAsia"/>
          <w:sz w:val="24"/>
          <w:szCs w:val="24"/>
          <w:lang w:val="en-US" w:eastAsia="zh-CN"/>
        </w:rPr>
        <w:t>如下图所示，可以明显地看到DISCOUNT_AMOUNT和RDISCOUNT_AMOUNT这两列不相等，原因在于编码为D008的 商店对17893栏113167商品计算折扣价格时保留一位小数点引发的差异。</w:t>
      </w:r>
    </w:p>
    <w:p>
      <w:pPr>
        <w:bidi w:val="0"/>
        <w:jc w:val="center"/>
      </w:pPr>
      <w:r>
        <w:drawing>
          <wp:inline distT="0" distB="0" distL="114300" distR="114300">
            <wp:extent cx="4664710" cy="561975"/>
            <wp:effectExtent l="0" t="0" r="254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4664710" cy="561975"/>
                    </a:xfrm>
                    <a:prstGeom prst="rect">
                      <a:avLst/>
                    </a:prstGeom>
                    <a:noFill/>
                    <a:ln>
                      <a:noFill/>
                    </a:ln>
                  </pic:spPr>
                </pic:pic>
              </a:graphicData>
            </a:graphic>
          </wp:inline>
        </w:drawing>
      </w:r>
    </w:p>
    <w:p>
      <w:pPr>
        <w:bidi w:val="0"/>
        <w:rPr>
          <w:rFonts w:hint="default" w:asciiTheme="minorHAnsi" w:hAnsiTheme="minorHAnsi" w:eastAsiaTheme="minorEastAsia" w:cstheme="minorBidi"/>
          <w:kern w:val="2"/>
          <w:sz w:val="21"/>
          <w:szCs w:val="24"/>
          <w:lang w:val="en-US" w:eastAsia="zh-CN" w:bidi="ar-SA"/>
        </w:rPr>
      </w:pPr>
    </w:p>
    <w:p>
      <w:pPr>
        <w:numPr>
          <w:ilvl w:val="0"/>
          <w:numId w:val="3"/>
        </w:numPr>
        <w:bidi w:val="0"/>
        <w:jc w:val="left"/>
        <w:rPr>
          <w:rFonts w:hint="eastAsia" w:asciiTheme="minorEastAsia" w:hAnsiTheme="minorEastAsia" w:cstheme="minorEastAsia"/>
          <w:i w:val="0"/>
          <w:caps w:val="0"/>
          <w:color w:val="000000"/>
          <w:spacing w:val="0"/>
          <w:sz w:val="24"/>
          <w:szCs w:val="24"/>
          <w:shd w:val="clear" w:fill="FFFFFF"/>
          <w:vertAlign w:val="baseline"/>
          <w:lang w:val="en-US" w:eastAsia="zh-CN"/>
        </w:rPr>
      </w:pPr>
      <w:r>
        <w:rPr>
          <w:rFonts w:hint="eastAsia" w:asciiTheme="minorEastAsia" w:hAnsiTheme="minorEastAsia" w:cstheme="minorEastAsia"/>
          <w:i w:val="0"/>
          <w:caps w:val="0"/>
          <w:color w:val="000000"/>
          <w:spacing w:val="0"/>
          <w:sz w:val="24"/>
          <w:szCs w:val="24"/>
          <w:shd w:val="clear" w:fill="FFFFFF"/>
          <w:vertAlign w:val="baseline"/>
          <w:lang w:val="en-US" w:eastAsia="zh-CN"/>
        </w:rPr>
        <w:t>商店记录折扣价格时，记录方式不统一</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如下图，原数据交易明细中DISCOUNT_AMOUNT存在两种记录方式，例如折扣价格-40和40元，因此在数据进入下一步分析应统一记录方式。</w:t>
      </w:r>
    </w:p>
    <w:p>
      <w:pPr>
        <w:bidi w:val="0"/>
        <w:ind w:firstLine="208" w:firstLineChars="0"/>
        <w:jc w:val="center"/>
      </w:pPr>
      <w:r>
        <w:drawing>
          <wp:inline distT="0" distB="0" distL="114300" distR="114300">
            <wp:extent cx="4632960" cy="288925"/>
            <wp:effectExtent l="0" t="0" r="15240" b="158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4632960" cy="288925"/>
                    </a:xfrm>
                    <a:prstGeom prst="rect">
                      <a:avLst/>
                    </a:prstGeom>
                    <a:noFill/>
                    <a:ln>
                      <a:noFill/>
                    </a:ln>
                  </pic:spPr>
                </pic:pic>
              </a:graphicData>
            </a:graphic>
          </wp:inline>
        </w:drawing>
      </w:r>
    </w:p>
    <w:p>
      <w:pPr>
        <w:bidi w:val="0"/>
        <w:rPr>
          <w:rFonts w:hint="default" w:asciiTheme="minorHAnsi" w:hAnsiTheme="minorHAnsi" w:eastAsiaTheme="minorEastAsia" w:cstheme="minorBidi"/>
          <w:kern w:val="2"/>
          <w:sz w:val="21"/>
          <w:szCs w:val="24"/>
          <w:lang w:val="en-US" w:eastAsia="zh-CN" w:bidi="ar-SA"/>
        </w:rPr>
      </w:pPr>
    </w:p>
    <w:p>
      <w:pPr>
        <w:numPr>
          <w:ilvl w:val="0"/>
          <w:numId w:val="3"/>
        </w:numPr>
        <w:bidi w:val="0"/>
        <w:jc w:val="left"/>
        <w:rPr>
          <w:rFonts w:hint="eastAsia" w:asciiTheme="minorEastAsia" w:hAnsiTheme="minorEastAsia" w:cstheme="minorEastAsia"/>
          <w:i w:val="0"/>
          <w:caps w:val="0"/>
          <w:color w:val="000000"/>
          <w:spacing w:val="0"/>
          <w:sz w:val="24"/>
          <w:szCs w:val="24"/>
          <w:shd w:val="clear" w:fill="FFFFFF"/>
          <w:vertAlign w:val="baseline"/>
          <w:lang w:val="en-US" w:eastAsia="zh-CN"/>
        </w:rPr>
      </w:pPr>
      <w:r>
        <w:rPr>
          <w:rFonts w:hint="eastAsia" w:asciiTheme="minorEastAsia" w:hAnsiTheme="minorEastAsia" w:cstheme="minorEastAsia"/>
          <w:i w:val="0"/>
          <w:caps w:val="0"/>
          <w:color w:val="000000"/>
          <w:spacing w:val="0"/>
          <w:sz w:val="24"/>
          <w:szCs w:val="24"/>
          <w:shd w:val="clear" w:fill="FFFFFF"/>
          <w:vertAlign w:val="baseline"/>
          <w:lang w:val="en-US" w:eastAsia="zh-CN"/>
        </w:rPr>
        <w:t>交易明细记录错误</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例如下图为2018年7月5日商店A018售卖215524栏29318商品的交易记录，其折扣金额为-1440元，明显出现记录失误，对于此类情况应予以删除此类记录的处理。</w:t>
      </w:r>
    </w:p>
    <w:p>
      <w:pPr>
        <w:bidi w:val="0"/>
        <w:ind w:firstLine="373" w:firstLineChars="0"/>
        <w:jc w:val="center"/>
      </w:pPr>
      <w:r>
        <w:drawing>
          <wp:inline distT="0" distB="0" distL="114300" distR="114300">
            <wp:extent cx="4785360" cy="267335"/>
            <wp:effectExtent l="0" t="0" r="15240" b="1841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4785360" cy="267335"/>
                    </a:xfrm>
                    <a:prstGeom prst="rect">
                      <a:avLst/>
                    </a:prstGeom>
                    <a:noFill/>
                    <a:ln>
                      <a:noFill/>
                    </a:ln>
                  </pic:spPr>
                </pic:pic>
              </a:graphicData>
            </a:graphic>
          </wp:inline>
        </w:drawing>
      </w:r>
    </w:p>
    <w:p>
      <w:pPr>
        <w:bidi w:val="0"/>
        <w:rPr>
          <w:rFonts w:hint="default" w:asciiTheme="minorHAnsi" w:hAnsiTheme="minorHAnsi" w:eastAsiaTheme="minorEastAsia" w:cstheme="minorBidi"/>
          <w:kern w:val="2"/>
          <w:sz w:val="21"/>
          <w:szCs w:val="24"/>
          <w:lang w:val="en-US" w:eastAsia="zh-CN" w:bidi="ar-SA"/>
        </w:rPr>
      </w:pPr>
    </w:p>
    <w:p>
      <w:pPr>
        <w:pStyle w:val="3"/>
        <w:numPr>
          <w:ilvl w:val="0"/>
          <w:numId w:val="1"/>
        </w:numPr>
        <w:bidi w:val="0"/>
        <w:rPr>
          <w:rFonts w:hint="eastAsia"/>
          <w:b w:val="0"/>
          <w:bCs/>
          <w:sz w:val="24"/>
          <w:szCs w:val="24"/>
          <w:lang w:val="en-US" w:eastAsia="zh-CN"/>
        </w:rPr>
      </w:pPr>
      <w:r>
        <w:rPr>
          <w:rFonts w:hint="eastAsia"/>
          <w:b w:val="0"/>
          <w:bCs/>
          <w:sz w:val="24"/>
          <w:szCs w:val="24"/>
          <w:lang w:val="en-US" w:eastAsia="zh-CN"/>
        </w:rPr>
        <w:t>超市交易明细指标列分析</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7" w:beforeLines="50" w:beforeAutospacing="0" w:after="157" w:afterLines="50" w:afterAutospacing="0"/>
        <w:ind w:leftChars="0" w:right="0" w:rightChars="0"/>
        <w:jc w:val="left"/>
        <w:textAlignment w:val="baseline"/>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t>1.交易记录时间范围</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cstheme="minorBidi"/>
          <w:kern w:val="2"/>
          <w:sz w:val="21"/>
          <w:szCs w:val="24"/>
          <w:lang w:val="en-US" w:eastAsia="zh-CN" w:bidi="ar-SA"/>
        </w:rPr>
      </w:pPr>
      <w:r>
        <w:rPr>
          <w:rFonts w:hint="eastAsia" w:asciiTheme="majorEastAsia" w:hAnsiTheme="majorEastAsia" w:eastAsiaTheme="majorEastAsia" w:cstheme="majorEastAsia"/>
          <w:sz w:val="24"/>
          <w:szCs w:val="24"/>
          <w:lang w:val="en-US" w:eastAsia="zh-CN"/>
        </w:rPr>
        <w:t>原交易明细共有1732761项，按照时间对每条记录进行排序发现交易明细记录了在2018年6月1日-2018年7月5日的35天各商店交易情况。其中2018年6月1-2018年7月5日的交易按天交易明细计数统计图，如下所示：</w:t>
      </w:r>
    </w:p>
    <w:p>
      <w:pPr>
        <w:bidi w:val="0"/>
        <w:jc w:val="center"/>
      </w:pPr>
      <w:r>
        <w:drawing>
          <wp:inline distT="0" distB="0" distL="114300" distR="114300">
            <wp:extent cx="3696970" cy="1906270"/>
            <wp:effectExtent l="4445" t="4445" r="13335" b="13335"/>
            <wp:docPr id="10"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default"/>
          <w:lang w:val="en-US" w:eastAsia="zh-CN"/>
        </w:rPr>
      </w:pPr>
      <w:r>
        <w:rPr>
          <w:rFonts w:hint="eastAsia" w:asciiTheme="majorEastAsia" w:hAnsiTheme="majorEastAsia" w:eastAsiaTheme="majorEastAsia" w:cstheme="majorEastAsia"/>
          <w:sz w:val="24"/>
          <w:szCs w:val="24"/>
          <w:lang w:val="en-US" w:eastAsia="zh-CN"/>
        </w:rPr>
        <w:t>如图中显示，2018年6月1日-7月5日商店交易数量呈现上下波动的情况，日交易高峰数量在2018年6月17日左右，17日后直到7月5日交易数量明显低于17日之前的交易数量。由此看来，超市每日交易次数下滑。</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7" w:beforeLines="50" w:beforeAutospacing="0" w:after="157" w:afterLines="50" w:afterAutospacing="0"/>
        <w:ind w:leftChars="0" w:right="0" w:rightChars="0"/>
        <w:jc w:val="left"/>
        <w:textAlignment w:val="baseline"/>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t>2.商店编号情况</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编码为A类的商店有15家，02、03、05、11、14、15、20商店的交易记录没有记录在商店内。编码为D类的商店共9家，其中01商店的交易记录无法得知。商店D003及A001分别为销售第一、二的热门商店、最为冷清的商店为D003。</w:t>
      </w:r>
    </w:p>
    <w:p>
      <w:pPr>
        <w:numPr>
          <w:numId w:val="0"/>
        </w:numPr>
        <w:bidi w:val="0"/>
        <w:ind w:leftChars="0"/>
        <w:jc w:val="left"/>
        <w:rPr>
          <w:rFonts w:hint="default"/>
          <w:lang w:val="en-US" w:eastAsia="zh-CN"/>
        </w:rPr>
      </w:pPr>
    </w:p>
    <w:tbl>
      <w:tblPr>
        <w:tblW w:w="7243" w:type="dxa"/>
        <w:jc w:val="center"/>
        <w:shd w:val="clear"/>
        <w:tblLayout w:type="fixed"/>
        <w:tblCellMar>
          <w:top w:w="0" w:type="dxa"/>
          <w:left w:w="0" w:type="dxa"/>
          <w:bottom w:w="0" w:type="dxa"/>
          <w:right w:w="0" w:type="dxa"/>
        </w:tblCellMar>
      </w:tblPr>
      <w:tblGrid>
        <w:gridCol w:w="2638"/>
        <w:gridCol w:w="4605"/>
      </w:tblGrid>
      <w:tr>
        <w:tblPrEx>
          <w:shd w:val="clear"/>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商店编码</w:t>
            </w:r>
          </w:p>
        </w:tc>
        <w:tc>
          <w:tcPr>
            <w:tcW w:w="4605" w:type="dxa"/>
            <w:tcBorders>
              <w:top w:val="single" w:color="9BC2E6" w:sz="4" w:space="0"/>
              <w:left w:val="nil"/>
              <w:bottom w:val="single" w:color="9BC2E6" w:sz="4" w:space="0"/>
              <w:right w:val="single" w:color="9BC2E6" w:sz="4" w:space="0"/>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交易明细数量</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A001</w:t>
            </w:r>
          </w:p>
        </w:tc>
        <w:tc>
          <w:tcPr>
            <w:tcW w:w="4605" w:type="dxa"/>
            <w:tcBorders>
              <w:top w:val="single" w:color="9BC2E6" w:sz="4" w:space="0"/>
              <w:left w:val="nil"/>
              <w:bottom w:val="single" w:color="9BC2E6" w:sz="4" w:space="0"/>
              <w:right w:val="single" w:color="9BC2E6"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193822</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A004</w:t>
            </w:r>
          </w:p>
        </w:tc>
        <w:tc>
          <w:tcPr>
            <w:tcW w:w="4605" w:type="dxa"/>
            <w:tcBorders>
              <w:top w:val="single" w:color="9BC2E6" w:sz="4" w:space="0"/>
              <w:left w:val="nil"/>
              <w:bottom w:val="single" w:color="9BC2E6" w:sz="4" w:space="0"/>
              <w:right w:val="single" w:color="9BC2E6" w:sz="4" w:space="0"/>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46005</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A006</w:t>
            </w:r>
          </w:p>
        </w:tc>
        <w:tc>
          <w:tcPr>
            <w:tcW w:w="4605" w:type="dxa"/>
            <w:tcBorders>
              <w:top w:val="single" w:color="9BC2E6" w:sz="4" w:space="0"/>
              <w:left w:val="nil"/>
              <w:bottom w:val="single" w:color="9BC2E6" w:sz="4" w:space="0"/>
              <w:right w:val="single" w:color="9BC2E6"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77906</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A007</w:t>
            </w:r>
          </w:p>
        </w:tc>
        <w:tc>
          <w:tcPr>
            <w:tcW w:w="4605" w:type="dxa"/>
            <w:tcBorders>
              <w:top w:val="single" w:color="9BC2E6" w:sz="4" w:space="0"/>
              <w:left w:val="nil"/>
              <w:bottom w:val="single" w:color="9BC2E6" w:sz="4" w:space="0"/>
              <w:right w:val="single" w:color="9BC2E6" w:sz="4" w:space="0"/>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49326</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A008</w:t>
            </w:r>
          </w:p>
        </w:tc>
        <w:tc>
          <w:tcPr>
            <w:tcW w:w="4605" w:type="dxa"/>
            <w:tcBorders>
              <w:top w:val="single" w:color="9BC2E6" w:sz="4" w:space="0"/>
              <w:left w:val="nil"/>
              <w:bottom w:val="single" w:color="9BC2E6" w:sz="4" w:space="0"/>
              <w:right w:val="single" w:color="9BC2E6"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106171</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A009</w:t>
            </w:r>
          </w:p>
        </w:tc>
        <w:tc>
          <w:tcPr>
            <w:tcW w:w="4605" w:type="dxa"/>
            <w:tcBorders>
              <w:top w:val="single" w:color="9BC2E6" w:sz="4" w:space="0"/>
              <w:left w:val="nil"/>
              <w:bottom w:val="single" w:color="9BC2E6" w:sz="4" w:space="0"/>
              <w:right w:val="single" w:color="9BC2E6" w:sz="4" w:space="0"/>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56326</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A010</w:t>
            </w:r>
          </w:p>
        </w:tc>
        <w:tc>
          <w:tcPr>
            <w:tcW w:w="4605" w:type="dxa"/>
            <w:tcBorders>
              <w:top w:val="single" w:color="9BC2E6" w:sz="4" w:space="0"/>
              <w:left w:val="nil"/>
              <w:bottom w:val="single" w:color="9BC2E6" w:sz="4" w:space="0"/>
              <w:right w:val="single" w:color="9BC2E6"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49291</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A012</w:t>
            </w:r>
          </w:p>
        </w:tc>
        <w:tc>
          <w:tcPr>
            <w:tcW w:w="4605" w:type="dxa"/>
            <w:tcBorders>
              <w:top w:val="single" w:color="9BC2E6" w:sz="4" w:space="0"/>
              <w:left w:val="nil"/>
              <w:bottom w:val="single" w:color="9BC2E6" w:sz="4" w:space="0"/>
              <w:right w:val="single" w:color="9BC2E6" w:sz="4" w:space="0"/>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63749</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A013</w:t>
            </w:r>
          </w:p>
        </w:tc>
        <w:tc>
          <w:tcPr>
            <w:tcW w:w="4605" w:type="dxa"/>
            <w:tcBorders>
              <w:top w:val="single" w:color="9BC2E6" w:sz="4" w:space="0"/>
              <w:left w:val="nil"/>
              <w:bottom w:val="single" w:color="9BC2E6" w:sz="4" w:space="0"/>
              <w:right w:val="single" w:color="9BC2E6"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81522</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A016</w:t>
            </w:r>
          </w:p>
        </w:tc>
        <w:tc>
          <w:tcPr>
            <w:tcW w:w="4605" w:type="dxa"/>
            <w:tcBorders>
              <w:top w:val="single" w:color="9BC2E6" w:sz="4" w:space="0"/>
              <w:left w:val="nil"/>
              <w:bottom w:val="single" w:color="9BC2E6" w:sz="4" w:space="0"/>
              <w:right w:val="single" w:color="9BC2E6" w:sz="4" w:space="0"/>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56266</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A017</w:t>
            </w:r>
          </w:p>
        </w:tc>
        <w:tc>
          <w:tcPr>
            <w:tcW w:w="4605" w:type="dxa"/>
            <w:tcBorders>
              <w:top w:val="single" w:color="9BC2E6" w:sz="4" w:space="0"/>
              <w:left w:val="nil"/>
              <w:bottom w:val="single" w:color="9BC2E6" w:sz="4" w:space="0"/>
              <w:right w:val="single" w:color="9BC2E6"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28789</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A018</w:t>
            </w:r>
          </w:p>
        </w:tc>
        <w:tc>
          <w:tcPr>
            <w:tcW w:w="4605" w:type="dxa"/>
            <w:tcBorders>
              <w:top w:val="single" w:color="9BC2E6" w:sz="4" w:space="0"/>
              <w:left w:val="nil"/>
              <w:bottom w:val="single" w:color="9BC2E6" w:sz="4" w:space="0"/>
              <w:right w:val="single" w:color="9BC2E6" w:sz="4" w:space="0"/>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46569</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A019</w:t>
            </w:r>
          </w:p>
        </w:tc>
        <w:tc>
          <w:tcPr>
            <w:tcW w:w="4605" w:type="dxa"/>
            <w:tcBorders>
              <w:top w:val="single" w:color="9BC2E6" w:sz="4" w:space="0"/>
              <w:left w:val="nil"/>
              <w:bottom w:val="single" w:color="9BC2E6" w:sz="4" w:space="0"/>
              <w:right w:val="single" w:color="9BC2E6"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51289</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A021</w:t>
            </w:r>
          </w:p>
        </w:tc>
        <w:tc>
          <w:tcPr>
            <w:tcW w:w="4605" w:type="dxa"/>
            <w:tcBorders>
              <w:top w:val="single" w:color="9BC2E6" w:sz="4" w:space="0"/>
              <w:left w:val="nil"/>
              <w:bottom w:val="single" w:color="9BC2E6" w:sz="4" w:space="0"/>
              <w:right w:val="single" w:color="9BC2E6" w:sz="4" w:space="0"/>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62889</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A022</w:t>
            </w:r>
          </w:p>
        </w:tc>
        <w:tc>
          <w:tcPr>
            <w:tcW w:w="4605" w:type="dxa"/>
            <w:tcBorders>
              <w:top w:val="single" w:color="9BC2E6" w:sz="4" w:space="0"/>
              <w:left w:val="nil"/>
              <w:bottom w:val="single" w:color="9BC2E6" w:sz="4" w:space="0"/>
              <w:right w:val="single" w:color="9BC2E6"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44130</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D002</w:t>
            </w:r>
          </w:p>
        </w:tc>
        <w:tc>
          <w:tcPr>
            <w:tcW w:w="4605" w:type="dxa"/>
            <w:tcBorders>
              <w:top w:val="single" w:color="9BC2E6" w:sz="4" w:space="0"/>
              <w:left w:val="nil"/>
              <w:bottom w:val="single" w:color="9BC2E6" w:sz="4" w:space="0"/>
              <w:right w:val="single" w:color="9BC2E6" w:sz="4" w:space="0"/>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242492</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D003</w:t>
            </w:r>
          </w:p>
        </w:tc>
        <w:tc>
          <w:tcPr>
            <w:tcW w:w="4605" w:type="dxa"/>
            <w:tcBorders>
              <w:top w:val="single" w:color="9BC2E6" w:sz="4" w:space="0"/>
              <w:left w:val="nil"/>
              <w:bottom w:val="single" w:color="9BC2E6" w:sz="4" w:space="0"/>
              <w:right w:val="single" w:color="9BC2E6"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22249</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D004</w:t>
            </w:r>
          </w:p>
        </w:tc>
        <w:tc>
          <w:tcPr>
            <w:tcW w:w="4605" w:type="dxa"/>
            <w:tcBorders>
              <w:top w:val="single" w:color="9BC2E6" w:sz="4" w:space="0"/>
              <w:left w:val="nil"/>
              <w:bottom w:val="single" w:color="9BC2E6" w:sz="4" w:space="0"/>
              <w:right w:val="single" w:color="9BC2E6" w:sz="4" w:space="0"/>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76548</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D005</w:t>
            </w:r>
          </w:p>
        </w:tc>
        <w:tc>
          <w:tcPr>
            <w:tcW w:w="4605" w:type="dxa"/>
            <w:tcBorders>
              <w:top w:val="single" w:color="9BC2E6" w:sz="4" w:space="0"/>
              <w:left w:val="nil"/>
              <w:bottom w:val="single" w:color="9BC2E6" w:sz="4" w:space="0"/>
              <w:right w:val="single" w:color="9BC2E6"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50408</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D006</w:t>
            </w:r>
          </w:p>
        </w:tc>
        <w:tc>
          <w:tcPr>
            <w:tcW w:w="4605" w:type="dxa"/>
            <w:tcBorders>
              <w:top w:val="single" w:color="9BC2E6" w:sz="4" w:space="0"/>
              <w:left w:val="nil"/>
              <w:bottom w:val="single" w:color="9BC2E6" w:sz="4" w:space="0"/>
              <w:right w:val="single" w:color="9BC2E6" w:sz="4" w:space="0"/>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70071</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D007</w:t>
            </w:r>
          </w:p>
        </w:tc>
        <w:tc>
          <w:tcPr>
            <w:tcW w:w="4605" w:type="dxa"/>
            <w:tcBorders>
              <w:top w:val="single" w:color="9BC2E6" w:sz="4" w:space="0"/>
              <w:left w:val="nil"/>
              <w:bottom w:val="single" w:color="9BC2E6" w:sz="4" w:space="0"/>
              <w:right w:val="single" w:color="9BC2E6"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117804</w:t>
            </w:r>
          </w:p>
        </w:tc>
      </w:tr>
      <w:tr>
        <w:tblPrEx>
          <w:tblCellMar>
            <w:top w:w="0" w:type="dxa"/>
            <w:left w:w="0" w:type="dxa"/>
            <w:bottom w:w="0" w:type="dxa"/>
            <w:right w:w="0" w:type="dxa"/>
          </w:tblCellMar>
        </w:tblPrEx>
        <w:trPr>
          <w:trHeight w:val="263" w:hRule="atLeast"/>
          <w:jc w:val="center"/>
        </w:trPr>
        <w:tc>
          <w:tcPr>
            <w:tcW w:w="2638" w:type="dxa"/>
            <w:tcBorders>
              <w:top w:val="single" w:color="9BC2E6" w:sz="4" w:space="0"/>
              <w:left w:val="single" w:color="9BC2E6" w:sz="4" w:space="0"/>
              <w:bottom w:val="single" w:color="9BC2E6" w:sz="4" w:space="0"/>
              <w:right w:val="nil"/>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D008</w:t>
            </w:r>
          </w:p>
        </w:tc>
        <w:tc>
          <w:tcPr>
            <w:tcW w:w="4605" w:type="dxa"/>
            <w:tcBorders>
              <w:top w:val="single" w:color="9BC2E6" w:sz="4" w:space="0"/>
              <w:left w:val="nil"/>
              <w:bottom w:val="single" w:color="9BC2E6" w:sz="4" w:space="0"/>
              <w:right w:val="single" w:color="9BC2E6" w:sz="4" w:space="0"/>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59282</w:t>
            </w:r>
          </w:p>
        </w:tc>
      </w:tr>
      <w:tr>
        <w:tblPrEx>
          <w:tblCellMar>
            <w:top w:w="0" w:type="dxa"/>
            <w:left w:w="0" w:type="dxa"/>
            <w:bottom w:w="0" w:type="dxa"/>
            <w:right w:w="0" w:type="dxa"/>
          </w:tblCellMar>
        </w:tblPrEx>
        <w:trPr>
          <w:trHeight w:val="90" w:hRule="atLeast"/>
          <w:jc w:val="center"/>
        </w:trPr>
        <w:tc>
          <w:tcPr>
            <w:tcW w:w="2638" w:type="dxa"/>
            <w:tcBorders>
              <w:top w:val="single" w:color="9BC2E6" w:sz="4" w:space="0"/>
              <w:left w:val="single" w:color="9BC2E6" w:sz="4" w:space="0"/>
              <w:bottom w:val="single" w:color="9BC2E6" w:sz="4" w:space="0"/>
              <w:right w:val="nil"/>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D009</w:t>
            </w:r>
          </w:p>
        </w:tc>
        <w:tc>
          <w:tcPr>
            <w:tcW w:w="4605" w:type="dxa"/>
            <w:tcBorders>
              <w:top w:val="single" w:color="9BC2E6" w:sz="4" w:space="0"/>
              <w:left w:val="nil"/>
              <w:bottom w:val="single" w:color="9BC2E6" w:sz="4" w:space="0"/>
              <w:right w:val="single" w:color="9BC2E6"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45032</w:t>
            </w:r>
          </w:p>
        </w:tc>
      </w:tr>
      <w:tr>
        <w:tblPrEx>
          <w:tblCellMar>
            <w:top w:w="0" w:type="dxa"/>
            <w:left w:w="0" w:type="dxa"/>
            <w:bottom w:w="0" w:type="dxa"/>
            <w:right w:w="0" w:type="dxa"/>
          </w:tblCellMar>
        </w:tblPrEx>
        <w:trPr>
          <w:trHeight w:val="90" w:hRule="atLeast"/>
          <w:jc w:val="center"/>
        </w:trPr>
        <w:tc>
          <w:tcPr>
            <w:tcW w:w="2638" w:type="dxa"/>
            <w:tcBorders>
              <w:top w:val="single" w:color="9BC2E6" w:sz="4" w:space="0"/>
              <w:left w:val="single" w:color="9BC2E6" w:sz="4" w:space="0"/>
              <w:bottom w:val="single" w:color="9BC2E6" w:sz="4" w:space="0"/>
              <w:right w:val="nil"/>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default" w:ascii="Courier New" w:hAnsi="Courier New" w:eastAsia="宋体" w:cs="Courier New"/>
                <w:i w:val="0"/>
                <w:color w:val="000000"/>
                <w:sz w:val="18"/>
                <w:szCs w:val="18"/>
                <w:u w:val="none"/>
              </w:rPr>
            </w:pPr>
            <w:r>
              <w:rPr>
                <w:rFonts w:hint="default" w:ascii="Courier New" w:hAnsi="Courier New" w:eastAsia="宋体" w:cs="Courier New"/>
                <w:i w:val="0"/>
                <w:color w:val="000000"/>
                <w:kern w:val="0"/>
                <w:sz w:val="18"/>
                <w:szCs w:val="18"/>
                <w:u w:val="none"/>
                <w:bdr w:val="none" w:color="auto" w:sz="0" w:space="0"/>
                <w:lang w:val="en-US" w:eastAsia="zh-CN" w:bidi="ar"/>
              </w:rPr>
              <w:t>D010</w:t>
            </w:r>
          </w:p>
        </w:tc>
        <w:tc>
          <w:tcPr>
            <w:tcW w:w="4605" w:type="dxa"/>
            <w:tcBorders>
              <w:top w:val="single" w:color="9BC2E6" w:sz="4" w:space="0"/>
              <w:left w:val="nil"/>
              <w:bottom w:val="single" w:color="9BC2E6" w:sz="4" w:space="0"/>
              <w:right w:val="single" w:color="9BC2E6" w:sz="4" w:space="0"/>
            </w:tcBorders>
            <w:shd w:val="clear" w:color="DDEBF7" w:fill="DDEBF7"/>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bdr w:val="none" w:color="auto" w:sz="0" w:space="0"/>
                <w:lang w:val="en-US" w:eastAsia="zh-CN" w:bidi="ar"/>
              </w:rPr>
              <w:t>34825</w:t>
            </w:r>
          </w:p>
        </w:tc>
      </w:tr>
    </w:tbl>
    <w:p>
      <w:pPr>
        <w:bidi w:val="0"/>
        <w:rPr>
          <w:rFonts w:hint="default" w:asciiTheme="minorHAnsi" w:hAnsiTheme="minorHAnsi" w:eastAsiaTheme="minorEastAsia" w:cstheme="minorBidi"/>
          <w:kern w:val="2"/>
          <w:sz w:val="21"/>
          <w:szCs w:val="24"/>
          <w:lang w:val="en-US" w:eastAsia="zh-CN" w:bidi="ar-SA"/>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7" w:beforeLines="50" w:beforeAutospacing="0" w:after="157" w:afterLines="50" w:afterAutospacing="0"/>
        <w:ind w:leftChars="0" w:right="0" w:rightChars="0"/>
        <w:jc w:val="left"/>
        <w:textAlignment w:val="baseline"/>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t>3.POS机情况</w:t>
      </w:r>
    </w:p>
    <w:p>
      <w:pPr>
        <w:bidi w:val="0"/>
        <w:ind w:firstLine="268" w:firstLineChars="0"/>
        <w:jc w:val="center"/>
      </w:pPr>
      <w:r>
        <w:drawing>
          <wp:inline distT="0" distB="0" distL="114300" distR="114300">
            <wp:extent cx="3876675" cy="1866900"/>
            <wp:effectExtent l="4445" t="4445" r="5080" b="14605"/>
            <wp:docPr id="1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bidi w:val="0"/>
        <w:ind w:firstLine="268" w:firstLineChars="0"/>
        <w:jc w:val="cente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eastAsia"/>
          <w:lang w:val="en-US" w:eastAsia="zh-CN"/>
        </w:rPr>
      </w:pPr>
      <w:r>
        <w:rPr>
          <w:rFonts w:hint="eastAsia" w:asciiTheme="majorEastAsia" w:hAnsiTheme="majorEastAsia" w:eastAsiaTheme="majorEastAsia" w:cstheme="majorEastAsia"/>
          <w:sz w:val="24"/>
          <w:szCs w:val="24"/>
          <w:lang w:val="en-US" w:eastAsia="zh-CN"/>
        </w:rPr>
        <w:t>POS机情况图描述了各商店对不同编号的POS机使用情况，所有交易明细当中记录了1-10、13、19、20号POS机的交易情况，1号和2号POS机的使用次数多于其他机器。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7" w:beforeLines="50" w:beforeAutospacing="0" w:after="157" w:afterLines="50" w:afterAutospacing="0"/>
        <w:ind w:leftChars="0" w:right="0" w:rightChars="0"/>
        <w:jc w:val="left"/>
        <w:textAlignment w:val="baseline"/>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pPr>
      <w:r>
        <w:rPr>
          <w:rFonts w:hint="eastAsia" w:asciiTheme="minorEastAsia" w:hAnsiTheme="minorEastAsia" w:eastAsiaTheme="minorEastAsia" w:cstheme="minorEastAsia"/>
          <w:i w:val="0"/>
          <w:caps w:val="0"/>
          <w:color w:val="000000"/>
          <w:spacing w:val="0"/>
          <w:sz w:val="24"/>
          <w:szCs w:val="24"/>
          <w:shd w:val="clear" w:fill="FFFFFF"/>
          <w:vertAlign w:val="baseline"/>
          <w:lang w:val="en-US" w:eastAsia="zh-CN"/>
        </w:rPr>
        <w:t>4.商品栏情况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80" w:firstLineChars="200"/>
        <w:jc w:val="left"/>
        <w:textAlignment w:val="baseline"/>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统计所有商店有</w:t>
      </w:r>
      <w:r>
        <w:rPr>
          <w:rFonts w:hint="default" w:asciiTheme="majorEastAsia" w:hAnsiTheme="majorEastAsia" w:eastAsiaTheme="majorEastAsia" w:cstheme="majorEastAsia"/>
          <w:kern w:val="2"/>
          <w:sz w:val="24"/>
          <w:szCs w:val="24"/>
          <w:lang w:val="en-US" w:eastAsia="zh-CN" w:bidi="ar-SA"/>
        </w:rPr>
        <w:t>281211</w:t>
      </w:r>
      <w:r>
        <w:rPr>
          <w:rFonts w:hint="eastAsia" w:asciiTheme="majorEastAsia" w:hAnsiTheme="majorEastAsia" w:eastAsiaTheme="majorEastAsia" w:cstheme="majorEastAsia"/>
          <w:kern w:val="2"/>
          <w:sz w:val="24"/>
          <w:szCs w:val="24"/>
          <w:lang w:val="en-US" w:eastAsia="zh-CN" w:bidi="ar-SA"/>
        </w:rPr>
        <w:t>个不同的商品栏。</w:t>
      </w:r>
    </w:p>
    <w:p>
      <w:pPr>
        <w:numPr>
          <w:numId w:val="0"/>
        </w:numPr>
        <w:bidi w:val="0"/>
        <w:ind w:left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948DD"/>
    <w:multiLevelType w:val="singleLevel"/>
    <w:tmpl w:val="895948DD"/>
    <w:lvl w:ilvl="0" w:tentative="0">
      <w:start w:val="1"/>
      <w:numFmt w:val="decimal"/>
      <w:lvlText w:val="%1."/>
      <w:lvlJc w:val="left"/>
      <w:pPr>
        <w:tabs>
          <w:tab w:val="left" w:pos="312"/>
        </w:tabs>
      </w:pPr>
    </w:lvl>
  </w:abstractNum>
  <w:abstractNum w:abstractNumId="1">
    <w:nsid w:val="D7599754"/>
    <w:multiLevelType w:val="singleLevel"/>
    <w:tmpl w:val="D7599754"/>
    <w:lvl w:ilvl="0" w:tentative="0">
      <w:start w:val="1"/>
      <w:numFmt w:val="chineseCounting"/>
      <w:suff w:val="nothing"/>
      <w:lvlText w:val="%1、"/>
      <w:lvlJc w:val="left"/>
      <w:rPr>
        <w:rFonts w:hint="eastAsia"/>
      </w:rPr>
    </w:lvl>
  </w:abstractNum>
  <w:abstractNum w:abstractNumId="2">
    <w:nsid w:val="29F0892C"/>
    <w:multiLevelType w:val="singleLevel"/>
    <w:tmpl w:val="29F0892C"/>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32452"/>
    <w:rsid w:val="167967BC"/>
    <w:rsid w:val="234928C5"/>
    <w:rsid w:val="251916D2"/>
    <w:rsid w:val="27CD5B2F"/>
    <w:rsid w:val="347829DD"/>
    <w:rsid w:val="3CD01E0D"/>
    <w:rsid w:val="50F32452"/>
    <w:rsid w:val="62B93DBA"/>
    <w:rsid w:val="64E800B0"/>
    <w:rsid w:val="71265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4"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4"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1200"/>
              <a:t>6</a:t>
            </a:r>
            <a:r>
              <a:rPr altLang="en-US" sz="1200"/>
              <a:t>月</a:t>
            </a:r>
            <a:r>
              <a:rPr lang="en-US" altLang="zh-CN" sz="1200"/>
              <a:t>1</a:t>
            </a:r>
            <a:r>
              <a:rPr altLang="en-US" sz="1200"/>
              <a:t>日</a:t>
            </a:r>
            <a:r>
              <a:rPr lang="en-US" altLang="zh-CN" sz="1200"/>
              <a:t>-7</a:t>
            </a:r>
            <a:r>
              <a:rPr altLang="en-US" sz="1200"/>
              <a:t>月</a:t>
            </a:r>
            <a:r>
              <a:rPr lang="en-US" altLang="zh-CN" sz="1200"/>
              <a:t>5</a:t>
            </a:r>
            <a:r>
              <a:rPr altLang="en-US" sz="1200"/>
              <a:t>日交易明细统计</a:t>
            </a:r>
            <a:endParaRPr lang="en-US" altLang="zh-CN" sz="12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cat>
            <c:numRef>
              <c:f>[工作簿4]Sheet2!$A$1:$A$35</c:f>
              <c:numCache>
                <c:formatCode>yyyy/m/d</c:formatCode>
                <c:ptCount val="35"/>
                <c:pt idx="0" c:formatCode="yyyy/m/d">
                  <c:v>43252</c:v>
                </c:pt>
                <c:pt idx="1" c:formatCode="yyyy/m/d">
                  <c:v>43253</c:v>
                </c:pt>
                <c:pt idx="2" c:formatCode="yyyy/m/d">
                  <c:v>43254</c:v>
                </c:pt>
                <c:pt idx="3" c:formatCode="yyyy/m/d">
                  <c:v>43255</c:v>
                </c:pt>
                <c:pt idx="4" c:formatCode="yyyy/m/d">
                  <c:v>43256</c:v>
                </c:pt>
                <c:pt idx="5" c:formatCode="yyyy/m/d">
                  <c:v>43257</c:v>
                </c:pt>
                <c:pt idx="6" c:formatCode="yyyy/m/d">
                  <c:v>43258</c:v>
                </c:pt>
                <c:pt idx="7" c:formatCode="yyyy/m/d">
                  <c:v>43259</c:v>
                </c:pt>
                <c:pt idx="8" c:formatCode="yyyy/m/d">
                  <c:v>43260</c:v>
                </c:pt>
                <c:pt idx="9" c:formatCode="yyyy/m/d">
                  <c:v>43261</c:v>
                </c:pt>
                <c:pt idx="10" c:formatCode="yyyy/m/d">
                  <c:v>43262</c:v>
                </c:pt>
                <c:pt idx="11" c:formatCode="yyyy/m/d">
                  <c:v>43263</c:v>
                </c:pt>
                <c:pt idx="12" c:formatCode="yyyy/m/d">
                  <c:v>43264</c:v>
                </c:pt>
                <c:pt idx="13" c:formatCode="yyyy/m/d">
                  <c:v>43265</c:v>
                </c:pt>
                <c:pt idx="14" c:formatCode="yyyy/m/d">
                  <c:v>43266</c:v>
                </c:pt>
                <c:pt idx="15" c:formatCode="yyyy/m/d">
                  <c:v>43267</c:v>
                </c:pt>
                <c:pt idx="16" c:formatCode="yyyy/m/d">
                  <c:v>43268</c:v>
                </c:pt>
                <c:pt idx="17" c:formatCode="yyyy/m/d">
                  <c:v>43269</c:v>
                </c:pt>
                <c:pt idx="18" c:formatCode="yyyy/m/d">
                  <c:v>43270</c:v>
                </c:pt>
                <c:pt idx="19" c:formatCode="yyyy/m/d">
                  <c:v>43271</c:v>
                </c:pt>
                <c:pt idx="20" c:formatCode="yyyy/m/d">
                  <c:v>43272</c:v>
                </c:pt>
                <c:pt idx="21" c:formatCode="yyyy/m/d">
                  <c:v>43273</c:v>
                </c:pt>
                <c:pt idx="22" c:formatCode="yyyy/m/d">
                  <c:v>43274</c:v>
                </c:pt>
                <c:pt idx="23" c:formatCode="yyyy/m/d">
                  <c:v>43275</c:v>
                </c:pt>
                <c:pt idx="24" c:formatCode="yyyy/m/d">
                  <c:v>43276</c:v>
                </c:pt>
                <c:pt idx="25" c:formatCode="yyyy/m/d">
                  <c:v>43277</c:v>
                </c:pt>
                <c:pt idx="26" c:formatCode="yyyy/m/d">
                  <c:v>43278</c:v>
                </c:pt>
                <c:pt idx="27" c:formatCode="yyyy/m/d">
                  <c:v>43279</c:v>
                </c:pt>
                <c:pt idx="28" c:formatCode="yyyy/m/d">
                  <c:v>43280</c:v>
                </c:pt>
                <c:pt idx="29" c:formatCode="yyyy/m/d">
                  <c:v>43281</c:v>
                </c:pt>
                <c:pt idx="30" c:formatCode="yyyy/m/d">
                  <c:v>43282</c:v>
                </c:pt>
                <c:pt idx="31" c:formatCode="yyyy/m/d">
                  <c:v>43283</c:v>
                </c:pt>
                <c:pt idx="32" c:formatCode="yyyy/m/d">
                  <c:v>43284</c:v>
                </c:pt>
                <c:pt idx="33" c:formatCode="yyyy/m/d">
                  <c:v>43285</c:v>
                </c:pt>
                <c:pt idx="34" c:formatCode="yyyy/m/d">
                  <c:v>43286</c:v>
                </c:pt>
              </c:numCache>
            </c:numRef>
          </c:cat>
          <c:val>
            <c:numRef>
              <c:f>[工作簿4]Sheet2!$B$1:$B$35</c:f>
              <c:numCache>
                <c:formatCode>General</c:formatCode>
                <c:ptCount val="35"/>
                <c:pt idx="0">
                  <c:v>57157</c:v>
                </c:pt>
                <c:pt idx="1">
                  <c:v>59115</c:v>
                </c:pt>
                <c:pt idx="2">
                  <c:v>53452</c:v>
                </c:pt>
                <c:pt idx="3">
                  <c:v>42508</c:v>
                </c:pt>
                <c:pt idx="4">
                  <c:v>46574</c:v>
                </c:pt>
                <c:pt idx="5">
                  <c:v>42524</c:v>
                </c:pt>
                <c:pt idx="6">
                  <c:v>36578</c:v>
                </c:pt>
                <c:pt idx="7">
                  <c:v>45100</c:v>
                </c:pt>
                <c:pt idx="8">
                  <c:v>53159</c:v>
                </c:pt>
                <c:pt idx="9">
                  <c:v>57860</c:v>
                </c:pt>
                <c:pt idx="10">
                  <c:v>41560</c:v>
                </c:pt>
                <c:pt idx="11">
                  <c:v>44386</c:v>
                </c:pt>
                <c:pt idx="12">
                  <c:v>57879</c:v>
                </c:pt>
                <c:pt idx="13">
                  <c:v>47765</c:v>
                </c:pt>
                <c:pt idx="14">
                  <c:v>53407</c:v>
                </c:pt>
                <c:pt idx="15">
                  <c:v>71569</c:v>
                </c:pt>
                <c:pt idx="16">
                  <c:v>87180</c:v>
                </c:pt>
                <c:pt idx="17">
                  <c:v>76259</c:v>
                </c:pt>
                <c:pt idx="18">
                  <c:v>32485</c:v>
                </c:pt>
                <c:pt idx="19">
                  <c:v>44231</c:v>
                </c:pt>
                <c:pt idx="20">
                  <c:v>40002</c:v>
                </c:pt>
                <c:pt idx="21">
                  <c:v>35657</c:v>
                </c:pt>
                <c:pt idx="22">
                  <c:v>51885</c:v>
                </c:pt>
                <c:pt idx="23">
                  <c:v>47126</c:v>
                </c:pt>
                <c:pt idx="24">
                  <c:v>37882</c:v>
                </c:pt>
                <c:pt idx="25">
                  <c:v>38188</c:v>
                </c:pt>
                <c:pt idx="26">
                  <c:v>45125</c:v>
                </c:pt>
                <c:pt idx="27">
                  <c:v>39145</c:v>
                </c:pt>
                <c:pt idx="28">
                  <c:v>45547</c:v>
                </c:pt>
                <c:pt idx="29">
                  <c:v>57402</c:v>
                </c:pt>
                <c:pt idx="30">
                  <c:v>55609</c:v>
                </c:pt>
                <c:pt idx="31">
                  <c:v>45364</c:v>
                </c:pt>
                <c:pt idx="32">
                  <c:v>48766</c:v>
                </c:pt>
                <c:pt idx="33">
                  <c:v>51215</c:v>
                </c:pt>
                <c:pt idx="34">
                  <c:v>43100</c:v>
                </c:pt>
              </c:numCache>
            </c:numRef>
          </c:val>
          <c:smooth val="0"/>
        </c:ser>
        <c:dLbls>
          <c:showLegendKey val="0"/>
          <c:showVal val="0"/>
          <c:showCatName val="0"/>
          <c:showSerName val="0"/>
          <c:showPercent val="0"/>
          <c:showBubbleSize val="0"/>
        </c:dLbls>
        <c:marker val="0"/>
        <c:smooth val="0"/>
        <c:axId val="664945185"/>
        <c:axId val="478022345"/>
      </c:lineChart>
      <c:dateAx>
        <c:axId val="664945185"/>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8022345"/>
        <c:crosses val="autoZero"/>
        <c:auto val="1"/>
        <c:lblOffset val="100"/>
        <c:baseTimeUnit val="days"/>
      </c:dateAx>
      <c:valAx>
        <c:axId val="4780223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6494518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3"/>
          <c:y val="0.0671296296296296"/>
          <c:w val="0.856722222222222"/>
          <c:h val="0.708657407407407"/>
        </c:manualLayout>
      </c:layout>
      <c:lineChart>
        <c:grouping val="standard"/>
        <c:varyColors val="0"/>
        <c:ser>
          <c:idx val="0"/>
          <c:order val="0"/>
          <c:tx>
            <c:strRef>
              <c:f>[工作簿4]Sheet4!$C$1</c:f>
              <c:strCache>
                <c:ptCount val="1"/>
                <c:pt idx="0">
                  <c:v>交易数量</c:v>
                </c:pt>
              </c:strCache>
            </c:strRef>
          </c:tx>
          <c:spPr>
            <a:ln w="28575" cap="rnd">
              <a:solidFill>
                <a:schemeClr val="accent1"/>
              </a:solidFill>
              <a:round/>
            </a:ln>
            <a:effectLst/>
          </c:spPr>
          <c:marker>
            <c:symbol val="none"/>
          </c:marker>
          <c:dLbls>
            <c:delete val="1"/>
          </c:dLbls>
          <c:cat>
            <c:strRef>
              <c:f>[工作簿4]Sheet4!$B$2:$B$15</c:f>
              <c:strCache>
                <c:ptCount val="14"/>
                <c:pt idx="0">
                  <c:v>POS机编号</c:v>
                </c:pt>
                <c:pt idx="1">
                  <c:v>1</c:v>
                </c:pt>
                <c:pt idx="2">
                  <c:v>2</c:v>
                </c:pt>
                <c:pt idx="3">
                  <c:v>3</c:v>
                </c:pt>
                <c:pt idx="4">
                  <c:v>4</c:v>
                </c:pt>
                <c:pt idx="5">
                  <c:v>5</c:v>
                </c:pt>
                <c:pt idx="6">
                  <c:v>6</c:v>
                </c:pt>
                <c:pt idx="7">
                  <c:v>7</c:v>
                </c:pt>
                <c:pt idx="8">
                  <c:v>8</c:v>
                </c:pt>
                <c:pt idx="9">
                  <c:v>9</c:v>
                </c:pt>
                <c:pt idx="10">
                  <c:v>10</c:v>
                </c:pt>
                <c:pt idx="11">
                  <c:v>13</c:v>
                </c:pt>
                <c:pt idx="12">
                  <c:v>19</c:v>
                </c:pt>
                <c:pt idx="13">
                  <c:v>20</c:v>
                </c:pt>
              </c:strCache>
            </c:strRef>
          </c:cat>
          <c:val>
            <c:numRef>
              <c:f>[工作簿4]Sheet4!$C$2:$C$15</c:f>
              <c:numCache>
                <c:formatCode>General</c:formatCode>
                <c:ptCount val="14"/>
                <c:pt idx="1">
                  <c:v>485377</c:v>
                </c:pt>
                <c:pt idx="2">
                  <c:v>526229</c:v>
                </c:pt>
                <c:pt idx="3">
                  <c:v>311576</c:v>
                </c:pt>
                <c:pt idx="4">
                  <c:v>95053</c:v>
                </c:pt>
                <c:pt idx="5">
                  <c:v>47582</c:v>
                </c:pt>
                <c:pt idx="6">
                  <c:v>121539</c:v>
                </c:pt>
                <c:pt idx="7">
                  <c:v>4861</c:v>
                </c:pt>
                <c:pt idx="8">
                  <c:v>57548</c:v>
                </c:pt>
                <c:pt idx="9">
                  <c:v>52657</c:v>
                </c:pt>
                <c:pt idx="10">
                  <c:v>3306</c:v>
                </c:pt>
                <c:pt idx="11">
                  <c:v>24522</c:v>
                </c:pt>
                <c:pt idx="12">
                  <c:v>760</c:v>
                </c:pt>
                <c:pt idx="13">
                  <c:v>1751</c:v>
                </c:pt>
              </c:numCache>
            </c:numRef>
          </c:val>
          <c:smooth val="0"/>
        </c:ser>
        <c:dLbls>
          <c:showLegendKey val="0"/>
          <c:showVal val="0"/>
          <c:showCatName val="0"/>
          <c:showSerName val="0"/>
          <c:showPercent val="0"/>
          <c:showBubbleSize val="0"/>
        </c:dLbls>
        <c:marker val="0"/>
        <c:smooth val="0"/>
        <c:axId val="973580367"/>
        <c:axId val="990332784"/>
      </c:lineChart>
      <c:catAx>
        <c:axId val="9735803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0332784"/>
        <c:crosses val="autoZero"/>
        <c:auto val="1"/>
        <c:lblAlgn val="ctr"/>
        <c:lblOffset val="100"/>
        <c:noMultiLvlLbl val="0"/>
      </c:catAx>
      <c:valAx>
        <c:axId val="99033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73580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2020-10-08T06:10:00Z</dcterms:created>
  <dc:creator>R</dc:creator>
  <cp:lastModifiedBy>R</cp:lastModifiedBy>
  <dcterms:modified xsi:type="dcterms:W3CDTF">2020-10-10T12:26:15Z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2052-11.1.0.9587</vt:lpwstr>
  </property>
</Properties>
</file>