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36.png" ContentType="image/png"/>
  <Override PartName="/word/media/rId35.png" ContentType="image/png"/>
  <Override PartName="/word/media/rId24.png" ContentType="image/png"/>
  <Override PartName="/word/media/rId29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PDFの変換例</w:t>
      </w:r>
    </w:p>
    <w:p>
      <w:pPr>
        <w:pStyle w:val="Author"/>
      </w:pPr>
      <w:r>
        <w:t xml:space="preserve">@p1ass</w:t>
      </w:r>
    </w:p>
    <w:p>
      <w:pPr>
        <w:pStyle w:val="FirstParagraph"/>
      </w:pPr>
      <w:r>
        <w:t xml:space="preserve">@p1ass</w:t>
      </w:r>
    </w:p>
    <w:p>
      <w:pPr>
        <w:pStyle w:val="BodyText"/>
      </w:pPr>
      <w:r>
        <w:t xml:space="preserve">//</w:t>
      </w:r>
    </w:p>
    <w:p>
      <w:pPr>
        <w:pStyle w:val="Heading1"/>
      </w:pPr>
      <w:bookmarkStart w:id="20" w:name="目的"/>
      <w:r>
        <w:t xml:space="preserve">1</w:t>
      </w:r>
      <w:r>
        <w:t xml:space="preserve"> </w:t>
      </w:r>
      <w:r>
        <w:t xml:space="preserve">目的</w:t>
      </w:r>
      <w:bookmarkEnd w:id="20"/>
    </w:p>
    <w:p>
      <w:pPr>
        <w:pStyle w:val="FirstParagraph"/>
      </w:pPr>
      <w:r>
        <w:t xml:space="preserve">PDFに変換できるマークダウンの記法を学ぶ。</w:t>
      </w:r>
    </w:p>
    <w:p>
      <w:pPr>
        <w:pStyle w:val="Heading1"/>
      </w:pPr>
      <w:bookmarkStart w:id="21" w:name="見出し"/>
      <w:r>
        <w:t xml:space="preserve">2</w:t>
      </w:r>
      <w:r>
        <w:t xml:space="preserve"> </w:t>
      </w:r>
      <w:r>
        <w:t xml:space="preserve">見出し</w:t>
      </w:r>
      <w:bookmarkEnd w:id="21"/>
    </w:p>
    <w:p>
      <w:pPr>
        <w:pStyle w:val="Heading2"/>
      </w:pPr>
      <w:bookmarkStart w:id="22" w:name="h2見出し"/>
      <w:r>
        <w:t xml:space="preserve">2.1</w:t>
      </w:r>
      <w:r>
        <w:t xml:space="preserve"> </w:t>
      </w:r>
      <w:r>
        <w:t xml:space="preserve">h2見出し</w:t>
      </w:r>
      <w:bookmarkEnd w:id="22"/>
    </w:p>
    <w:p>
      <w:pPr>
        <w:pStyle w:val="Heading3"/>
      </w:pPr>
      <w:bookmarkStart w:id="23" w:name="インライン数式"/>
      <w:r>
        <w:t xml:space="preserve">2.1.1</w:t>
      </w:r>
      <w:r>
        <w:t xml:space="preserve"> </w:t>
      </w:r>
      <w:r>
        <w:t xml:space="preserve">インライン数式</w:t>
      </w:r>
      <w:bookmarkEnd w:id="23"/>
    </w:p>
    <w:p>
      <w:pPr>
        <w:pStyle w:val="FirstParagraph"/>
      </w:pPr>
      <w:r>
        <w:t xml:space="preserve">インライン数式はドル記号</w:t>
      </w:r>
      <w:r>
        <w:rPr>
          <w:rStyle w:val="VerbatimChar"/>
        </w:rPr>
        <w:t xml:space="preserve">$</w:t>
      </w:r>
      <w:r>
        <w:t xml:space="preserve">で囲って、</w:t>
      </w:r>
      <w:r>
        <w:t xml:space="preserve"> </w:t>
      </w:r>
      <w:r>
        <w:drawing>
          <wp:inline>
            <wp:extent cx="800100" cy="123825"/>
            <wp:effectExtent b="0" l="0" r="0" t="0"/>
            <wp:docPr descr="V = R \times I" title="V = R \times I" id="1" name="Picture"/>
            <a:graphic>
              <a:graphicData uri="http://schemas.openxmlformats.org/drawingml/2006/picture">
                <pic:pic>
                  <pic:nvPicPr>
                    <pic:cNvPr descr="https://latex.codecogs.com/png.latex?V%20%3D%20R%20%5Ctimes%20I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のようにTeXと同じ書き方で書くことができる。</w:t>
      </w:r>
    </w:p>
    <w:p>
      <w:pPr>
        <w:pStyle w:val="Heading3"/>
      </w:pPr>
      <w:bookmarkStart w:id="25" w:name="番号付きディスプレイ数式モード"/>
      <w:r>
        <w:t xml:space="preserve">2.1.2</w:t>
      </w:r>
      <w:r>
        <w:t xml:space="preserve"> </w:t>
      </w:r>
      <w:r>
        <w:t xml:space="preserve">番号付きディスプレイ数式モード</w:t>
      </w:r>
      <w:bookmarkEnd w:id="25"/>
    </w:p>
    <w:p>
      <w:pPr>
        <w:pStyle w:val="FirstParagraph"/>
      </w:pPr>
      <w:r>
        <w:t xml:space="preserve">数式ブロックはドル記号2つ</w:t>
      </w:r>
      <w:r>
        <w:rPr>
          <w:rStyle w:val="VerbatimChar"/>
        </w:rPr>
        <w:t xml:space="preserve">$$</w:t>
      </w:r>
      <w:r>
        <w:t xml:space="preserve">で囲む。</w:t>
      </w:r>
      <w:r>
        <w:rPr>
          <w:rStyle w:val="VerbatimChar"/>
        </w:rPr>
        <w:t xml:space="preserve">{#eq:equation}</w:t>
      </w:r>
      <w:r>
        <w:t xml:space="preserve">を最後につけることでラベルを貼れる。 参照は</w:t>
      </w:r>
      <w:r>
        <w:rPr>
          <w:rStyle w:val="VerbatimChar"/>
        </w:rPr>
        <w:t xml:space="preserve">[@eq:equation]</w:t>
      </w:r>
      <w:r>
        <w:t xml:space="preserve">のように書くことができる。</w:t>
      </w:r>
    </w:p>
    <w:p>
      <w:pPr>
        <w:pStyle w:val="BodyText"/>
      </w:pPr>
      <w:r>
        <w:t xml:space="preserve">不純物濃度の深さ方向分布は式 1の拡散方程式を解くことで得られる。</w:t>
      </w:r>
    </w:p>
    <w:p>
      <w:pPr>
        <w:pStyle w:val="BodyText"/>
      </w:pPr>
      <w:bookmarkStart w:id="27" w:name="eq:equation"/>
      <w:r>
        <w:br/>
      </w:r>
      <w:r>
        <w:drawing>
          <wp:inline>
            <wp:extent cx="2286000" cy="390525"/>
            <wp:effectExtent b="0" l="0" r="0" t="0"/>
            <wp:docPr descr=" \frac{\partial N(x,t)}{\partial t} = D \frac{\partial^2N(x,t)}{\partial x^2} \qquad(1)" title=" \frac{\partial N(x,t)}{\partial t} = D \frac{\partial^2N(x,t)}{\partial x^2} \qquad(1)" id="1" name="Picture"/>
            <a:graphic>
              <a:graphicData uri="http://schemas.openxmlformats.org/drawingml/2006/picture">
                <pic:pic>
                  <pic:nvPicPr>
                    <pic:cNvPr descr="https://latex.codecogs.com/png.latex?%0A%5Cfrac%7B%5Cpartial%20N%28x%2Ct%29%7D%7B%5Cpartial%20t%7D%20%3D%20D%20%5Cfrac%7B%5Cpartial%5E2N%28x%2Ct%29%7D%7B%5Cpartial%20x%5E2%7D%0A%5Cqquad%281%29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bookmarkEnd w:id="27"/>
    </w:p>
    <w:p>
      <w:pPr>
        <w:pStyle w:val="BodyText"/>
      </w:pPr>
      <w:r>
        <w:t xml:space="preserve">また、</w:t>
      </w:r>
      <w:r>
        <w:rPr>
          <w:rStyle w:val="VerbatimChar"/>
        </w:rPr>
        <w:t xml:space="preserve">\begin{eqnarray}</w:t>
      </w:r>
      <w:r>
        <w:t xml:space="preserve">が使えるので、イコールを揃える時はこちらを使うと良い。</w:t>
      </w:r>
    </w:p>
    <w:p>
      <w:pPr>
        <w:pStyle w:val="BodyText"/>
      </w:pPr>
      <w:r>
        <w:br/>
      </w:r>
      <w:r>
        <w:drawing>
          <wp:inline>
            <wp:extent cx="1571222" cy="321971"/>
            <wp:effectExtent b="0" l="0" r="0" t="0"/>
            <wp:docPr descr="\begin{eqnarray} x + y &amp;=&amp; 5 \label{easy_eq} \\ x &amp;=&amp; 2 \end{eqnarray}" title="\begin{eqnarray} x + y &amp;=&amp; 5 \label{easy_eq} \\ x &amp;=&amp; 2 \end{eqnarray}" id="1" name="Picture"/>
            <a:graphic>
              <a:graphicData uri="http://schemas.openxmlformats.org/drawingml/2006/picture">
                <pic:pic>
                  <pic:nvPicPr>
                    <pic:cNvPr descr="https://latex.codecogs.com/png.latex?%5Cbegin%7Beqnarray%7D%0Ax%20%2B%20y%20%26%3D%26%205%20%5Clabel%7Beasy_eq%7D%20%5C%5C%0Ax%20%26%3D%26%202%0A%5Cend%7Beqnarray%7D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222" cy="321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式を解くと、</w:t>
      </w:r>
      <w:r>
        <w:drawing>
          <wp:inline>
            <wp:extent cx="409575" cy="152400"/>
            <wp:effectExtent b="0" l="0" r="0" t="0"/>
            <wp:docPr descr="y = 3" title="y = 3" id="1" name="Picture"/>
            <a:graphic>
              <a:graphicData uri="http://schemas.openxmlformats.org/drawingml/2006/picture">
                <pic:pic>
                  <pic:nvPicPr>
                    <pic:cNvPr descr="https://latex.codecogs.com/png.latex?y%20%3D%203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が得られる。</w:t>
      </w:r>
    </w:p>
    <w:p>
      <w:pPr>
        <w:pStyle w:val="Heading1"/>
      </w:pPr>
      <w:bookmarkStart w:id="30" w:name="texコマンド"/>
      <w:r>
        <w:t xml:space="preserve">3</w:t>
      </w:r>
      <w:r>
        <w:t xml:space="preserve"> </w:t>
      </w:r>
      <w:r>
        <w:t xml:space="preserve">texコマンド</w:t>
      </w:r>
      <w:bookmarkEnd w:id="30"/>
    </w:p>
    <w:p>
      <w:pPr>
        <w:pStyle w:val="FirstParagraph"/>
      </w:pPr>
      <w:r>
        <w:t xml:space="preserve">一度</w:t>
      </w:r>
      <w:r>
        <w:rPr>
          <w:rStyle w:val="VerbatimChar"/>
        </w:rPr>
        <w:t xml:space="preserve">.tex</w:t>
      </w:r>
      <w:r>
        <w:t xml:space="preserve">ファイルに変換してからPDFに変換するので、texのコマンドも使用できる。 例えば、</w:t>
      </w:r>
      <w:r>
        <w:rPr>
          <w:rStyle w:val="VerbatimChar"/>
        </w:rPr>
        <w:t xml:space="preserve">\clearpage</w:t>
      </w:r>
      <w:r>
        <w:t xml:space="preserve">を使うことで改ページができる。</w:t>
      </w:r>
    </w:p>
    <w:p>
      <w:pPr>
        <w:pStyle w:val="BodyText"/>
      </w:pPr>
      <w:r>
        <w:t xml:space="preserve">改ページ前↑</w:t>
      </w:r>
    </w:p>
    <w:p>
      <w:pPr>
        <w:pStyle w:val="BodyText"/>
      </w:pPr>
      <w:r>
        <w:t xml:space="preserve">改ページ後↓</w:t>
      </w:r>
    </w:p>
    <w:p>
      <w:pPr>
        <w:pStyle w:val="Heading1"/>
      </w:pPr>
      <w:bookmarkStart w:id="31" w:name="画像"/>
      <w:r>
        <w:t xml:space="preserve">4</w:t>
      </w:r>
      <w:r>
        <w:t xml:space="preserve"> </w:t>
      </w:r>
      <w:r>
        <w:t xml:space="preserve">画像</w:t>
      </w:r>
      <w:bookmarkEnd w:id="31"/>
    </w:p>
    <w:p>
      <w:pPr>
        <w:pStyle w:val="FirstParagraph"/>
      </w:pPr>
      <w:r>
        <w:t xml:space="preserve">画像はマークダウンと同じ記法で書くことができる。文末に</w:t>
      </w:r>
      <w:r>
        <w:rPr>
          <w:rStyle w:val="VerbatimChar"/>
        </w:rPr>
        <w:t xml:space="preserve">{#fig:LABEL}</w:t>
      </w:r>
      <w:r>
        <w:t xml:space="preserve">とすることでラベルを付与できる。</w:t>
      </w:r>
      <w:r>
        <w:rPr>
          <w:rStyle w:val="VerbatimChar"/>
        </w:rPr>
        <w:t xml:space="preserve">{#fig:LABEL height=100mm}</w:t>
      </w:r>
      <w:r>
        <w:t xml:space="preserve">とすることで、画像の大きさも調整できる。</w:t>
      </w:r>
    </w:p>
    <w:p>
      <w:pPr>
        <w:pStyle w:val="CaptionedFigure"/>
      </w:pPr>
      <w:bookmarkStart w:id="33" w:name="fig:solar"/>
      <w:r>
        <w:drawing>
          <wp:inline>
            <wp:extent cx="5334000" cy="5334000"/>
            <wp:effectExtent b="0" l="0" r="0" t="0"/>
            <wp:docPr descr="図 1: 太陽電池の出力特性" title="" id="1" name="Picture"/>
            <a:graphic>
              <a:graphicData uri="http://schemas.openxmlformats.org/drawingml/2006/picture">
                <pic:pic>
                  <pic:nvPicPr>
                    <pic:cNvPr descr="sol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図 1: 太陽電池の出力特性</w:t>
      </w:r>
    </w:p>
    <w:p>
      <w:pPr>
        <w:pStyle w:val="BodyText"/>
      </w:pPr>
      <w:r>
        <w:rPr>
          <w:rStyle w:val="VerbatimChar"/>
        </w:rPr>
        <w:t xml:space="preserve">[@fig:LABEL]</w:t>
      </w:r>
      <w:r>
        <w:t xml:space="preserve">とすることで、参照を貼れる。</w:t>
      </w:r>
    </w:p>
    <w:p>
      <w:pPr>
        <w:pStyle w:val="BodyText"/>
      </w:pPr>
      <w:r>
        <w:t xml:space="preserve">太陽電池の出力特性を図 1に示す。</w:t>
      </w:r>
    </w:p>
    <w:p>
      <w:pPr>
        <w:pStyle w:val="Heading1"/>
      </w:pPr>
      <w:bookmarkStart w:id="34" w:name="表"/>
      <w:r>
        <w:t xml:space="preserve">5</w:t>
      </w:r>
      <w:r>
        <w:t xml:space="preserve"> </w:t>
      </w:r>
      <w:r>
        <w:t xml:space="preserve">表</w:t>
      </w:r>
      <w:bookmarkEnd w:id="34"/>
    </w:p>
    <w:p>
      <w:pPr>
        <w:pStyle w:val="FirstParagraph"/>
      </w:pPr>
      <w:r>
        <w:t xml:space="preserve">表のタイトル、ラベルは</w:t>
      </w:r>
      <w:r>
        <w:rPr>
          <w:rStyle w:val="VerbatimChar"/>
        </w:rPr>
        <w:t xml:space="preserve">:タイトル {#tbl:LABEL}</w:t>
      </w:r>
      <w:r>
        <w:t xml:space="preserve">のように書くことができる。</w:t>
      </w:r>
    </w:p>
    <w:bookmarkStart w:id="37" w:name="tbl:table"/>
    <w:p>
      <w:pPr>
        <w:pStyle w:val="TableCaption"/>
      </w:pPr>
      <w:r>
        <w:t xml:space="preserve">表 1: 標本化周波数を変えたときの観測周波数の変化</w:t>
      </w:r>
    </w:p>
    <w:tbl>
      <w:tblPr>
        <w:tblStyle w:val="Table"/>
        <w:tblW w:type="pct" w:w="0.0"/>
        <w:tblLook w:firstRow="1"/>
        <w:tblCaption w:val="表 1: 標本化周波数を変えたときの観測周波数の変化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標本化周波数</w:t>
            </w:r>
            <w:r>
              <w:t xml:space="preserve"> </w:t>
            </w:r>
            <w:r>
              <w:drawing>
                <wp:inline>
                  <wp:extent cx="533400" cy="180975"/>
                  <wp:effectExtent b="0" l="0" r="0" t="0"/>
                  <wp:docPr descr="\mathrm{(kSa/s)}" title="\mathrm{(kSa/s)}" id="1" name="Picture"/>
                  <a:graphic>
                    <a:graphicData uri="http://schemas.openxmlformats.org/drawingml/2006/picture">
                      <pic:pic>
                        <pic:nvPicPr>
                          <pic:cNvPr descr="https://latex.codecogs.com/png.latex?%5Cmathrm%7B%28kSa%2Fs%29%7D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観測周波数</w:t>
            </w:r>
            <w:r>
              <w:t xml:space="preserve"> </w:t>
            </w:r>
            <w:r>
              <w:drawing>
                <wp:inline>
                  <wp:extent cx="400050" cy="180975"/>
                  <wp:effectExtent b="0" l="0" r="0" t="0"/>
                  <wp:docPr descr="\mathrm{(kHz)}" title="\mathrm{(kHz)}" id="1" name="Picture"/>
                  <a:graphic>
                    <a:graphicData uri="http://schemas.openxmlformats.org/drawingml/2006/picture">
                      <pic:pic>
                        <pic:nvPicPr>
                          <pic:cNvPr descr="https://latex.codecogs.com/png.latex?%5Cmathrm%7B%28kHz%29%7D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250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</w:tbl>
    <w:bookmarkEnd w:id="37"/>
    <w:p>
      <w:pPr>
        <w:pStyle w:val="BodyText"/>
      </w:pPr>
      <w:r>
        <w:t xml:space="preserve">表への参照を貼る時は</w:t>
      </w:r>
      <w:r>
        <w:rPr>
          <w:rStyle w:val="VerbatimChar"/>
        </w:rPr>
        <w:t xml:space="preserve">[@tbl:LABEL]</w:t>
      </w:r>
      <w:r>
        <w:t xml:space="preserve">のように書く。</w:t>
      </w:r>
    </w:p>
    <w:p>
      <w:pPr>
        <w:pStyle w:val="BodyText"/>
      </w:pPr>
      <w:r>
        <w:t xml:space="preserve">標本化周波数を変えたときの観測周波数の変化を表 1に示す。</w:t>
      </w:r>
    </w:p>
    <w:p>
      <w:pPr>
        <w:pStyle w:val="Heading2"/>
      </w:pPr>
      <w:bookmarkStart w:id="38" w:name="sec:section"/>
      <w:r>
        <w:t xml:space="preserve">5.1</w:t>
      </w:r>
      <w:r>
        <w:t xml:space="preserve"> </w:t>
      </w:r>
      <w:r>
        <w:t xml:space="preserve">セクション参照</w:t>
      </w:r>
      <w:bookmarkEnd w:id="38"/>
    </w:p>
    <w:p>
      <w:pPr>
        <w:pStyle w:val="FirstParagraph"/>
      </w:pPr>
      <w:r>
        <w:rPr>
          <w:rStyle w:val="VerbatimChar"/>
        </w:rPr>
        <w:t xml:space="preserve">[@sec:LABEL]</w:t>
      </w:r>
      <w:r>
        <w:t xml:space="preserve">と書くことでセクションを参照できる。</w:t>
      </w:r>
    </w:p>
    <w:p>
      <w:pPr>
        <w:pStyle w:val="BodyText"/>
      </w:pPr>
      <w:r>
        <w:t xml:space="preserve">節 5.1によると、セクションの参照も可能である。</w:t>
      </w:r>
    </w:p>
    <w:p>
      <w:pPr>
        <w:pStyle w:val="Heading1"/>
      </w:pPr>
      <w:bookmarkStart w:id="39" w:name="注釈"/>
      <w:r>
        <w:t xml:space="preserve">6</w:t>
      </w:r>
      <w:r>
        <w:t xml:space="preserve"> </w:t>
      </w:r>
      <w:r>
        <w:t xml:space="preserve">注釈</w:t>
      </w:r>
      <w:bookmarkEnd w:id="39"/>
    </w:p>
    <w:p>
      <w:pPr>
        <w:pStyle w:val="FirstParagraph"/>
      </w:pPr>
      <w:r>
        <w:t xml:space="preserve">注釈</w:t>
      </w:r>
      <w:hyperlink w:anchor="fn1">
        <w:r>
          <w:rPr>
            <w:vertAlign w:val="superscript"/>
            <w:rStyle w:val="Hyperlink"/>
          </w:rPr>
          <w:t xml:space="preserve">1</w:t>
        </w:r>
      </w:hyperlink>
    </w:p>
    <w:p>
      <w:pPr>
        <w:pStyle w:val="Heading1"/>
      </w:pPr>
      <w:bookmarkStart w:id="40" w:name="マークダウン記法"/>
      <w:r>
        <w:t xml:space="preserve">7</w:t>
      </w:r>
      <w:r>
        <w:t xml:space="preserve"> </w:t>
      </w:r>
      <w:r>
        <w:t xml:space="preserve">マークダウン記法</w:t>
      </w:r>
      <w:bookmarkEnd w:id="40"/>
    </w:p>
    <w:p>
      <w:pPr>
        <w:pStyle w:val="Compact"/>
        <w:numPr>
          <w:numId w:val="1001"/>
          <w:ilvl w:val="0"/>
        </w:numPr>
      </w:pPr>
      <w:r>
        <w:t xml:space="preserve">箇条書き1</w:t>
      </w:r>
    </w:p>
    <w:p>
      <w:pPr>
        <w:pStyle w:val="Compact"/>
        <w:numPr>
          <w:numId w:val="1002"/>
          <w:ilvl w:val="1"/>
        </w:numPr>
      </w:pPr>
      <w:r>
        <w:t xml:space="preserve">サブ箇条書き1</w:t>
      </w:r>
    </w:p>
    <w:p>
      <w:pPr>
        <w:pStyle w:val="Compact"/>
        <w:numPr>
          <w:numId w:val="1002"/>
          <w:ilvl w:val="1"/>
        </w:numPr>
      </w:pPr>
      <w:r>
        <w:t xml:space="preserve">サブ箇条書き2</w:t>
      </w:r>
    </w:p>
    <w:p>
      <w:pPr>
        <w:pStyle w:val="Compact"/>
        <w:numPr>
          <w:numId w:val="1001"/>
          <w:ilvl w:val="0"/>
        </w:numPr>
      </w:pPr>
      <w:r>
        <w:t xml:space="preserve">箇条書き2</w:t>
      </w:r>
    </w:p>
    <w:p>
      <w:pPr>
        <w:pStyle w:val="Compact"/>
        <w:numPr>
          <w:numId w:val="1001"/>
          <w:ilvl w:val="0"/>
        </w:numPr>
      </w:pPr>
      <w:r>
        <w:t xml:space="preserve">箇条書き3</w:t>
      </w:r>
    </w:p>
    <w:p>
      <w:pPr>
        <w:pStyle w:val="Compact"/>
        <w:numPr>
          <w:numId w:val="1003"/>
          <w:ilvl w:val="0"/>
        </w:numPr>
      </w:pPr>
      <w:r>
        <w:t xml:space="preserve">番号付きリスト1</w:t>
      </w:r>
    </w:p>
    <w:p>
      <w:pPr>
        <w:pStyle w:val="Compact"/>
        <w:numPr>
          <w:numId w:val="1004"/>
          <w:ilvl w:val="1"/>
        </w:numPr>
      </w:pPr>
      <w:r>
        <w:t xml:space="preserve">サブ番号付きリスト1</w:t>
      </w:r>
    </w:p>
    <w:p>
      <w:pPr>
        <w:pStyle w:val="Compact"/>
        <w:numPr>
          <w:numId w:val="1004"/>
          <w:ilvl w:val="1"/>
        </w:numPr>
      </w:pPr>
      <w:r>
        <w:t xml:space="preserve">サブ番号付きリスト1</w:t>
      </w:r>
    </w:p>
    <w:p>
      <w:pPr>
        <w:pStyle w:val="Compact"/>
        <w:numPr>
          <w:numId w:val="1003"/>
          <w:ilvl w:val="0"/>
        </w:numPr>
      </w:pPr>
      <w:r>
        <w:t xml:space="preserve">番号付きリスト2</w:t>
      </w:r>
    </w:p>
    <w:p>
      <w:pPr>
        <w:pStyle w:val="Compact"/>
        <w:numPr>
          <w:numId w:val="1003"/>
          <w:ilvl w:val="0"/>
        </w:numPr>
      </w:pPr>
      <w:r>
        <w:t xml:space="preserve">番号付きリスト3</w:t>
      </w:r>
    </w:p>
    <w:p>
      <w:pPr>
        <w:pStyle w:val="FirstParagraph"/>
      </w:pPr>
      <w:r>
        <w:rPr>
          <w:b/>
        </w:rPr>
        <w:t xml:space="preserve">太字</w:t>
      </w:r>
    </w:p>
    <w:p>
      <w:pPr>
        <w:pStyle w:val="BodyText"/>
      </w:pPr>
      <w:r>
        <w:rPr>
          <w:strike/>
        </w:rPr>
        <w:t xml:space="preserve">取り消し線</w:t>
      </w:r>
    </w:p>
    <w:p>
      <w:pPr>
        <w:pStyle w:val="BodyText"/>
      </w:pPr>
      <w:r>
        <w:t xml:space="preserve">水平線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41">
        <w:r>
          <w:rPr>
            <w:rStyle w:val="Hyperlink"/>
          </w:rPr>
          <w:t xml:space="preserve">googleへのリンク</w:t>
        </w:r>
      </w:hyperlink>
    </w:p>
    <w:p>
      <w:pPr>
        <w:pStyle w:val="BodyText"/>
      </w:pPr>
      <w:r>
        <w:t xml:space="preserve">コードブロック</w:t>
      </w:r>
    </w:p>
    <w:bookmarkStart w:id="42" w:name="cb1"/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"Hello World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bookmarkEnd w:id="42"/>
    <w:p>
      <w:pPr>
        <w:pStyle w:val="FirstParagraph"/>
      </w:pPr>
      <w:r>
        <w:t xml:space="preserve">listingsパッケージ</w:t>
      </w:r>
    </w:p>
    <w:p>
      <w:r>
        <w:pict>
          <v:rect style="width:0;height:1.5pt" o:hralign="center" o:hrstd="t" o:hr="t"/>
        </w:pict>
      </w:r>
    </w:p>
    <w:bookmarkStart w:id="43" w:name="fn1"/>
    <w:p>
      <w:pPr>
        <w:numPr>
          <w:numId w:val="1005"/>
          <w:ilvl w:val="0"/>
        </w:numPr>
      </w:pPr>
      <w:r>
        <w:t xml:space="preserve">注釈とはほげほげ</w:t>
      </w:r>
      <w:hyperlink w:anchor="fnref1">
        <w:r>
          <w:rPr>
            <w:rStyle w:val="Hyperlink"/>
          </w:rPr>
          <w:t xml:space="preserve">↩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47261ba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35" Target="media/rId35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hyperlink" Id="rId41" Target="https://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PDFの変換例</dc:title>
  <dc:creator>@p1ass</dc:creator>
  <dc:language/>
  <cp:keywords/>
  <dcterms:created xsi:type="dcterms:W3CDTF">2020-09-28T23:30:28Z</dcterms:created>
  <dcterms:modified xsi:type="dcterms:W3CDTF">2020-09-28T23:30:28Z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pandoc</vt:lpwstr>
  </property>
  <property fmtid="{D5CDD505-2E9C-101B-9397-08002B2CF9AE}" pid="3" name="viewport">
    <vt:lpwstr>width=device-width, initial-scale=1.0, user-scalable=yes</vt:lpwstr>
  </property>
</Properties>
</file>