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GrounUp Enterprise Specification</w:t>
        <w:br/>
        <w:t>Phase 04 - Master Library Registry</w:t>
      </w:r>
    </w:p>
    <w:p>
      <w:pPr>
        <w:jc w:val="center"/>
      </w:pPr>
      <w:r>
        <w:rPr>
          <w:i/>
        </w:rPr>
        <w:t>GES-P04-001 | Version 1.0.0 | Review-ready | 2026-07-24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Phase 04 defines the governed Master Library Registry that becomes the single source of truth for all GrounUp products, tenants, white-label brands and OEM deployments. It standardizes library ownership, inheritance, versioning, effective dating, approvals, provenance, confidence, search, relationships, APIs and auditability.</w:t>
      </w:r>
    </w:p>
    <w:p>
      <w:pPr>
        <w:pStyle w:val="Heading1"/>
      </w:pPr>
      <w:r>
        <w:t>2. Scope and Objectives</w:t>
      </w:r>
    </w:p>
    <w:p>
      <w:pPr>
        <w:pStyle w:val="ListBullet"/>
      </w:pPr>
      <w:r>
        <w:t>Create one governed registry for all master libraries.</w:t>
      </w:r>
    </w:p>
    <w:p>
      <w:pPr>
        <w:pStyle w:val="ListBullet"/>
      </w:pPr>
      <w:r>
        <w:t>Support global, reseller, tenant and project scopes.</w:t>
      </w:r>
    </w:p>
    <w:p>
      <w:pPr>
        <w:pStyle w:val="ListBullet"/>
      </w:pPr>
      <w:r>
        <w:t>Make the platform user-friendly through role-based and no-code administration.</w:t>
      </w:r>
    </w:p>
    <w:p>
      <w:pPr>
        <w:pStyle w:val="ListBullet"/>
      </w:pPr>
      <w:r>
        <w:t>Enable white-label and OEM isolation without forking the core platform.</w:t>
      </w:r>
    </w:p>
    <w:p>
      <w:pPr>
        <w:pStyle w:val="ListBullet"/>
      </w:pPr>
      <w:r>
        <w:t>Provide immutable traceability for estimates, projects and AI outputs.</w:t>
      </w:r>
    </w:p>
    <w:p>
      <w:pPr>
        <w:pStyle w:val="Heading1"/>
      </w:pPr>
      <w:r>
        <w:t>3. Master Library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t>ID</w:t>
            </w:r>
          </w:p>
        </w:tc>
        <w:tc>
          <w:tcPr>
            <w:tcW w:type="dxa" w:w="2045"/>
            <w:vAlign w:val="center"/>
          </w:tcPr>
          <w:p>
            <w:r>
              <w:t>Library</w:t>
            </w:r>
          </w:p>
        </w:tc>
        <w:tc>
          <w:tcPr>
            <w:tcW w:type="dxa" w:w="2045"/>
            <w:vAlign w:val="center"/>
          </w:tcPr>
          <w:p>
            <w:r>
              <w:t>Domain</w:t>
            </w:r>
          </w:p>
        </w:tc>
        <w:tc>
          <w:tcPr>
            <w:tcW w:type="dxa" w:w="2045"/>
            <w:vAlign w:val="center"/>
          </w:tcPr>
          <w:p>
            <w:r>
              <w:t>Purpose</w:t>
            </w:r>
          </w:p>
        </w:tc>
        <w:tc>
          <w:tcPr>
            <w:tcW w:type="dxa" w:w="2045"/>
            <w:vAlign w:val="center"/>
          </w:tcPr>
          <w:p>
            <w:r>
              <w:t>Scope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LIB-001</w:t>
            </w:r>
          </w:p>
        </w:tc>
        <w:tc>
          <w:tcPr>
            <w:tcW w:type="dxa" w:w="2045"/>
            <w:vAlign w:val="center"/>
          </w:tcPr>
          <w:p>
            <w:r>
              <w:t>Master Service Library</w:t>
            </w:r>
          </w:p>
        </w:tc>
        <w:tc>
          <w:tcPr>
            <w:tcW w:type="dxa" w:w="2045"/>
            <w:vAlign w:val="center"/>
          </w:tcPr>
          <w:p>
            <w:r>
              <w:t>Estimating</w:t>
            </w:r>
          </w:p>
        </w:tc>
        <w:tc>
          <w:tcPr>
            <w:tcW w:type="dxa" w:w="2045"/>
            <w:vAlign w:val="center"/>
          </w:tcPr>
          <w:p>
            <w:r>
              <w:t>Services, scopes, inclusions, exclusions, units, assemblies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LIB-002</w:t>
            </w:r>
          </w:p>
        </w:tc>
        <w:tc>
          <w:tcPr>
            <w:tcW w:type="dxa" w:w="2045"/>
            <w:vAlign w:val="center"/>
          </w:tcPr>
          <w:p>
            <w:r>
              <w:t>Master Resource Library</w:t>
            </w:r>
          </w:p>
        </w:tc>
        <w:tc>
          <w:tcPr>
            <w:tcW w:type="dxa" w:w="2045"/>
            <w:vAlign w:val="center"/>
          </w:tcPr>
          <w:p>
            <w:r>
              <w:t>Estimating</w:t>
            </w:r>
          </w:p>
        </w:tc>
        <w:tc>
          <w:tcPr>
            <w:tcW w:type="dxa" w:w="2045"/>
            <w:vAlign w:val="center"/>
          </w:tcPr>
          <w:p>
            <w:r>
              <w:t>Labor, equipment, material and subcontract resources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LIB-003</w:t>
            </w:r>
          </w:p>
        </w:tc>
        <w:tc>
          <w:tcPr>
            <w:tcW w:type="dxa" w:w="2045"/>
            <w:vAlign w:val="center"/>
          </w:tcPr>
          <w:p>
            <w:r>
              <w:t>Master Material Library</w:t>
            </w:r>
          </w:p>
        </w:tc>
        <w:tc>
          <w:tcPr>
            <w:tcW w:type="dxa" w:w="2045"/>
            <w:vAlign w:val="center"/>
          </w:tcPr>
          <w:p>
            <w:r>
              <w:t>Cost</w:t>
            </w:r>
          </w:p>
        </w:tc>
        <w:tc>
          <w:tcPr>
            <w:tcW w:type="dxa" w:w="2045"/>
            <w:vAlign w:val="center"/>
          </w:tcPr>
          <w:p>
            <w:r>
              <w:t>Materials, grades, sizes, vendors, freight and waste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LIB-004</w:t>
            </w:r>
          </w:p>
        </w:tc>
        <w:tc>
          <w:tcPr>
            <w:tcW w:type="dxa" w:w="2045"/>
            <w:vAlign w:val="center"/>
          </w:tcPr>
          <w:p>
            <w:r>
              <w:t>Master Equipment Library</w:t>
            </w:r>
          </w:p>
        </w:tc>
        <w:tc>
          <w:tcPr>
            <w:tcW w:type="dxa" w:w="2045"/>
            <w:vAlign w:val="center"/>
          </w:tcPr>
          <w:p>
            <w:r>
              <w:t>Fleet</w:t>
            </w:r>
          </w:p>
        </w:tc>
        <w:tc>
          <w:tcPr>
            <w:tcW w:type="dxa" w:w="2045"/>
            <w:vAlign w:val="center"/>
          </w:tcPr>
          <w:p>
            <w:r>
              <w:t>Equipment classes, capacities, rates and productivity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LIB-005</w:t>
            </w:r>
          </w:p>
        </w:tc>
        <w:tc>
          <w:tcPr>
            <w:tcW w:type="dxa" w:w="2045"/>
            <w:vAlign w:val="center"/>
          </w:tcPr>
          <w:p>
            <w:r>
              <w:t>Master Fleet Library</w:t>
            </w:r>
          </w:p>
        </w:tc>
        <w:tc>
          <w:tcPr>
            <w:tcW w:type="dxa" w:w="2045"/>
            <w:vAlign w:val="center"/>
          </w:tcPr>
          <w:p>
            <w:r>
              <w:t>Fleet</w:t>
            </w:r>
          </w:p>
        </w:tc>
        <w:tc>
          <w:tcPr>
            <w:tcW w:type="dxa" w:w="2045"/>
            <w:vAlign w:val="center"/>
          </w:tcPr>
          <w:p>
            <w:r>
              <w:t>Owned, leased and rented asset registry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LIB-006</w:t>
            </w:r>
          </w:p>
        </w:tc>
        <w:tc>
          <w:tcPr>
            <w:tcW w:type="dxa" w:w="2045"/>
            <w:vAlign w:val="center"/>
          </w:tcPr>
          <w:p>
            <w:r>
              <w:t>Master Labor Library</w:t>
            </w:r>
          </w:p>
        </w:tc>
        <w:tc>
          <w:tcPr>
            <w:tcW w:type="dxa" w:w="2045"/>
            <w:vAlign w:val="center"/>
          </w:tcPr>
          <w:p>
            <w:r>
              <w:t>HRM</w:t>
            </w:r>
          </w:p>
        </w:tc>
        <w:tc>
          <w:tcPr>
            <w:tcW w:type="dxa" w:w="2045"/>
            <w:vAlign w:val="center"/>
          </w:tcPr>
          <w:p>
            <w:r>
              <w:t>Trades, classifications, wages, burden and rules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LIB-007</w:t>
            </w:r>
          </w:p>
        </w:tc>
        <w:tc>
          <w:tcPr>
            <w:tcW w:type="dxa" w:w="2045"/>
            <w:vAlign w:val="center"/>
          </w:tcPr>
          <w:p>
            <w:r>
              <w:t>Master Crew Library</w:t>
            </w:r>
          </w:p>
        </w:tc>
        <w:tc>
          <w:tcPr>
            <w:tcW w:type="dxa" w:w="2045"/>
            <w:vAlign w:val="center"/>
          </w:tcPr>
          <w:p>
            <w:r>
              <w:t>Operations</w:t>
            </w:r>
          </w:p>
        </w:tc>
        <w:tc>
          <w:tcPr>
            <w:tcW w:type="dxa" w:w="2045"/>
            <w:vAlign w:val="center"/>
          </w:tcPr>
          <w:p>
            <w:r>
              <w:t>Crew templates, roles and equipment combinations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LIB-008</w:t>
            </w:r>
          </w:p>
        </w:tc>
        <w:tc>
          <w:tcPr>
            <w:tcW w:type="dxa" w:w="2045"/>
            <w:vAlign w:val="center"/>
          </w:tcPr>
          <w:p>
            <w:r>
              <w:t>Master Vendor Library</w:t>
            </w:r>
          </w:p>
        </w:tc>
        <w:tc>
          <w:tcPr>
            <w:tcW w:type="dxa" w:w="2045"/>
            <w:vAlign w:val="center"/>
          </w:tcPr>
          <w:p>
            <w:r>
              <w:t>Procurement</w:t>
            </w:r>
          </w:p>
        </w:tc>
        <w:tc>
          <w:tcPr>
            <w:tcW w:type="dxa" w:w="2045"/>
            <w:vAlign w:val="center"/>
          </w:tcPr>
          <w:p>
            <w:r>
              <w:t>Suppliers, contacts, terms and performance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LIB-009</w:t>
            </w:r>
          </w:p>
        </w:tc>
        <w:tc>
          <w:tcPr>
            <w:tcW w:type="dxa" w:w="2045"/>
            <w:vAlign w:val="center"/>
          </w:tcPr>
          <w:p>
            <w:r>
              <w:t>Master Customer Library</w:t>
            </w:r>
          </w:p>
        </w:tc>
        <w:tc>
          <w:tcPr>
            <w:tcW w:type="dxa" w:w="2045"/>
            <w:vAlign w:val="center"/>
          </w:tcPr>
          <w:p>
            <w:r>
              <w:t>CRM</w:t>
            </w:r>
          </w:p>
        </w:tc>
        <w:tc>
          <w:tcPr>
            <w:tcW w:type="dxa" w:w="2045"/>
            <w:vAlign w:val="center"/>
          </w:tcPr>
          <w:p>
            <w:r>
              <w:t>Customer accounts, contacts and segmentation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LIB-010</w:t>
            </w:r>
          </w:p>
        </w:tc>
        <w:tc>
          <w:tcPr>
            <w:tcW w:type="dxa" w:w="2045"/>
            <w:vAlign w:val="center"/>
          </w:tcPr>
          <w:p>
            <w:r>
              <w:t>Master Subcontractor Library</w:t>
            </w:r>
          </w:p>
        </w:tc>
        <w:tc>
          <w:tcPr>
            <w:tcW w:type="dxa" w:w="2045"/>
            <w:vAlign w:val="center"/>
          </w:tcPr>
          <w:p>
            <w:r>
              <w:t>Procurement</w:t>
            </w:r>
          </w:p>
        </w:tc>
        <w:tc>
          <w:tcPr>
            <w:tcW w:type="dxa" w:w="2045"/>
            <w:vAlign w:val="center"/>
          </w:tcPr>
          <w:p>
            <w:r>
              <w:t>Subcontractor capabilities, rates and compliance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LIB-011</w:t>
            </w:r>
          </w:p>
        </w:tc>
        <w:tc>
          <w:tcPr>
            <w:tcW w:type="dxa" w:w="2045"/>
            <w:vAlign w:val="center"/>
          </w:tcPr>
          <w:p>
            <w:r>
              <w:t>Master Production Rate Library</w:t>
            </w:r>
          </w:p>
        </w:tc>
        <w:tc>
          <w:tcPr>
            <w:tcW w:type="dxa" w:w="2045"/>
            <w:vAlign w:val="center"/>
          </w:tcPr>
          <w:p>
            <w:r>
              <w:t>Estimating</w:t>
            </w:r>
          </w:p>
        </w:tc>
        <w:tc>
          <w:tcPr>
            <w:tcW w:type="dxa" w:w="2045"/>
            <w:vAlign w:val="center"/>
          </w:tcPr>
          <w:p>
            <w:r>
              <w:t>Baseline and conditional production rates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LIB-012</w:t>
            </w:r>
          </w:p>
        </w:tc>
        <w:tc>
          <w:tcPr>
            <w:tcW w:type="dxa" w:w="2045"/>
            <w:vAlign w:val="center"/>
          </w:tcPr>
          <w:p>
            <w:r>
              <w:t>Master Cost Code Library</w:t>
            </w:r>
          </w:p>
        </w:tc>
        <w:tc>
          <w:tcPr>
            <w:tcW w:type="dxa" w:w="2045"/>
            <w:vAlign w:val="center"/>
          </w:tcPr>
          <w:p>
            <w:r>
              <w:t>Finance</w:t>
            </w:r>
          </w:p>
        </w:tc>
        <w:tc>
          <w:tcPr>
            <w:tcW w:type="dxa" w:w="2045"/>
            <w:vAlign w:val="center"/>
          </w:tcPr>
          <w:p>
            <w:r>
              <w:t>Cost codes, phase codes and accounting mappings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LIB-013</w:t>
            </w:r>
          </w:p>
        </w:tc>
        <w:tc>
          <w:tcPr>
            <w:tcW w:type="dxa" w:w="2045"/>
            <w:vAlign w:val="center"/>
          </w:tcPr>
          <w:p>
            <w:r>
              <w:t>Master Assembly Library</w:t>
            </w:r>
          </w:p>
        </w:tc>
        <w:tc>
          <w:tcPr>
            <w:tcW w:type="dxa" w:w="2045"/>
            <w:vAlign w:val="center"/>
          </w:tcPr>
          <w:p>
            <w:r>
              <w:t>Estimating</w:t>
            </w:r>
          </w:p>
        </w:tc>
        <w:tc>
          <w:tcPr>
            <w:tcW w:type="dxa" w:w="2045"/>
            <w:vAlign w:val="center"/>
          </w:tcPr>
          <w:p>
            <w:r>
              <w:t>Reusable service assemblies and resource compositions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LIB-014</w:t>
            </w:r>
          </w:p>
        </w:tc>
        <w:tc>
          <w:tcPr>
            <w:tcW w:type="dxa" w:w="2045"/>
            <w:vAlign w:val="center"/>
          </w:tcPr>
          <w:p>
            <w:r>
              <w:t>Master CSI Library</w:t>
            </w:r>
          </w:p>
        </w:tc>
        <w:tc>
          <w:tcPr>
            <w:tcW w:type="dxa" w:w="2045"/>
            <w:vAlign w:val="center"/>
          </w:tcPr>
          <w:p>
            <w:r>
              <w:t>Standards</w:t>
            </w:r>
          </w:p>
        </w:tc>
        <w:tc>
          <w:tcPr>
            <w:tcW w:type="dxa" w:w="2045"/>
            <w:vAlign w:val="center"/>
          </w:tcPr>
          <w:p>
            <w:r>
              <w:t>CSI divisions, sections and mappings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LIB-015</w:t>
            </w:r>
          </w:p>
        </w:tc>
        <w:tc>
          <w:tcPr>
            <w:tcW w:type="dxa" w:w="2045"/>
            <w:vAlign w:val="center"/>
          </w:tcPr>
          <w:p>
            <w:r>
              <w:t>Master DOT Bid Item Library</w:t>
            </w:r>
          </w:p>
        </w:tc>
        <w:tc>
          <w:tcPr>
            <w:tcW w:type="dxa" w:w="2045"/>
            <w:vAlign w:val="center"/>
          </w:tcPr>
          <w:p>
            <w:r>
              <w:t>Infrastructure</w:t>
            </w:r>
          </w:p>
        </w:tc>
        <w:tc>
          <w:tcPr>
            <w:tcW w:type="dxa" w:w="2045"/>
            <w:vAlign w:val="center"/>
          </w:tcPr>
          <w:p>
            <w:r>
              <w:t>DOT pay items, units and regional mappings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LIB-016</w:t>
            </w:r>
          </w:p>
        </w:tc>
        <w:tc>
          <w:tcPr>
            <w:tcW w:type="dxa" w:w="2045"/>
            <w:vAlign w:val="center"/>
          </w:tcPr>
          <w:p>
            <w:r>
              <w:t>Master Municipal Bid Item Library</w:t>
            </w:r>
          </w:p>
        </w:tc>
        <w:tc>
          <w:tcPr>
            <w:tcW w:type="dxa" w:w="2045"/>
            <w:vAlign w:val="center"/>
          </w:tcPr>
          <w:p>
            <w:r>
              <w:t>Infrastructure</w:t>
            </w:r>
          </w:p>
        </w:tc>
        <w:tc>
          <w:tcPr>
            <w:tcW w:type="dxa" w:w="2045"/>
            <w:vAlign w:val="center"/>
          </w:tcPr>
          <w:p>
            <w:r>
              <w:t>Municipal bid items and owner-specific mappings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LIB-017</w:t>
            </w:r>
          </w:p>
        </w:tc>
        <w:tc>
          <w:tcPr>
            <w:tcW w:type="dxa" w:w="2045"/>
            <w:vAlign w:val="center"/>
          </w:tcPr>
          <w:p>
            <w:r>
              <w:t>Master Unit Library</w:t>
            </w:r>
          </w:p>
        </w:tc>
        <w:tc>
          <w:tcPr>
            <w:tcW w:type="dxa" w:w="2045"/>
            <w:vAlign w:val="center"/>
          </w:tcPr>
          <w:p>
            <w:r>
              <w:t>Reference</w:t>
            </w:r>
          </w:p>
        </w:tc>
        <w:tc>
          <w:tcPr>
            <w:tcW w:type="dxa" w:w="2045"/>
            <w:vAlign w:val="center"/>
          </w:tcPr>
          <w:p>
            <w:r>
              <w:t>Units, dimensions and conversion rules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LIB-018</w:t>
            </w:r>
          </w:p>
        </w:tc>
        <w:tc>
          <w:tcPr>
            <w:tcW w:type="dxa" w:w="2045"/>
            <w:vAlign w:val="center"/>
          </w:tcPr>
          <w:p>
            <w:r>
              <w:t>Master Currency Library</w:t>
            </w:r>
          </w:p>
        </w:tc>
        <w:tc>
          <w:tcPr>
            <w:tcW w:type="dxa" w:w="2045"/>
            <w:vAlign w:val="center"/>
          </w:tcPr>
          <w:p>
            <w:r>
              <w:t>Reference</w:t>
            </w:r>
          </w:p>
        </w:tc>
        <w:tc>
          <w:tcPr>
            <w:tcW w:type="dxa" w:w="2045"/>
            <w:vAlign w:val="center"/>
          </w:tcPr>
          <w:p>
            <w:r>
              <w:t>Currencies, precision and exchange-rate controls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LIB-019</w:t>
            </w:r>
          </w:p>
        </w:tc>
        <w:tc>
          <w:tcPr>
            <w:tcW w:type="dxa" w:w="2045"/>
            <w:vAlign w:val="center"/>
          </w:tcPr>
          <w:p>
            <w:r>
              <w:t>Master Tax Library</w:t>
            </w:r>
          </w:p>
        </w:tc>
        <w:tc>
          <w:tcPr>
            <w:tcW w:type="dxa" w:w="2045"/>
            <w:vAlign w:val="center"/>
          </w:tcPr>
          <w:p>
            <w:r>
              <w:t>Finance</w:t>
            </w:r>
          </w:p>
        </w:tc>
        <w:tc>
          <w:tcPr>
            <w:tcW w:type="dxa" w:w="2045"/>
            <w:vAlign w:val="center"/>
          </w:tcPr>
          <w:p>
            <w:r>
              <w:t>Tax jurisdictions, rules and exemptions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LIB-020</w:t>
            </w:r>
          </w:p>
        </w:tc>
        <w:tc>
          <w:tcPr>
            <w:tcW w:type="dxa" w:w="2045"/>
            <w:vAlign w:val="center"/>
          </w:tcPr>
          <w:p>
            <w:r>
              <w:t>Master Safety Library</w:t>
            </w:r>
          </w:p>
        </w:tc>
        <w:tc>
          <w:tcPr>
            <w:tcW w:type="dxa" w:w="2045"/>
            <w:vAlign w:val="center"/>
          </w:tcPr>
          <w:p>
            <w:r>
              <w:t>Safety</w:t>
            </w:r>
          </w:p>
        </w:tc>
        <w:tc>
          <w:tcPr>
            <w:tcW w:type="dxa" w:w="2045"/>
            <w:vAlign w:val="center"/>
          </w:tcPr>
          <w:p>
            <w:r>
              <w:t>Hazards, controls, PPE and compliance references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LIB-021</w:t>
            </w:r>
          </w:p>
        </w:tc>
        <w:tc>
          <w:tcPr>
            <w:tcW w:type="dxa" w:w="2045"/>
            <w:vAlign w:val="center"/>
          </w:tcPr>
          <w:p>
            <w:r>
              <w:t>Master Specification Library</w:t>
            </w:r>
          </w:p>
        </w:tc>
        <w:tc>
          <w:tcPr>
            <w:tcW w:type="dxa" w:w="2045"/>
            <w:vAlign w:val="center"/>
          </w:tcPr>
          <w:p>
            <w:r>
              <w:t>Documents</w:t>
            </w:r>
          </w:p>
        </w:tc>
        <w:tc>
          <w:tcPr>
            <w:tcW w:type="dxa" w:w="2045"/>
            <w:vAlign w:val="center"/>
          </w:tcPr>
          <w:p>
            <w:r>
              <w:t>Technical specifications and clause indexing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LIB-022</w:t>
            </w:r>
          </w:p>
        </w:tc>
        <w:tc>
          <w:tcPr>
            <w:tcW w:type="dxa" w:w="2045"/>
            <w:vAlign w:val="center"/>
          </w:tcPr>
          <w:p>
            <w:r>
              <w:t>Master Drawing Symbol Library</w:t>
            </w:r>
          </w:p>
        </w:tc>
        <w:tc>
          <w:tcPr>
            <w:tcW w:type="dxa" w:w="2045"/>
            <w:vAlign w:val="center"/>
          </w:tcPr>
          <w:p>
            <w:r>
              <w:t>Takeoff</w:t>
            </w:r>
          </w:p>
        </w:tc>
        <w:tc>
          <w:tcPr>
            <w:tcW w:type="dxa" w:w="2045"/>
            <w:vAlign w:val="center"/>
          </w:tcPr>
          <w:p>
            <w:r>
              <w:t>Plan symbols, abbreviations and recognition metadata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LIB-023</w:t>
            </w:r>
          </w:p>
        </w:tc>
        <w:tc>
          <w:tcPr>
            <w:tcW w:type="dxa" w:w="2045"/>
            <w:vAlign w:val="center"/>
          </w:tcPr>
          <w:p>
            <w:r>
              <w:t>Master AI Knowledge Library</w:t>
            </w:r>
          </w:p>
        </w:tc>
        <w:tc>
          <w:tcPr>
            <w:tcW w:type="dxa" w:w="2045"/>
            <w:vAlign w:val="center"/>
          </w:tcPr>
          <w:p>
            <w:r>
              <w:t>AI</w:t>
            </w:r>
          </w:p>
        </w:tc>
        <w:tc>
          <w:tcPr>
            <w:tcW w:type="dxa" w:w="2045"/>
            <w:vAlign w:val="center"/>
          </w:tcPr>
          <w:p>
            <w:r>
              <w:t>Approved knowledge chunks and source provenance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LIB-024</w:t>
            </w:r>
          </w:p>
        </w:tc>
        <w:tc>
          <w:tcPr>
            <w:tcW w:type="dxa" w:w="2045"/>
            <w:vAlign w:val="center"/>
          </w:tcPr>
          <w:p>
            <w:r>
              <w:t>Master Prompt Library</w:t>
            </w:r>
          </w:p>
        </w:tc>
        <w:tc>
          <w:tcPr>
            <w:tcW w:type="dxa" w:w="2045"/>
            <w:vAlign w:val="center"/>
          </w:tcPr>
          <w:p>
            <w:r>
              <w:t>AI</w:t>
            </w:r>
          </w:p>
        </w:tc>
        <w:tc>
          <w:tcPr>
            <w:tcW w:type="dxa" w:w="2045"/>
            <w:vAlign w:val="center"/>
          </w:tcPr>
          <w:p>
            <w:r>
              <w:t>Versioned prompts, roles, guardrails and outputs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LIB-025</w:t>
            </w:r>
          </w:p>
        </w:tc>
        <w:tc>
          <w:tcPr>
            <w:tcW w:type="dxa" w:w="2045"/>
            <w:vAlign w:val="center"/>
          </w:tcPr>
          <w:p>
            <w:r>
              <w:t>Master Risk Library</w:t>
            </w:r>
          </w:p>
        </w:tc>
        <w:tc>
          <w:tcPr>
            <w:tcW w:type="dxa" w:w="2045"/>
            <w:vAlign w:val="center"/>
          </w:tcPr>
          <w:p>
            <w:r>
              <w:t>Risk</w:t>
            </w:r>
          </w:p>
        </w:tc>
        <w:tc>
          <w:tcPr>
            <w:tcW w:type="dxa" w:w="2045"/>
            <w:vAlign w:val="center"/>
          </w:tcPr>
          <w:p>
            <w:r>
              <w:t>Risk categories, triggers, impacts and mitigations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LIB-026</w:t>
            </w:r>
          </w:p>
        </w:tc>
        <w:tc>
          <w:tcPr>
            <w:tcW w:type="dxa" w:w="2045"/>
            <w:vAlign w:val="center"/>
          </w:tcPr>
          <w:p>
            <w:r>
              <w:t>Master Quality Library</w:t>
            </w:r>
          </w:p>
        </w:tc>
        <w:tc>
          <w:tcPr>
            <w:tcW w:type="dxa" w:w="2045"/>
            <w:vAlign w:val="center"/>
          </w:tcPr>
          <w:p>
            <w:r>
              <w:t>Quality</w:t>
            </w:r>
          </w:p>
        </w:tc>
        <w:tc>
          <w:tcPr>
            <w:tcW w:type="dxa" w:w="2045"/>
            <w:vAlign w:val="center"/>
          </w:tcPr>
          <w:p>
            <w:r>
              <w:t>Quality standards, acceptance criteria and NCR logic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LIB-027</w:t>
            </w:r>
          </w:p>
        </w:tc>
        <w:tc>
          <w:tcPr>
            <w:tcW w:type="dxa" w:w="2045"/>
            <w:vAlign w:val="center"/>
          </w:tcPr>
          <w:p>
            <w:r>
              <w:t>Master Inspection Library</w:t>
            </w:r>
          </w:p>
        </w:tc>
        <w:tc>
          <w:tcPr>
            <w:tcW w:type="dxa" w:w="2045"/>
            <w:vAlign w:val="center"/>
          </w:tcPr>
          <w:p>
            <w:r>
              <w:t>Quality</w:t>
            </w:r>
          </w:p>
        </w:tc>
        <w:tc>
          <w:tcPr>
            <w:tcW w:type="dxa" w:w="2045"/>
            <w:vAlign w:val="center"/>
          </w:tcPr>
          <w:p>
            <w:r>
              <w:t>Inspection types, forms, checkpoints and evidence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LIB-028</w:t>
            </w:r>
          </w:p>
        </w:tc>
        <w:tc>
          <w:tcPr>
            <w:tcW w:type="dxa" w:w="2045"/>
            <w:vAlign w:val="center"/>
          </w:tcPr>
          <w:p>
            <w:r>
              <w:t>Master Checklist Library</w:t>
            </w:r>
          </w:p>
        </w:tc>
        <w:tc>
          <w:tcPr>
            <w:tcW w:type="dxa" w:w="2045"/>
            <w:vAlign w:val="center"/>
          </w:tcPr>
          <w:p>
            <w:r>
              <w:t>Operations</w:t>
            </w:r>
          </w:p>
        </w:tc>
        <w:tc>
          <w:tcPr>
            <w:tcW w:type="dxa" w:w="2045"/>
            <w:vAlign w:val="center"/>
          </w:tcPr>
          <w:p>
            <w:r>
              <w:t>Reusable checklists by process and role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LIB-029</w:t>
            </w:r>
          </w:p>
        </w:tc>
        <w:tc>
          <w:tcPr>
            <w:tcW w:type="dxa" w:w="2045"/>
            <w:vAlign w:val="center"/>
          </w:tcPr>
          <w:p>
            <w:r>
              <w:t>Master Workflow Library</w:t>
            </w:r>
          </w:p>
        </w:tc>
        <w:tc>
          <w:tcPr>
            <w:tcW w:type="dxa" w:w="2045"/>
            <w:vAlign w:val="center"/>
          </w:tcPr>
          <w:p>
            <w:r>
              <w:t>Platform</w:t>
            </w:r>
          </w:p>
        </w:tc>
        <w:tc>
          <w:tcPr>
            <w:tcW w:type="dxa" w:w="2045"/>
            <w:vAlign w:val="center"/>
          </w:tcPr>
          <w:p>
            <w:r>
              <w:t>Workflow definitions, states, transitions and SLAs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LIB-030</w:t>
            </w:r>
          </w:p>
        </w:tc>
        <w:tc>
          <w:tcPr>
            <w:tcW w:type="dxa" w:w="2045"/>
            <w:vAlign w:val="center"/>
          </w:tcPr>
          <w:p>
            <w:r>
              <w:t>Master Report Library</w:t>
            </w:r>
          </w:p>
        </w:tc>
        <w:tc>
          <w:tcPr>
            <w:tcW w:type="dxa" w:w="2045"/>
            <w:vAlign w:val="center"/>
          </w:tcPr>
          <w:p>
            <w:r>
              <w:t>Analytics</w:t>
            </w:r>
          </w:p>
        </w:tc>
        <w:tc>
          <w:tcPr>
            <w:tcW w:type="dxa" w:w="2045"/>
            <w:vAlign w:val="center"/>
          </w:tcPr>
          <w:p>
            <w:r>
              <w:t>Governed report definitions and access rules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LIB-031</w:t>
            </w:r>
          </w:p>
        </w:tc>
        <w:tc>
          <w:tcPr>
            <w:tcW w:type="dxa" w:w="2045"/>
            <w:vAlign w:val="center"/>
          </w:tcPr>
          <w:p>
            <w:r>
              <w:t>Master Dashboard Library</w:t>
            </w:r>
          </w:p>
        </w:tc>
        <w:tc>
          <w:tcPr>
            <w:tcW w:type="dxa" w:w="2045"/>
            <w:vAlign w:val="center"/>
          </w:tcPr>
          <w:p>
            <w:r>
              <w:t>Analytics</w:t>
            </w:r>
          </w:p>
        </w:tc>
        <w:tc>
          <w:tcPr>
            <w:tcW w:type="dxa" w:w="2045"/>
            <w:vAlign w:val="center"/>
          </w:tcPr>
          <w:p>
            <w:r>
              <w:t>Dashboard layouts, KPIs and role assignments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LIB-032</w:t>
            </w:r>
          </w:p>
        </w:tc>
        <w:tc>
          <w:tcPr>
            <w:tcW w:type="dxa" w:w="2045"/>
            <w:vAlign w:val="center"/>
          </w:tcPr>
          <w:p>
            <w:r>
              <w:t>Master Notification Library</w:t>
            </w:r>
          </w:p>
        </w:tc>
        <w:tc>
          <w:tcPr>
            <w:tcW w:type="dxa" w:w="2045"/>
            <w:vAlign w:val="center"/>
          </w:tcPr>
          <w:p>
            <w:r>
              <w:t>Platform</w:t>
            </w:r>
          </w:p>
        </w:tc>
        <w:tc>
          <w:tcPr>
            <w:tcW w:type="dxa" w:w="2045"/>
            <w:vAlign w:val="center"/>
          </w:tcPr>
          <w:p>
            <w:r>
              <w:t>Events, channels, templates and escalation rules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LIB-033</w:t>
            </w:r>
          </w:p>
        </w:tc>
        <w:tc>
          <w:tcPr>
            <w:tcW w:type="dxa" w:w="2045"/>
            <w:vAlign w:val="center"/>
          </w:tcPr>
          <w:p>
            <w:r>
              <w:t>Master Template Library</w:t>
            </w:r>
          </w:p>
        </w:tc>
        <w:tc>
          <w:tcPr>
            <w:tcW w:type="dxa" w:w="2045"/>
            <w:vAlign w:val="center"/>
          </w:tcPr>
          <w:p>
            <w:r>
              <w:t>Documents</w:t>
            </w:r>
          </w:p>
        </w:tc>
        <w:tc>
          <w:tcPr>
            <w:tcW w:type="dxa" w:w="2045"/>
            <w:vAlign w:val="center"/>
          </w:tcPr>
          <w:p>
            <w:r>
              <w:t>Document, estimate, proposal and form templates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LIB-034</w:t>
            </w:r>
          </w:p>
        </w:tc>
        <w:tc>
          <w:tcPr>
            <w:tcW w:type="dxa" w:w="2045"/>
            <w:vAlign w:val="center"/>
          </w:tcPr>
          <w:p>
            <w:r>
              <w:t>Master Document Library</w:t>
            </w:r>
          </w:p>
        </w:tc>
        <w:tc>
          <w:tcPr>
            <w:tcW w:type="dxa" w:w="2045"/>
            <w:vAlign w:val="center"/>
          </w:tcPr>
          <w:p>
            <w:r>
              <w:t>Documents</w:t>
            </w:r>
          </w:p>
        </w:tc>
        <w:tc>
          <w:tcPr>
            <w:tcW w:type="dxa" w:w="2045"/>
            <w:vAlign w:val="center"/>
          </w:tcPr>
          <w:p>
            <w:r>
              <w:t>Controlled document categories and retention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LIB-035</w:t>
            </w:r>
          </w:p>
        </w:tc>
        <w:tc>
          <w:tcPr>
            <w:tcW w:type="dxa" w:w="2045"/>
            <w:vAlign w:val="center"/>
          </w:tcPr>
          <w:p>
            <w:r>
              <w:t>Master Formula Library</w:t>
            </w:r>
          </w:p>
        </w:tc>
        <w:tc>
          <w:tcPr>
            <w:tcW w:type="dxa" w:w="2045"/>
            <w:vAlign w:val="center"/>
          </w:tcPr>
          <w:p>
            <w:r>
              <w:t>Calculation</w:t>
            </w:r>
          </w:p>
        </w:tc>
        <w:tc>
          <w:tcPr>
            <w:tcW w:type="dxa" w:w="2045"/>
            <w:vAlign w:val="center"/>
          </w:tcPr>
          <w:p>
            <w:r>
              <w:t>Versioned formulas, variables and test cases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LIB-036</w:t>
            </w:r>
          </w:p>
        </w:tc>
        <w:tc>
          <w:tcPr>
            <w:tcW w:type="dxa" w:w="2045"/>
            <w:vAlign w:val="center"/>
          </w:tcPr>
          <w:p>
            <w:r>
              <w:t>Master Location Factor Library</w:t>
            </w:r>
          </w:p>
        </w:tc>
        <w:tc>
          <w:tcPr>
            <w:tcW w:type="dxa" w:w="2045"/>
            <w:vAlign w:val="center"/>
          </w:tcPr>
          <w:p>
            <w:r>
              <w:t>Cost</w:t>
            </w:r>
          </w:p>
        </w:tc>
        <w:tc>
          <w:tcPr>
            <w:tcW w:type="dxa" w:w="2045"/>
            <w:vAlign w:val="center"/>
          </w:tcPr>
          <w:p>
            <w:r>
              <w:t>Geographic cost and productivity factors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LIB-037</w:t>
            </w:r>
          </w:p>
        </w:tc>
        <w:tc>
          <w:tcPr>
            <w:tcW w:type="dxa" w:w="2045"/>
            <w:vAlign w:val="center"/>
          </w:tcPr>
          <w:p>
            <w:r>
              <w:t>Master Regional Pricing Library</w:t>
            </w:r>
          </w:p>
        </w:tc>
        <w:tc>
          <w:tcPr>
            <w:tcW w:type="dxa" w:w="2045"/>
            <w:vAlign w:val="center"/>
          </w:tcPr>
          <w:p>
            <w:r>
              <w:t>Cost</w:t>
            </w:r>
          </w:p>
        </w:tc>
        <w:tc>
          <w:tcPr>
            <w:tcW w:type="dxa" w:w="2045"/>
            <w:vAlign w:val="center"/>
          </w:tcPr>
          <w:p>
            <w:r>
              <w:t>Regional labor, material and equipment price sets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LIB-038</w:t>
            </w:r>
          </w:p>
        </w:tc>
        <w:tc>
          <w:tcPr>
            <w:tcW w:type="dxa" w:w="2045"/>
            <w:vAlign w:val="center"/>
          </w:tcPr>
          <w:p>
            <w:r>
              <w:t>Master Equipment Productivity Library</w:t>
            </w:r>
          </w:p>
        </w:tc>
        <w:tc>
          <w:tcPr>
            <w:tcW w:type="dxa" w:w="2045"/>
            <w:vAlign w:val="center"/>
          </w:tcPr>
          <w:p>
            <w:r>
              <w:t>Production</w:t>
            </w:r>
          </w:p>
        </w:tc>
        <w:tc>
          <w:tcPr>
            <w:tcW w:type="dxa" w:w="2045"/>
            <w:vAlign w:val="center"/>
          </w:tcPr>
          <w:p>
            <w:r>
              <w:t>Machine-specific production curves and modifiers</w:t>
            </w:r>
          </w:p>
        </w:tc>
        <w:tc>
          <w:tcPr>
            <w:tcW w:type="dxa" w:w="2045"/>
            <w:vAlign w:val="center"/>
          </w:tcPr>
          <w:p>
            <w:r>
              <w:t>Global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LIB-039</w:t>
            </w:r>
          </w:p>
        </w:tc>
        <w:tc>
          <w:tcPr>
            <w:tcW w:type="dxa" w:w="2045"/>
            <w:vAlign w:val="center"/>
          </w:tcPr>
          <w:p>
            <w:r>
              <w:t>Master Crew Productivity Library</w:t>
            </w:r>
          </w:p>
        </w:tc>
        <w:tc>
          <w:tcPr>
            <w:tcW w:type="dxa" w:w="2045"/>
            <w:vAlign w:val="center"/>
          </w:tcPr>
          <w:p>
            <w:r>
              <w:t>Production</w:t>
            </w:r>
          </w:p>
        </w:tc>
        <w:tc>
          <w:tcPr>
            <w:tcW w:type="dxa" w:w="2045"/>
            <w:vAlign w:val="center"/>
          </w:tcPr>
          <w:p>
            <w:r>
              <w:t>Crew production curves and balancing logic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LIB-040</w:t>
            </w:r>
          </w:p>
        </w:tc>
        <w:tc>
          <w:tcPr>
            <w:tcW w:type="dxa" w:w="2045"/>
            <w:vAlign w:val="center"/>
          </w:tcPr>
          <w:p>
            <w:r>
              <w:t>Master Disposal Library</w:t>
            </w:r>
          </w:p>
        </w:tc>
        <w:tc>
          <w:tcPr>
            <w:tcW w:type="dxa" w:w="2045"/>
            <w:vAlign w:val="center"/>
          </w:tcPr>
          <w:p>
            <w:r>
              <w:t>Hauling</w:t>
            </w:r>
          </w:p>
        </w:tc>
        <w:tc>
          <w:tcPr>
            <w:tcW w:type="dxa" w:w="2045"/>
            <w:vAlign w:val="center"/>
          </w:tcPr>
          <w:p>
            <w:r>
              <w:t>Facilities, materials accepted, fees and hours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LIB-041</w:t>
            </w:r>
          </w:p>
        </w:tc>
        <w:tc>
          <w:tcPr>
            <w:tcW w:type="dxa" w:w="2045"/>
            <w:vAlign w:val="center"/>
          </w:tcPr>
          <w:p>
            <w:r>
              <w:t>Master Trucking Library</w:t>
            </w:r>
          </w:p>
        </w:tc>
        <w:tc>
          <w:tcPr>
            <w:tcW w:type="dxa" w:w="2045"/>
            <w:vAlign w:val="center"/>
          </w:tcPr>
          <w:p>
            <w:r>
              <w:t>Hauling</w:t>
            </w:r>
          </w:p>
        </w:tc>
        <w:tc>
          <w:tcPr>
            <w:tcW w:type="dxa" w:w="2045"/>
            <w:vAlign w:val="center"/>
          </w:tcPr>
          <w:p>
            <w:r>
              <w:t>Truck types, capacities, cycles and rates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LIB-042</w:t>
            </w:r>
          </w:p>
        </w:tc>
        <w:tc>
          <w:tcPr>
            <w:tcW w:type="dxa" w:w="2045"/>
            <w:vAlign w:val="center"/>
          </w:tcPr>
          <w:p>
            <w:r>
              <w:t>Master Rental Rate Library</w:t>
            </w:r>
          </w:p>
        </w:tc>
        <w:tc>
          <w:tcPr>
            <w:tcW w:type="dxa" w:w="2045"/>
            <w:vAlign w:val="center"/>
          </w:tcPr>
          <w:p>
            <w:r>
              <w:t>Cost</w:t>
            </w:r>
          </w:p>
        </w:tc>
        <w:tc>
          <w:tcPr>
            <w:tcW w:type="dxa" w:w="2045"/>
            <w:vAlign w:val="center"/>
          </w:tcPr>
          <w:p>
            <w:r>
              <w:t>Rental sources, rate periods and terms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LIB-043</w:t>
            </w:r>
          </w:p>
        </w:tc>
        <w:tc>
          <w:tcPr>
            <w:tcW w:type="dxa" w:w="2045"/>
            <w:vAlign w:val="center"/>
          </w:tcPr>
          <w:p>
            <w:r>
              <w:t>Master Fuel Library</w:t>
            </w:r>
          </w:p>
        </w:tc>
        <w:tc>
          <w:tcPr>
            <w:tcW w:type="dxa" w:w="2045"/>
            <w:vAlign w:val="center"/>
          </w:tcPr>
          <w:p>
            <w:r>
              <w:t>Cost</w:t>
            </w:r>
          </w:p>
        </w:tc>
        <w:tc>
          <w:tcPr>
            <w:tcW w:type="dxa" w:w="2045"/>
            <w:vAlign w:val="center"/>
          </w:tcPr>
          <w:p>
            <w:r>
              <w:t>Fuel types, prices, burn rates and emissions factors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LIB-044</w:t>
            </w:r>
          </w:p>
        </w:tc>
        <w:tc>
          <w:tcPr>
            <w:tcW w:type="dxa" w:w="2045"/>
            <w:vAlign w:val="center"/>
          </w:tcPr>
          <w:p>
            <w:r>
              <w:t>Master Maintenance Library</w:t>
            </w:r>
          </w:p>
        </w:tc>
        <w:tc>
          <w:tcPr>
            <w:tcW w:type="dxa" w:w="2045"/>
            <w:vAlign w:val="center"/>
          </w:tcPr>
          <w:p>
            <w:r>
              <w:t>Fleet</w:t>
            </w:r>
          </w:p>
        </w:tc>
        <w:tc>
          <w:tcPr>
            <w:tcW w:type="dxa" w:w="2045"/>
            <w:vAlign w:val="center"/>
          </w:tcPr>
          <w:p>
            <w:r>
              <w:t>Maintenance plans, intervals, parts and labor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LIB-045</w:t>
            </w:r>
          </w:p>
        </w:tc>
        <w:tc>
          <w:tcPr>
            <w:tcW w:type="dxa" w:w="2045"/>
            <w:vAlign w:val="center"/>
          </w:tcPr>
          <w:p>
            <w:r>
              <w:t>Master Asset Library</w:t>
            </w:r>
          </w:p>
        </w:tc>
        <w:tc>
          <w:tcPr>
            <w:tcW w:type="dxa" w:w="2045"/>
            <w:vAlign w:val="center"/>
          </w:tcPr>
          <w:p>
            <w:r>
              <w:t>Fleet</w:t>
            </w:r>
          </w:p>
        </w:tc>
        <w:tc>
          <w:tcPr>
            <w:tcW w:type="dxa" w:w="2045"/>
            <w:vAlign w:val="center"/>
          </w:tcPr>
          <w:p>
            <w:r>
              <w:t>Assets, ownership, status and lifecycle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LIB-046</w:t>
            </w:r>
          </w:p>
        </w:tc>
        <w:tc>
          <w:tcPr>
            <w:tcW w:type="dxa" w:w="2045"/>
            <w:vAlign w:val="center"/>
          </w:tcPr>
          <w:p>
            <w:r>
              <w:t>Master Inventory Library</w:t>
            </w:r>
          </w:p>
        </w:tc>
        <w:tc>
          <w:tcPr>
            <w:tcW w:type="dxa" w:w="2045"/>
            <w:vAlign w:val="center"/>
          </w:tcPr>
          <w:p>
            <w:r>
              <w:t>Inventory</w:t>
            </w:r>
          </w:p>
        </w:tc>
        <w:tc>
          <w:tcPr>
            <w:tcW w:type="dxa" w:w="2045"/>
            <w:vAlign w:val="center"/>
          </w:tcPr>
          <w:p>
            <w:r>
              <w:t>Stock items, locations, reorder and valuation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LIB-047</w:t>
            </w:r>
          </w:p>
        </w:tc>
        <w:tc>
          <w:tcPr>
            <w:tcW w:type="dxa" w:w="2045"/>
            <w:vAlign w:val="center"/>
          </w:tcPr>
          <w:p>
            <w:r>
              <w:t>Master Time Code Library</w:t>
            </w:r>
          </w:p>
        </w:tc>
        <w:tc>
          <w:tcPr>
            <w:tcW w:type="dxa" w:w="2045"/>
            <w:vAlign w:val="center"/>
          </w:tcPr>
          <w:p>
            <w:r>
              <w:t>HRM</w:t>
            </w:r>
          </w:p>
        </w:tc>
        <w:tc>
          <w:tcPr>
            <w:tcW w:type="dxa" w:w="2045"/>
            <w:vAlign w:val="center"/>
          </w:tcPr>
          <w:p>
            <w:r>
              <w:t>Time categories, payroll mapping and permissions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LIB-048</w:t>
            </w:r>
          </w:p>
        </w:tc>
        <w:tc>
          <w:tcPr>
            <w:tcW w:type="dxa" w:w="2045"/>
            <w:vAlign w:val="center"/>
          </w:tcPr>
          <w:p>
            <w:r>
              <w:t>Master Payroll Code Library</w:t>
            </w:r>
          </w:p>
        </w:tc>
        <w:tc>
          <w:tcPr>
            <w:tcW w:type="dxa" w:w="2045"/>
            <w:vAlign w:val="center"/>
          </w:tcPr>
          <w:p>
            <w:r>
              <w:t>HRM</w:t>
            </w:r>
          </w:p>
        </w:tc>
        <w:tc>
          <w:tcPr>
            <w:tcW w:type="dxa" w:w="2045"/>
            <w:vAlign w:val="center"/>
          </w:tcPr>
          <w:p>
            <w:r>
              <w:t>Earnings, deductions, benefits and tax mappings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LIB-049</w:t>
            </w:r>
          </w:p>
        </w:tc>
        <w:tc>
          <w:tcPr>
            <w:tcW w:type="dxa" w:w="2045"/>
            <w:vAlign w:val="center"/>
          </w:tcPr>
          <w:p>
            <w:r>
              <w:t>Master Accounting Mapping Library</w:t>
            </w:r>
          </w:p>
        </w:tc>
        <w:tc>
          <w:tcPr>
            <w:tcW w:type="dxa" w:w="2045"/>
            <w:vAlign w:val="center"/>
          </w:tcPr>
          <w:p>
            <w:r>
              <w:t>Finance</w:t>
            </w:r>
          </w:p>
        </w:tc>
        <w:tc>
          <w:tcPr>
            <w:tcW w:type="dxa" w:w="2045"/>
            <w:vAlign w:val="center"/>
          </w:tcPr>
          <w:p>
            <w:r>
              <w:t>GL, job cost, tax and system integration mappings</w:t>
            </w:r>
          </w:p>
        </w:tc>
        <w:tc>
          <w:tcPr>
            <w:tcW w:type="dxa" w:w="2045"/>
            <w:vAlign w:val="center"/>
          </w:tcPr>
          <w:p>
            <w:r>
              <w:t>Tenant</w:t>
            </w:r>
          </w:p>
        </w:tc>
      </w:tr>
      <w:tr>
        <w:tc>
          <w:tcPr>
            <w:tcW w:type="dxa" w:w="2045"/>
            <w:vAlign w:val="center"/>
          </w:tcPr>
          <w:p>
            <w:r>
              <w:t>LIB-050</w:t>
            </w:r>
          </w:p>
        </w:tc>
        <w:tc>
          <w:tcPr>
            <w:tcW w:type="dxa" w:w="2045"/>
            <w:vAlign w:val="center"/>
          </w:tcPr>
          <w:p>
            <w:r>
              <w:t>Master AI Training Library</w:t>
            </w:r>
          </w:p>
        </w:tc>
        <w:tc>
          <w:tcPr>
            <w:tcW w:type="dxa" w:w="2045"/>
            <w:vAlign w:val="center"/>
          </w:tcPr>
          <w:p>
            <w:r>
              <w:t>AI</w:t>
            </w:r>
          </w:p>
        </w:tc>
        <w:tc>
          <w:tcPr>
            <w:tcW w:type="dxa" w:w="2045"/>
            <w:vAlign w:val="center"/>
          </w:tcPr>
          <w:p>
            <w:r>
              <w:t>Approved examples, feedback and evaluation datasets</w:t>
            </w:r>
          </w:p>
        </w:tc>
        <w:tc>
          <w:tcPr>
            <w:tcW w:type="dxa" w:w="2045"/>
            <w:vAlign w:val="center"/>
          </w:tcPr>
          <w:p>
            <w:r>
              <w:t>Hybrid</w:t>
            </w:r>
          </w:p>
        </w:tc>
      </w:tr>
    </w:tbl>
    <w:p>
      <w:pPr>
        <w:pStyle w:val="Heading1"/>
      </w:pPr>
      <w:r>
        <w:t>4. Canonical Data Model</w:t>
      </w:r>
    </w:p>
    <w:p>
      <w:r>
        <w:t>Every library item uses the following common fields. Library-specific schemas may extend these fields but cannot redefine protected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Field ID</w:t>
            </w:r>
          </w:p>
        </w:tc>
        <w:tc>
          <w:tcPr>
            <w:tcW w:type="dxa" w:w="2045"/>
          </w:tcPr>
          <w:p>
            <w:r>
              <w:t>Name</w:t>
            </w:r>
          </w:p>
        </w:tc>
        <w:tc>
          <w:tcPr>
            <w:tcW w:type="dxa" w:w="2045"/>
          </w:tcPr>
          <w:p>
            <w:r>
              <w:t>Type</w:t>
            </w:r>
          </w:p>
        </w:tc>
        <w:tc>
          <w:tcPr>
            <w:tcW w:type="dxa" w:w="2045"/>
          </w:tcPr>
          <w:p>
            <w:r>
              <w:t>Required</w:t>
            </w:r>
          </w:p>
        </w:tc>
        <w:tc>
          <w:tcPr>
            <w:tcW w:type="dxa" w:w="2045"/>
          </w:tcPr>
          <w:p>
            <w:r>
              <w:t>Definition</w:t>
            </w:r>
          </w:p>
        </w:tc>
      </w:tr>
      <w:tr>
        <w:tc>
          <w:tcPr>
            <w:tcW w:type="dxa" w:w="2045"/>
          </w:tcPr>
          <w:p>
            <w:r>
              <w:t>FLD-001</w:t>
            </w:r>
          </w:p>
        </w:tc>
        <w:tc>
          <w:tcPr>
            <w:tcW w:type="dxa" w:w="2045"/>
          </w:tcPr>
          <w:p>
            <w:r>
              <w:t>library_item_id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Immutable globally unique identifier</w:t>
            </w:r>
          </w:p>
        </w:tc>
      </w:tr>
      <w:tr>
        <w:tc>
          <w:tcPr>
            <w:tcW w:type="dxa" w:w="2045"/>
          </w:tcPr>
          <w:p>
            <w:r>
              <w:t>FLD-002</w:t>
            </w:r>
          </w:p>
        </w:tc>
        <w:tc>
          <w:tcPr>
            <w:tcW w:type="dxa" w:w="2045"/>
          </w:tcPr>
          <w:p>
            <w:r>
              <w:t>tenant_id</w:t>
            </w:r>
          </w:p>
        </w:tc>
        <w:tc>
          <w:tcPr>
            <w:tcW w:type="dxa" w:w="2045"/>
          </w:tcPr>
          <w:p>
            <w:r>
              <w:t>uuid</w:t>
            </w:r>
          </w:p>
        </w:tc>
        <w:tc>
          <w:tcPr>
            <w:tcW w:type="dxa" w:w="2045"/>
          </w:tcPr>
          <w:p>
            <w:r>
              <w:t>Conditional</w:t>
            </w:r>
          </w:p>
        </w:tc>
        <w:tc>
          <w:tcPr>
            <w:tcW w:type="dxa" w:w="2045"/>
          </w:tcPr>
          <w:p>
            <w:r>
              <w:t>Owning tenant; null for global records</w:t>
            </w:r>
          </w:p>
        </w:tc>
      </w:tr>
      <w:tr>
        <w:tc>
          <w:tcPr>
            <w:tcW w:type="dxa" w:w="2045"/>
          </w:tcPr>
          <w:p>
            <w:r>
              <w:t>FLD-003</w:t>
            </w:r>
          </w:p>
        </w:tc>
        <w:tc>
          <w:tcPr>
            <w:tcW w:type="dxa" w:w="2045"/>
          </w:tcPr>
          <w:p>
            <w:r>
              <w:t>library_id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Parent library identifier</w:t>
            </w:r>
          </w:p>
        </w:tc>
      </w:tr>
      <w:tr>
        <w:tc>
          <w:tcPr>
            <w:tcW w:type="dxa" w:w="2045"/>
          </w:tcPr>
          <w:p>
            <w:r>
              <w:t>FLD-004</w:t>
            </w:r>
          </w:p>
        </w:tc>
        <w:tc>
          <w:tcPr>
            <w:tcW w:type="dxa" w:w="2045"/>
          </w:tcPr>
          <w:p>
            <w:r>
              <w:t>item_code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Human-readable unique code within scope</w:t>
            </w:r>
          </w:p>
        </w:tc>
      </w:tr>
      <w:tr>
        <w:tc>
          <w:tcPr>
            <w:tcW w:type="dxa" w:w="2045"/>
          </w:tcPr>
          <w:p>
            <w:r>
              <w:t>FLD-005</w:t>
            </w:r>
          </w:p>
        </w:tc>
        <w:tc>
          <w:tcPr>
            <w:tcW w:type="dxa" w:w="2045"/>
          </w:tcPr>
          <w:p>
            <w:r>
              <w:t>name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Primary display name</w:t>
            </w:r>
          </w:p>
        </w:tc>
      </w:tr>
      <w:tr>
        <w:tc>
          <w:tcPr>
            <w:tcW w:type="dxa" w:w="2045"/>
          </w:tcPr>
          <w:p>
            <w:r>
              <w:t>FLD-006</w:t>
            </w:r>
          </w:p>
        </w:tc>
        <w:tc>
          <w:tcPr>
            <w:tcW w:type="dxa" w:w="2045"/>
          </w:tcPr>
          <w:p>
            <w:r>
              <w:t>short_name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Compact display label</w:t>
            </w:r>
          </w:p>
        </w:tc>
      </w:tr>
      <w:tr>
        <w:tc>
          <w:tcPr>
            <w:tcW w:type="dxa" w:w="2045"/>
          </w:tcPr>
          <w:p>
            <w:r>
              <w:t>FLD-007</w:t>
            </w:r>
          </w:p>
        </w:tc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text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Controlled definition</w:t>
            </w:r>
          </w:p>
        </w:tc>
      </w:tr>
      <w:tr>
        <w:tc>
          <w:tcPr>
            <w:tcW w:type="dxa" w:w="2045"/>
          </w:tcPr>
          <w:p>
            <w:r>
              <w:t>FLD-008</w:t>
            </w:r>
          </w:p>
        </w:tc>
        <w:tc>
          <w:tcPr>
            <w:tcW w:type="dxa" w:w="2045"/>
          </w:tcPr>
          <w:p>
            <w:r>
              <w:t>category_id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Primary category reference</w:t>
            </w:r>
          </w:p>
        </w:tc>
      </w:tr>
      <w:tr>
        <w:tc>
          <w:tcPr>
            <w:tcW w:type="dxa" w:w="2045"/>
          </w:tcPr>
          <w:p>
            <w:r>
              <w:t>FLD-009</w:t>
            </w:r>
          </w:p>
        </w:tc>
        <w:tc>
          <w:tcPr>
            <w:tcW w:type="dxa" w:w="2045"/>
          </w:tcPr>
          <w:p>
            <w:r>
              <w:t>subcategory_id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Secondary category reference</w:t>
            </w:r>
          </w:p>
        </w:tc>
      </w:tr>
      <w:tr>
        <w:tc>
          <w:tcPr>
            <w:tcW w:type="dxa" w:w="2045"/>
          </w:tcPr>
          <w:p>
            <w:r>
              <w:t>FLD-010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enum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Draft, Review, Approved, Active, Deprecated, Archived</w:t>
            </w:r>
          </w:p>
        </w:tc>
      </w:tr>
      <w:tr>
        <w:tc>
          <w:tcPr>
            <w:tcW w:type="dxa" w:w="2045"/>
          </w:tcPr>
          <w:p>
            <w:r>
              <w:t>FLD-011</w:t>
            </w:r>
          </w:p>
        </w:tc>
        <w:tc>
          <w:tcPr>
            <w:tcW w:type="dxa" w:w="2045"/>
          </w:tcPr>
          <w:p>
            <w:r>
              <w:t>version</w:t>
            </w:r>
          </w:p>
        </w:tc>
        <w:tc>
          <w:tcPr>
            <w:tcW w:type="dxa" w:w="2045"/>
          </w:tcPr>
          <w:p>
            <w:r>
              <w:t>semver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Semantic version</w:t>
            </w:r>
          </w:p>
        </w:tc>
      </w:tr>
      <w:tr>
        <w:tc>
          <w:tcPr>
            <w:tcW w:type="dxa" w:w="2045"/>
          </w:tcPr>
          <w:p>
            <w:r>
              <w:t>FLD-012</w:t>
            </w:r>
          </w:p>
        </w:tc>
        <w:tc>
          <w:tcPr>
            <w:tcW w:type="dxa" w:w="2045"/>
          </w:tcPr>
          <w:p>
            <w:r>
              <w:t>effective_from</w:t>
            </w:r>
          </w:p>
        </w:tc>
        <w:tc>
          <w:tcPr>
            <w:tcW w:type="dxa" w:w="2045"/>
          </w:tcPr>
          <w:p>
            <w:r>
              <w:t>date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Start of validity</w:t>
            </w:r>
          </w:p>
        </w:tc>
      </w:tr>
      <w:tr>
        <w:tc>
          <w:tcPr>
            <w:tcW w:type="dxa" w:w="2045"/>
          </w:tcPr>
          <w:p>
            <w:r>
              <w:t>FLD-013</w:t>
            </w:r>
          </w:p>
        </w:tc>
        <w:tc>
          <w:tcPr>
            <w:tcW w:type="dxa" w:w="2045"/>
          </w:tcPr>
          <w:p>
            <w:r>
              <w:t>effective_to</w:t>
            </w:r>
          </w:p>
        </w:tc>
        <w:tc>
          <w:tcPr>
            <w:tcW w:type="dxa" w:w="2045"/>
          </w:tcPr>
          <w:p>
            <w:r>
              <w:t>date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End of validity</w:t>
            </w:r>
          </w:p>
        </w:tc>
      </w:tr>
      <w:tr>
        <w:tc>
          <w:tcPr>
            <w:tcW w:type="dxa" w:w="2045"/>
          </w:tcPr>
          <w:p>
            <w:r>
              <w:t>FLD-014</w:t>
            </w:r>
          </w:p>
        </w:tc>
        <w:tc>
          <w:tcPr>
            <w:tcW w:type="dxa" w:w="2045"/>
          </w:tcPr>
          <w:p>
            <w:r>
              <w:t>unit_id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Conditional</w:t>
            </w:r>
          </w:p>
        </w:tc>
        <w:tc>
          <w:tcPr>
            <w:tcW w:type="dxa" w:w="2045"/>
          </w:tcPr>
          <w:p>
            <w:r>
              <w:t>Primary unit reference</w:t>
            </w:r>
          </w:p>
        </w:tc>
      </w:tr>
      <w:tr>
        <w:tc>
          <w:tcPr>
            <w:tcW w:type="dxa" w:w="2045"/>
          </w:tcPr>
          <w:p>
            <w:r>
              <w:t>FLD-015</w:t>
            </w:r>
          </w:p>
        </w:tc>
        <w:tc>
          <w:tcPr>
            <w:tcW w:type="dxa" w:w="2045"/>
          </w:tcPr>
          <w:p>
            <w:r>
              <w:t>source_type</w:t>
            </w:r>
          </w:p>
        </w:tc>
        <w:tc>
          <w:tcPr>
            <w:tcW w:type="dxa" w:w="2045"/>
          </w:tcPr>
          <w:p>
            <w:r>
              <w:t>enum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Internal, vendor, standard, government, historical, AI-derived</w:t>
            </w:r>
          </w:p>
        </w:tc>
      </w:tr>
      <w:tr>
        <w:tc>
          <w:tcPr>
            <w:tcW w:type="dxa" w:w="2045"/>
          </w:tcPr>
          <w:p>
            <w:r>
              <w:t>FLD-016</w:t>
            </w:r>
          </w:p>
        </w:tc>
        <w:tc>
          <w:tcPr>
            <w:tcW w:type="dxa" w:w="2045"/>
          </w:tcPr>
          <w:p>
            <w:r>
              <w:t>source_reference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Traceable source citation</w:t>
            </w:r>
          </w:p>
        </w:tc>
      </w:tr>
      <w:tr>
        <w:tc>
          <w:tcPr>
            <w:tcW w:type="dxa" w:w="2045"/>
          </w:tcPr>
          <w:p>
            <w:r>
              <w:t>FLD-017</w:t>
            </w:r>
          </w:p>
        </w:tc>
        <w:tc>
          <w:tcPr>
            <w:tcW w:type="dxa" w:w="2045"/>
          </w:tcPr>
          <w:p>
            <w:r>
              <w:t>confidence_score</w:t>
            </w:r>
          </w:p>
        </w:tc>
        <w:tc>
          <w:tcPr>
            <w:tcW w:type="dxa" w:w="2045"/>
          </w:tcPr>
          <w:p>
            <w:r>
              <w:t>decimal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0.00 to 1.00 confidence</w:t>
            </w:r>
          </w:p>
        </w:tc>
      </w:tr>
      <w:tr>
        <w:tc>
          <w:tcPr>
            <w:tcW w:type="dxa" w:w="2045"/>
          </w:tcPr>
          <w:p>
            <w:r>
              <w:t>FLD-018</w:t>
            </w:r>
          </w:p>
        </w:tc>
        <w:tc>
          <w:tcPr>
            <w:tcW w:type="dxa" w:w="2045"/>
          </w:tcPr>
          <w:p>
            <w:r>
              <w:t>approval_status</w:t>
            </w:r>
          </w:p>
        </w:tc>
        <w:tc>
          <w:tcPr>
            <w:tcW w:type="dxa" w:w="2045"/>
          </w:tcPr>
          <w:p>
            <w:r>
              <w:t>enum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Pending, Approved, Rejected, Superseded</w:t>
            </w:r>
          </w:p>
        </w:tc>
      </w:tr>
      <w:tr>
        <w:tc>
          <w:tcPr>
            <w:tcW w:type="dxa" w:w="2045"/>
          </w:tcPr>
          <w:p>
            <w:r>
              <w:t>FLD-019</w:t>
            </w:r>
          </w:p>
        </w:tc>
        <w:tc>
          <w:tcPr>
            <w:tcW w:type="dxa" w:w="2045"/>
          </w:tcPr>
          <w:p>
            <w:r>
              <w:t>approved_by</w:t>
            </w:r>
          </w:p>
        </w:tc>
        <w:tc>
          <w:tcPr>
            <w:tcW w:type="dxa" w:w="2045"/>
          </w:tcPr>
          <w:p>
            <w:r>
              <w:t>uuid</w:t>
            </w:r>
          </w:p>
        </w:tc>
        <w:tc>
          <w:tcPr>
            <w:tcW w:type="dxa" w:w="2045"/>
          </w:tcPr>
          <w:p>
            <w:r>
              <w:t>Conditional</w:t>
            </w:r>
          </w:p>
        </w:tc>
        <w:tc>
          <w:tcPr>
            <w:tcW w:type="dxa" w:w="2045"/>
          </w:tcPr>
          <w:p>
            <w:r>
              <w:t>Approver identity</w:t>
            </w:r>
          </w:p>
        </w:tc>
      </w:tr>
      <w:tr>
        <w:tc>
          <w:tcPr>
            <w:tcW w:type="dxa" w:w="2045"/>
          </w:tcPr>
          <w:p>
            <w:r>
              <w:t>FLD-020</w:t>
            </w:r>
          </w:p>
        </w:tc>
        <w:tc>
          <w:tcPr>
            <w:tcW w:type="dxa" w:w="2045"/>
          </w:tcPr>
          <w:p>
            <w:r>
              <w:t>approved_at</w:t>
            </w:r>
          </w:p>
        </w:tc>
        <w:tc>
          <w:tcPr>
            <w:tcW w:type="dxa" w:w="2045"/>
          </w:tcPr>
          <w:p>
            <w:r>
              <w:t>datetime</w:t>
            </w:r>
          </w:p>
        </w:tc>
        <w:tc>
          <w:tcPr>
            <w:tcW w:type="dxa" w:w="2045"/>
          </w:tcPr>
          <w:p>
            <w:r>
              <w:t>Conditional</w:t>
            </w:r>
          </w:p>
        </w:tc>
        <w:tc>
          <w:tcPr>
            <w:tcW w:type="dxa" w:w="2045"/>
          </w:tcPr>
          <w:p>
            <w:r>
              <w:t>Approval timestamp</w:t>
            </w:r>
          </w:p>
        </w:tc>
      </w:tr>
      <w:tr>
        <w:tc>
          <w:tcPr>
            <w:tcW w:type="dxa" w:w="2045"/>
          </w:tcPr>
          <w:p>
            <w:r>
              <w:t>FLD-021</w:t>
            </w:r>
          </w:p>
        </w:tc>
        <w:tc>
          <w:tcPr>
            <w:tcW w:type="dxa" w:w="2045"/>
          </w:tcPr>
          <w:p>
            <w:r>
              <w:t>created_by</w:t>
            </w:r>
          </w:p>
        </w:tc>
        <w:tc>
          <w:tcPr>
            <w:tcW w:type="dxa" w:w="2045"/>
          </w:tcPr>
          <w:p>
            <w:r>
              <w:t>uuid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Creator identity</w:t>
            </w:r>
          </w:p>
        </w:tc>
      </w:tr>
      <w:tr>
        <w:tc>
          <w:tcPr>
            <w:tcW w:type="dxa" w:w="2045"/>
          </w:tcPr>
          <w:p>
            <w:r>
              <w:t>FLD-022</w:t>
            </w:r>
          </w:p>
        </w:tc>
        <w:tc>
          <w:tcPr>
            <w:tcW w:type="dxa" w:w="2045"/>
          </w:tcPr>
          <w:p>
            <w:r>
              <w:t>created_at</w:t>
            </w:r>
          </w:p>
        </w:tc>
        <w:tc>
          <w:tcPr>
            <w:tcW w:type="dxa" w:w="2045"/>
          </w:tcPr>
          <w:p>
            <w:r>
              <w:t>datetime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Creation timestamp</w:t>
            </w:r>
          </w:p>
        </w:tc>
      </w:tr>
      <w:tr>
        <w:tc>
          <w:tcPr>
            <w:tcW w:type="dxa" w:w="2045"/>
          </w:tcPr>
          <w:p>
            <w:r>
              <w:t>FLD-023</w:t>
            </w:r>
          </w:p>
        </w:tc>
        <w:tc>
          <w:tcPr>
            <w:tcW w:type="dxa" w:w="2045"/>
          </w:tcPr>
          <w:p>
            <w:r>
              <w:t>updated_by</w:t>
            </w:r>
          </w:p>
        </w:tc>
        <w:tc>
          <w:tcPr>
            <w:tcW w:type="dxa" w:w="2045"/>
          </w:tcPr>
          <w:p>
            <w:r>
              <w:t>uuid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Last editor identity</w:t>
            </w:r>
          </w:p>
        </w:tc>
      </w:tr>
      <w:tr>
        <w:tc>
          <w:tcPr>
            <w:tcW w:type="dxa" w:w="2045"/>
          </w:tcPr>
          <w:p>
            <w:r>
              <w:t>FLD-024</w:t>
            </w:r>
          </w:p>
        </w:tc>
        <w:tc>
          <w:tcPr>
            <w:tcW w:type="dxa" w:w="2045"/>
          </w:tcPr>
          <w:p>
            <w:r>
              <w:t>updated_at</w:t>
            </w:r>
          </w:p>
        </w:tc>
        <w:tc>
          <w:tcPr>
            <w:tcW w:type="dxa" w:w="2045"/>
          </w:tcPr>
          <w:p>
            <w:r>
              <w:t>datetime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Last update timestamp</w:t>
            </w:r>
          </w:p>
        </w:tc>
      </w:tr>
      <w:tr>
        <w:tc>
          <w:tcPr>
            <w:tcW w:type="dxa" w:w="2045"/>
          </w:tcPr>
          <w:p>
            <w:r>
              <w:t>FLD-025</w:t>
            </w:r>
          </w:p>
        </w:tc>
        <w:tc>
          <w:tcPr>
            <w:tcW w:type="dxa" w:w="2045"/>
          </w:tcPr>
          <w:p>
            <w:r>
              <w:t>tags</w:t>
            </w:r>
          </w:p>
        </w:tc>
        <w:tc>
          <w:tcPr>
            <w:tcW w:type="dxa" w:w="2045"/>
          </w:tcPr>
          <w:p>
            <w:r>
              <w:t>array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Search and AI tags</w:t>
            </w:r>
          </w:p>
        </w:tc>
      </w:tr>
      <w:tr>
        <w:tc>
          <w:tcPr>
            <w:tcW w:type="dxa" w:w="2045"/>
          </w:tcPr>
          <w:p>
            <w:r>
              <w:t>FLD-026</w:t>
            </w:r>
          </w:p>
        </w:tc>
        <w:tc>
          <w:tcPr>
            <w:tcW w:type="dxa" w:w="2045"/>
          </w:tcPr>
          <w:p>
            <w:r>
              <w:t>keywords</w:t>
            </w:r>
          </w:p>
        </w:tc>
        <w:tc>
          <w:tcPr>
            <w:tcW w:type="dxa" w:w="2045"/>
          </w:tcPr>
          <w:p>
            <w:r>
              <w:t>array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Synonyms and search keywords</w:t>
            </w:r>
          </w:p>
        </w:tc>
      </w:tr>
      <w:tr>
        <w:tc>
          <w:tcPr>
            <w:tcW w:type="dxa" w:w="2045"/>
          </w:tcPr>
          <w:p>
            <w:r>
              <w:t>FLD-027</w:t>
            </w:r>
          </w:p>
        </w:tc>
        <w:tc>
          <w:tcPr>
            <w:tcW w:type="dxa" w:w="2045"/>
          </w:tcPr>
          <w:p>
            <w:r>
              <w:t>relationships</w:t>
            </w:r>
          </w:p>
        </w:tc>
        <w:tc>
          <w:tcPr>
            <w:tcW w:type="dxa" w:w="2045"/>
          </w:tcPr>
          <w:p>
            <w:r>
              <w:t>array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Typed references to related records</w:t>
            </w:r>
          </w:p>
        </w:tc>
      </w:tr>
      <w:tr>
        <w:tc>
          <w:tcPr>
            <w:tcW w:type="dxa" w:w="2045"/>
          </w:tcPr>
          <w:p>
            <w:r>
              <w:t>FLD-028</w:t>
            </w:r>
          </w:p>
        </w:tc>
        <w:tc>
          <w:tcPr>
            <w:tcW w:type="dxa" w:w="2045"/>
          </w:tcPr>
          <w:p>
            <w:r>
              <w:t>custom_fields</w:t>
            </w:r>
          </w:p>
        </w:tc>
        <w:tc>
          <w:tcPr>
            <w:tcW w:type="dxa" w:w="2045"/>
          </w:tcPr>
          <w:p>
            <w:r>
              <w:t>json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Tenant-configured extensions</w:t>
            </w:r>
          </w:p>
        </w:tc>
      </w:tr>
      <w:tr>
        <w:tc>
          <w:tcPr>
            <w:tcW w:type="dxa" w:w="2045"/>
          </w:tcPr>
          <w:p>
            <w:r>
              <w:t>FLD-029</w:t>
            </w:r>
          </w:p>
        </w:tc>
        <w:tc>
          <w:tcPr>
            <w:tcW w:type="dxa" w:w="2045"/>
          </w:tcPr>
          <w:p>
            <w:r>
              <w:t>white_label_visibility</w:t>
            </w:r>
          </w:p>
        </w:tc>
        <w:tc>
          <w:tcPr>
            <w:tcW w:type="dxa" w:w="2045"/>
          </w:tcPr>
          <w:p>
            <w:r>
              <w:t>enum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Platform, tenant, reseller, hidden</w:t>
            </w:r>
          </w:p>
        </w:tc>
      </w:tr>
      <w:tr>
        <w:tc>
          <w:tcPr>
            <w:tcW w:type="dxa" w:w="2045"/>
          </w:tcPr>
          <w:p>
            <w:r>
              <w:t>FLD-030</w:t>
            </w:r>
          </w:p>
        </w:tc>
        <w:tc>
          <w:tcPr>
            <w:tcW w:type="dxa" w:w="2045"/>
          </w:tcPr>
          <w:p>
            <w:r>
              <w:t>audit_hash</w:t>
            </w:r>
          </w:p>
        </w:tc>
        <w:tc>
          <w:tcPr>
            <w:tcW w:type="dxa" w:w="2045"/>
          </w:tcPr>
          <w:p>
            <w:r>
              <w:t>string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Integrity hash of approved payload</w:t>
            </w:r>
          </w:p>
        </w:tc>
      </w:tr>
    </w:tbl>
    <w:p>
      <w:pPr>
        <w:pStyle w:val="Heading1"/>
      </w:pPr>
      <w:r>
        <w:t>5. Governance Model</w:t>
      </w:r>
    </w:p>
    <w:p>
      <w:r>
        <w:t>Precedence resolves in this order: project override, tenant override, reseller/OEM default, global default. Only approved and effective records may be selected in production. Historical records pin the exact version used and are never rewritten by later publication.</w:t>
      </w:r>
    </w:p>
    <w:p>
      <w:pPr>
        <w:pStyle w:val="Heading1"/>
      </w:pPr>
      <w:r>
        <w:t>6. Business Rules</w:t>
      </w:r>
    </w:p>
    <w:p>
      <w:pPr>
        <w:pStyle w:val="Heading2"/>
      </w:pPr>
      <w:r>
        <w:t>BR-001 - Single Source of Truth</w:t>
      </w:r>
    </w:p>
    <w:p>
      <w:r>
        <w:t>Every governed master value must originate from one registered library record.</w:t>
      </w:r>
    </w:p>
    <w:p>
      <w:pPr>
        <w:pStyle w:val="Heading2"/>
      </w:pPr>
      <w:r>
        <w:t>BR-002 - Immutable Identity</w:t>
      </w:r>
    </w:p>
    <w:p>
      <w:r>
        <w:t>Approved records retain immutable IDs across revisions and deployments.</w:t>
      </w:r>
    </w:p>
    <w:p>
      <w:pPr>
        <w:pStyle w:val="Heading2"/>
      </w:pPr>
      <w:r>
        <w:t>BR-003 - Tenant Isolation</w:t>
      </w:r>
    </w:p>
    <w:p>
      <w:r>
        <w:t>Tenant-owned records must never be visible across tenants without explicit sharing.</w:t>
      </w:r>
    </w:p>
    <w:p>
      <w:pPr>
        <w:pStyle w:val="Heading2"/>
      </w:pPr>
      <w:r>
        <w:t>BR-004 - Global Inheritance</w:t>
      </w:r>
    </w:p>
    <w:p>
      <w:r>
        <w:t>Tenants may inherit global records and override only fields marked configurable.</w:t>
      </w:r>
    </w:p>
    <w:p>
      <w:pPr>
        <w:pStyle w:val="Heading2"/>
      </w:pPr>
      <w:r>
        <w:t>BR-005 - Approval Before Use</w:t>
      </w:r>
    </w:p>
    <w:p>
      <w:r>
        <w:t>Draft or rejected records cannot be used in production calculations.</w:t>
      </w:r>
    </w:p>
    <w:p>
      <w:pPr>
        <w:pStyle w:val="Heading2"/>
      </w:pPr>
      <w:r>
        <w:t>BR-006 - Effective Dating</w:t>
      </w:r>
    </w:p>
    <w:p>
      <w:r>
        <w:t>Only records valid for the transaction date may be selected.</w:t>
      </w:r>
    </w:p>
    <w:p>
      <w:pPr>
        <w:pStyle w:val="Heading2"/>
      </w:pPr>
      <w:r>
        <w:t>BR-007 - Version Pinning</w:t>
      </w:r>
    </w:p>
    <w:p>
      <w:r>
        <w:t>Estimates and projects pin the exact library version used.</w:t>
      </w:r>
    </w:p>
    <w:p>
      <w:pPr>
        <w:pStyle w:val="Heading2"/>
      </w:pPr>
      <w:r>
        <w:t>BR-008 - No Silent Replacement</w:t>
      </w:r>
    </w:p>
    <w:p>
      <w:r>
        <w:t>Superseding a record must not silently rewrite historical transactions.</w:t>
      </w:r>
    </w:p>
    <w:p>
      <w:pPr>
        <w:pStyle w:val="Heading2"/>
      </w:pPr>
      <w:r>
        <w:t>BR-009 - Source Provenance</w:t>
      </w:r>
    </w:p>
    <w:p>
      <w:r>
        <w:t>Every cost, rate, formula and AI knowledge record requires a traceable source.</w:t>
      </w:r>
    </w:p>
    <w:p>
      <w:pPr>
        <w:pStyle w:val="Heading2"/>
      </w:pPr>
      <w:r>
        <w:t>BR-010 - Confidence Governance</w:t>
      </w:r>
    </w:p>
    <w:p>
      <w:r>
        <w:t>AI-derived or inferred records require confidence scoring and review thresholds.</w:t>
      </w:r>
    </w:p>
    <w:p>
      <w:pPr>
        <w:pStyle w:val="Heading2"/>
      </w:pPr>
      <w:r>
        <w:t>BR-011 - Unit Compatibility</w:t>
      </w:r>
    </w:p>
    <w:p>
      <w:r>
        <w:t>Relationships and formulas may combine only dimensionally compatible units.</w:t>
      </w:r>
    </w:p>
    <w:p>
      <w:pPr>
        <w:pStyle w:val="Heading2"/>
      </w:pPr>
      <w:r>
        <w:t>BR-012 - White Label Segregation</w:t>
      </w:r>
    </w:p>
    <w:p>
      <w:r>
        <w:t>Brand-specific templates and content must remain scoped to the owning brand.</w:t>
      </w:r>
    </w:p>
    <w:p>
      <w:pPr>
        <w:pStyle w:val="Heading2"/>
      </w:pPr>
      <w:r>
        <w:t>BR-013 - Custom Field Safety</w:t>
      </w:r>
    </w:p>
    <w:p>
      <w:r>
        <w:t>Tenant custom fields may extend but not redefine protected canonical fields.</w:t>
      </w:r>
    </w:p>
    <w:p>
      <w:pPr>
        <w:pStyle w:val="Heading2"/>
      </w:pPr>
      <w:r>
        <w:t>BR-014 - Deprecation Window</w:t>
      </w:r>
    </w:p>
    <w:p>
      <w:r>
        <w:t>Deprecated items remain searchable for historical traceability but cannot be newly selected.</w:t>
      </w:r>
    </w:p>
    <w:p>
      <w:pPr>
        <w:pStyle w:val="Heading2"/>
      </w:pPr>
      <w:r>
        <w:t>BR-015 - Four-Eyes Approval</w:t>
      </w:r>
    </w:p>
    <w:p>
      <w:r>
        <w:t>High-impact pricing, formula and compliance changes require separate author and approver.</w:t>
      </w:r>
    </w:p>
    <w:p>
      <w:pPr>
        <w:pStyle w:val="Heading2"/>
      </w:pPr>
      <w:r>
        <w:t>BR-016 - Bulk Import Staging</w:t>
      </w:r>
    </w:p>
    <w:p>
      <w:r>
        <w:t>Bulk imports enter staging and require validation before publication.</w:t>
      </w:r>
    </w:p>
    <w:p>
      <w:pPr>
        <w:pStyle w:val="Heading2"/>
      </w:pPr>
      <w:r>
        <w:t>BR-017 - Duplicate Prevention</w:t>
      </w:r>
    </w:p>
    <w:p>
      <w:r>
        <w:t>Potential duplicates must be flagged before approval.</w:t>
      </w:r>
    </w:p>
    <w:p>
      <w:pPr>
        <w:pStyle w:val="Heading2"/>
      </w:pPr>
      <w:r>
        <w:t>BR-018 - Regional Precedence</w:t>
      </w:r>
    </w:p>
    <w:p>
      <w:r>
        <w:t>Project-specific pricing overrides regional, tenant and global defaults in controlled order.</w:t>
      </w:r>
    </w:p>
    <w:p>
      <w:pPr>
        <w:pStyle w:val="Heading2"/>
      </w:pPr>
      <w:r>
        <w:t>BR-019 - Audit Completeness</w:t>
      </w:r>
    </w:p>
    <w:p>
      <w:r>
        <w:t>Every create, edit, approval, rejection and archive action must be auditable.</w:t>
      </w:r>
    </w:p>
    <w:p>
      <w:pPr>
        <w:pStyle w:val="Heading2"/>
      </w:pPr>
      <w:r>
        <w:t>BR-020 - Rollback Capability</w:t>
      </w:r>
    </w:p>
    <w:p>
      <w:r>
        <w:t>Published versions must support rollback without deleting audit history.</w:t>
      </w:r>
    </w:p>
    <w:p>
      <w:pPr>
        <w:pStyle w:val="Heading1"/>
      </w:pPr>
      <w:r>
        <w:t>7. Validation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Field</w:t>
            </w:r>
          </w:p>
        </w:tc>
        <w:tc>
          <w:tcPr>
            <w:tcW w:type="dxa" w:w="2556"/>
          </w:tcPr>
          <w:p>
            <w:r>
              <w:t>Validation</w:t>
            </w:r>
          </w:p>
        </w:tc>
        <w:tc>
          <w:tcPr>
            <w:tcW w:type="dxa" w:w="2556"/>
          </w:tcPr>
          <w:p>
            <w:r>
              <w:t>Severity</w:t>
            </w:r>
          </w:p>
        </w:tc>
      </w:tr>
      <w:tr>
        <w:tc>
          <w:tcPr>
            <w:tcW w:type="dxa" w:w="2556"/>
          </w:tcPr>
          <w:p>
            <w:r>
              <w:t>VR-001</w:t>
            </w:r>
          </w:p>
        </w:tc>
        <w:tc>
          <w:tcPr>
            <w:tcW w:type="dxa" w:w="2556"/>
          </w:tcPr>
          <w:p>
            <w:r>
              <w:t>item_code</w:t>
            </w:r>
          </w:p>
        </w:tc>
        <w:tc>
          <w:tcPr>
            <w:tcW w:type="dxa" w:w="2556"/>
          </w:tcPr>
          <w:p>
            <w:r>
              <w:t>Required; unique within tenant/library/effective period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VR-002</w:t>
            </w:r>
          </w:p>
        </w:tc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Required; 2-200 characters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VR-003</w:t>
            </w:r>
          </w:p>
        </w:tc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Must follow semantic version format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VR-004</w:t>
            </w:r>
          </w:p>
        </w:tc>
        <w:tc>
          <w:tcPr>
            <w:tcW w:type="dxa" w:w="2556"/>
          </w:tcPr>
          <w:p>
            <w:r>
              <w:t>confidence_score</w:t>
            </w:r>
          </w:p>
        </w:tc>
        <w:tc>
          <w:tcPr>
            <w:tcW w:type="dxa" w:w="2556"/>
          </w:tcPr>
          <w:p>
            <w:r>
              <w:t>Must be between 0 and 1 inclusive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VR-005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Required for Approved or Active records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VR-006</w:t>
            </w:r>
          </w:p>
        </w:tc>
        <w:tc>
          <w:tcPr>
            <w:tcW w:type="dxa" w:w="2556"/>
          </w:tcPr>
          <w:p>
            <w:r>
              <w:t>effective_to</w:t>
            </w:r>
          </w:p>
        </w:tc>
        <w:tc>
          <w:tcPr>
            <w:tcW w:type="dxa" w:w="2556"/>
          </w:tcPr>
          <w:p>
            <w:r>
              <w:t>Must be later than effective_from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VR-007</w:t>
            </w:r>
          </w:p>
        </w:tc>
        <w:tc>
          <w:tcPr>
            <w:tcW w:type="dxa" w:w="2556"/>
          </w:tcPr>
          <w:p>
            <w:r>
              <w:t>approved_by</w:t>
            </w:r>
          </w:p>
        </w:tc>
        <w:tc>
          <w:tcPr>
            <w:tcW w:type="dxa" w:w="2556"/>
          </w:tcPr>
          <w:p>
            <w:r>
              <w:t>Required when approval_status is Approved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VR-008</w:t>
            </w:r>
          </w:p>
        </w:tc>
        <w:tc>
          <w:tcPr>
            <w:tcW w:type="dxa" w:w="2556"/>
          </w:tcPr>
          <w:p>
            <w:r>
              <w:t>approved_at</w:t>
            </w:r>
          </w:p>
        </w:tc>
        <w:tc>
          <w:tcPr>
            <w:tcW w:type="dxa" w:w="2556"/>
          </w:tcPr>
          <w:p>
            <w:r>
              <w:t>Required when approval_status is Approved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VR-009</w:t>
            </w:r>
          </w:p>
        </w:tc>
        <w:tc>
          <w:tcPr>
            <w:tcW w:type="dxa" w:w="2556"/>
          </w:tcPr>
          <w:p>
            <w:r>
              <w:t>unit_id</w:t>
            </w:r>
          </w:p>
        </w:tc>
        <w:tc>
          <w:tcPr>
            <w:tcW w:type="dxa" w:w="2556"/>
          </w:tcPr>
          <w:p>
            <w:r>
              <w:t>Must exist and be active when the library is quantity-bearing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VR-010</w:t>
            </w:r>
          </w:p>
        </w:tc>
        <w:tc>
          <w:tcPr>
            <w:tcW w:type="dxa" w:w="2556"/>
          </w:tcPr>
          <w:p>
            <w:r>
              <w:t>source_reference</w:t>
            </w:r>
          </w:p>
        </w:tc>
        <w:tc>
          <w:tcPr>
            <w:tcW w:type="dxa" w:w="2556"/>
          </w:tcPr>
          <w:p>
            <w:r>
              <w:t>Required for costs, rates, formulas, standards and AI knowledge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VR-011</w:t>
            </w:r>
          </w:p>
        </w:tc>
        <w:tc>
          <w:tcPr>
            <w:tcW w:type="dxa" w:w="2556"/>
          </w:tcPr>
          <w:p>
            <w:r>
              <w:t>tenant_id</w:t>
            </w:r>
          </w:p>
        </w:tc>
        <w:tc>
          <w:tcPr>
            <w:tcW w:type="dxa" w:w="2556"/>
          </w:tcPr>
          <w:p>
            <w:r>
              <w:t>Required for Tenant-scoped libraries and prohibited for Global-only records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VR-012</w:t>
            </w:r>
          </w:p>
        </w:tc>
        <w:tc>
          <w:tcPr>
            <w:tcW w:type="dxa" w:w="2556"/>
          </w:tcPr>
          <w:p>
            <w:r>
              <w:t>relationships</w:t>
            </w:r>
          </w:p>
        </w:tc>
        <w:tc>
          <w:tcPr>
            <w:tcW w:type="dxa" w:w="2556"/>
          </w:tcPr>
          <w:p>
            <w:r>
              <w:t>All target IDs must exist and pass scope access checks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VR-013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Archived records cannot return to Active without a new version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VR-014</w:t>
            </w:r>
          </w:p>
        </w:tc>
        <w:tc>
          <w:tcPr>
            <w:tcW w:type="dxa" w:w="2556"/>
          </w:tcPr>
          <w:p>
            <w:r>
              <w:t>white_label_visibility</w:t>
            </w:r>
          </w:p>
        </w:tc>
        <w:tc>
          <w:tcPr>
            <w:tcW w:type="dxa" w:w="2556"/>
          </w:tcPr>
          <w:p>
            <w:r>
              <w:t>Must align with tenant and reseller access policy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VR-015</w:t>
            </w:r>
          </w:p>
        </w:tc>
        <w:tc>
          <w:tcPr>
            <w:tcW w:type="dxa" w:w="2556"/>
          </w:tcPr>
          <w:p>
            <w:r>
              <w:t>custom_fields</w:t>
            </w:r>
          </w:p>
        </w:tc>
        <w:tc>
          <w:tcPr>
            <w:tcW w:type="dxa" w:w="2556"/>
          </w:tcPr>
          <w:p>
            <w:r>
              <w:t>Must validate against the tenant extension schema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VR-016</w:t>
            </w:r>
          </w:p>
        </w:tc>
        <w:tc>
          <w:tcPr>
            <w:tcW w:type="dxa" w:w="2556"/>
          </w:tcPr>
          <w:p>
            <w:r>
              <w:t>audit_hash</w:t>
            </w:r>
          </w:p>
        </w:tc>
        <w:tc>
          <w:tcPr>
            <w:tcW w:type="dxa" w:w="2556"/>
          </w:tcPr>
          <w:p>
            <w:r>
              <w:t>Must match canonicalized approved payload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VR-017</w:t>
            </w:r>
          </w:p>
        </w:tc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Maximum 100 unique normalized keywords</w:t>
            </w:r>
          </w:p>
        </w:tc>
        <w:tc>
          <w:tcPr>
            <w:tcW w:type="dxa" w:w="2556"/>
          </w:tcPr>
          <w:p>
            <w:r>
              <w:t>Warning</w:t>
            </w:r>
          </w:p>
        </w:tc>
      </w:tr>
      <w:tr>
        <w:tc>
          <w:tcPr>
            <w:tcW w:type="dxa" w:w="2556"/>
          </w:tcPr>
          <w:p>
            <w:r>
              <w:t>VR-018</w:t>
            </w:r>
          </w:p>
        </w:tc>
        <w:tc>
          <w:tcPr>
            <w:tcW w:type="dxa" w:w="2556"/>
          </w:tcPr>
          <w:p>
            <w:r>
              <w:t>description</w:t>
            </w:r>
          </w:p>
        </w:tc>
        <w:tc>
          <w:tcPr>
            <w:tcW w:type="dxa" w:w="2556"/>
          </w:tcPr>
          <w:p>
            <w:r>
              <w:t>Recommended minimum 25 characters for approved records</w:t>
            </w:r>
          </w:p>
        </w:tc>
        <w:tc>
          <w:tcPr>
            <w:tcW w:type="dxa" w:w="2556"/>
          </w:tcPr>
          <w:p>
            <w:r>
              <w:t>Warning</w:t>
            </w:r>
          </w:p>
        </w:tc>
      </w:tr>
      <w:tr>
        <w:tc>
          <w:tcPr>
            <w:tcW w:type="dxa" w:w="2556"/>
          </w:tcPr>
          <w:p>
            <w:r>
              <w:t>VR-019</w:t>
            </w:r>
          </w:p>
        </w:tc>
        <w:tc>
          <w:tcPr>
            <w:tcW w:type="dxa" w:w="2556"/>
          </w:tcPr>
          <w:p>
            <w:r>
              <w:t>effective period</w:t>
            </w:r>
          </w:p>
        </w:tc>
        <w:tc>
          <w:tcPr>
            <w:tcW w:type="dxa" w:w="2556"/>
          </w:tcPr>
          <w:p>
            <w:r>
              <w:t>Overlapping active periods for same code are prohibited</w:t>
            </w:r>
          </w:p>
        </w:tc>
        <w:tc>
          <w:tcPr>
            <w:tcW w:type="dxa" w:w="2556"/>
          </w:tcPr>
          <w:p>
            <w:r>
              <w:t>Error</w:t>
            </w:r>
          </w:p>
        </w:tc>
      </w:tr>
      <w:tr>
        <w:tc>
          <w:tcPr>
            <w:tcW w:type="dxa" w:w="2556"/>
          </w:tcPr>
          <w:p>
            <w:r>
              <w:t>VR-020</w:t>
            </w:r>
          </w:p>
        </w:tc>
        <w:tc>
          <w:tcPr>
            <w:tcW w:type="dxa" w:w="2556"/>
          </w:tcPr>
          <w:p>
            <w:r>
              <w:t>duplicate similarity</w:t>
            </w:r>
          </w:p>
        </w:tc>
        <w:tc>
          <w:tcPr>
            <w:tcW w:type="dxa" w:w="2556"/>
          </w:tcPr>
          <w:p>
            <w:r>
              <w:t>Similarity &gt;= 0.90 requires explicit duplicate disposition</w:t>
            </w:r>
          </w:p>
        </w:tc>
        <w:tc>
          <w:tcPr>
            <w:tcW w:type="dxa" w:w="2556"/>
          </w:tcPr>
          <w:p>
            <w:r>
              <w:t>Warning</w:t>
            </w:r>
          </w:p>
        </w:tc>
      </w:tr>
    </w:tbl>
    <w:p>
      <w:pPr>
        <w:pStyle w:val="Heading1"/>
      </w:pPr>
      <w:r>
        <w:t>8. Workflows</w:t>
      </w:r>
    </w:p>
    <w:p>
      <w:pPr>
        <w:pStyle w:val="Heading2"/>
      </w:pPr>
      <w:r>
        <w:t>WF-001 - Create Library Item</w:t>
      </w:r>
    </w:p>
    <w:p>
      <w:r>
        <w:t>Draft -&gt; Validate -&gt; Review -&gt; Approve -&gt; Publish</w:t>
      </w:r>
    </w:p>
    <w:p>
      <w:pPr>
        <w:pStyle w:val="Heading2"/>
      </w:pPr>
      <w:r>
        <w:t>WF-002 - Revise Library Item</w:t>
      </w:r>
    </w:p>
    <w:p>
      <w:r>
        <w:t>Clone Active -&gt; Edit -&gt; Compare -&gt; Approve -&gt; Supersede</w:t>
      </w:r>
    </w:p>
    <w:p>
      <w:pPr>
        <w:pStyle w:val="Heading2"/>
      </w:pPr>
      <w:r>
        <w:t>WF-003 - Bulk Import</w:t>
      </w:r>
    </w:p>
    <w:p>
      <w:r>
        <w:t>Upload -&gt; Stage -&gt; Map -&gt; Validate -&gt; Resolve -&gt; Approve -&gt; Publish</w:t>
      </w:r>
    </w:p>
    <w:p>
      <w:pPr>
        <w:pStyle w:val="Heading2"/>
      </w:pPr>
      <w:r>
        <w:t>WF-004 - Tenant Override</w:t>
      </w:r>
    </w:p>
    <w:p>
      <w:r>
        <w:t>Inherit -&gt; Override Allowed Fields -&gt; Validate -&gt; Activate</w:t>
      </w:r>
    </w:p>
    <w:p>
      <w:pPr>
        <w:pStyle w:val="Heading2"/>
      </w:pPr>
      <w:r>
        <w:t>WF-005 - Deprecation</w:t>
      </w:r>
    </w:p>
    <w:p>
      <w:r>
        <w:t>Impact Analysis -&gt; Notice -&gt; Replacement Mapping -&gt; Deprecate</w:t>
      </w:r>
    </w:p>
    <w:p>
      <w:pPr>
        <w:pStyle w:val="Heading2"/>
      </w:pPr>
      <w:r>
        <w:t>WF-006 - Emergency Correction</w:t>
      </w:r>
    </w:p>
    <w:p>
      <w:r>
        <w:t>Flag Critical -&gt; Dual Approval -&gt; Hotfix Version -&gt; Notify</w:t>
      </w:r>
    </w:p>
    <w:p>
      <w:pPr>
        <w:pStyle w:val="Heading2"/>
      </w:pPr>
      <w:r>
        <w:t>WF-007 - Duplicate Resolution</w:t>
      </w:r>
    </w:p>
    <w:p>
      <w:r>
        <w:t>Detect -&gt; Compare -&gt; Merge/Relate/Reject -&gt; Audit</w:t>
      </w:r>
    </w:p>
    <w:p>
      <w:pPr>
        <w:pStyle w:val="Heading2"/>
      </w:pPr>
      <w:r>
        <w:t>WF-008 - White Label Publication</w:t>
      </w:r>
    </w:p>
    <w:p>
      <w:r>
        <w:t>Brand Scope -&gt; Preview -&gt; Approve -&gt; Publish</w:t>
      </w:r>
    </w:p>
    <w:p>
      <w:pPr>
        <w:pStyle w:val="Heading2"/>
      </w:pPr>
      <w:r>
        <w:t>WF-009 - AI Knowledge Intake</w:t>
      </w:r>
    </w:p>
    <w:p>
      <w:r>
        <w:t>Ingest -&gt; Chunk -&gt; Tag -&gt; Evaluate -&gt; Approve -&gt; Index</w:t>
      </w:r>
    </w:p>
    <w:p>
      <w:pPr>
        <w:pStyle w:val="Heading2"/>
      </w:pPr>
      <w:r>
        <w:t>WF-010 - Periodic Review</w:t>
      </w:r>
    </w:p>
    <w:p>
      <w:r>
        <w:t>Schedule -&gt; Owner Review -&gt; Revalidate -&gt; Renew/Revise/Archive</w:t>
      </w:r>
    </w:p>
    <w:p>
      <w:pPr>
        <w:pStyle w:val="Heading1"/>
      </w:pPr>
      <w:r>
        <w:t>9. Engines</w:t>
      </w:r>
    </w:p>
    <w:p>
      <w:pPr>
        <w:pStyle w:val="Heading2"/>
      </w:pPr>
      <w:r>
        <w:t>ENG-001 - Library Registry Engine</w:t>
      </w:r>
    </w:p>
    <w:p>
      <w:r>
        <w:t>Registers library definitions, ownership and lifecycle.</w:t>
      </w:r>
    </w:p>
    <w:p>
      <w:pPr>
        <w:pStyle w:val="Heading2"/>
      </w:pPr>
      <w:r>
        <w:t>ENG-002 - Inheritance and Override Engine</w:t>
      </w:r>
    </w:p>
    <w:p>
      <w:r>
        <w:t>Resolves global, reseller, tenant and project precedence.</w:t>
      </w:r>
    </w:p>
    <w:p>
      <w:pPr>
        <w:pStyle w:val="Heading2"/>
      </w:pPr>
      <w:r>
        <w:t>ENG-003 - Version and Effective-Date Engine</w:t>
      </w:r>
    </w:p>
    <w:p>
      <w:r>
        <w:t>Selects valid immutable versions by context date.</w:t>
      </w:r>
    </w:p>
    <w:p>
      <w:pPr>
        <w:pStyle w:val="Heading2"/>
      </w:pPr>
      <w:r>
        <w:t>ENG-004 - Validation Engine</w:t>
      </w:r>
    </w:p>
    <w:p>
      <w:r>
        <w:t>Executes schema, business and relationship validations.</w:t>
      </w:r>
    </w:p>
    <w:p>
      <w:pPr>
        <w:pStyle w:val="Heading2"/>
      </w:pPr>
      <w:r>
        <w:t>ENG-005 - Duplicate Detection Engine</w:t>
      </w:r>
    </w:p>
    <w:p>
      <w:r>
        <w:t>Uses code, name, attributes and semantic similarity.</w:t>
      </w:r>
    </w:p>
    <w:p>
      <w:pPr>
        <w:pStyle w:val="Heading2"/>
      </w:pPr>
      <w:r>
        <w:t>ENG-006 - Relationship Graph Engine</w:t>
      </w:r>
    </w:p>
    <w:p>
      <w:r>
        <w:t>Maintains typed dependencies and impact analysis.</w:t>
      </w:r>
    </w:p>
    <w:p>
      <w:pPr>
        <w:pStyle w:val="Heading2"/>
      </w:pPr>
      <w:r>
        <w:t>ENG-007 - Approval and Publication Engine</w:t>
      </w:r>
    </w:p>
    <w:p>
      <w:r>
        <w:t>Controls review, approval, publish and rollback.</w:t>
      </w:r>
    </w:p>
    <w:p>
      <w:pPr>
        <w:pStyle w:val="Heading2"/>
      </w:pPr>
      <w:r>
        <w:t>ENG-008 - Search and Indexing Engine</w:t>
      </w:r>
    </w:p>
    <w:p>
      <w:r>
        <w:t>Provides faceted, full-text and semantic retrieval.</w:t>
      </w:r>
    </w:p>
    <w:p>
      <w:pPr>
        <w:pStyle w:val="Heading2"/>
      </w:pPr>
      <w:r>
        <w:t>ENG-009 - Import and Mapping Engine</w:t>
      </w:r>
    </w:p>
    <w:p>
      <w:r>
        <w:t>Stages, maps and validates CSV/Excel/API imports.</w:t>
      </w:r>
    </w:p>
    <w:p>
      <w:pPr>
        <w:pStyle w:val="Heading2"/>
      </w:pPr>
      <w:r>
        <w:t>ENG-010 - White Label Resolution Engine</w:t>
      </w:r>
    </w:p>
    <w:p>
      <w:r>
        <w:t>Applies brand-specific visibility, terminology and templates.</w:t>
      </w:r>
    </w:p>
    <w:p>
      <w:pPr>
        <w:pStyle w:val="Heading2"/>
      </w:pPr>
      <w:r>
        <w:t>ENG-011 - Confidence and Provenance Engine</w:t>
      </w:r>
    </w:p>
    <w:p>
      <w:r>
        <w:t>Scores reliability and enforces source evidence.</w:t>
      </w:r>
    </w:p>
    <w:p>
      <w:pPr>
        <w:pStyle w:val="Heading2"/>
      </w:pPr>
      <w:r>
        <w:t>ENG-012 - Audit Integrity Engine</w:t>
      </w:r>
    </w:p>
    <w:p>
      <w:r>
        <w:t>Creates tamper-evident hashes and event history.</w:t>
      </w:r>
    </w:p>
    <w:p>
      <w:pPr>
        <w:pStyle w:val="Heading1"/>
      </w:pPr>
      <w:r>
        <w:t>10.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/v1/libraries</w:t>
            </w:r>
          </w:p>
        </w:tc>
        <w:tc>
          <w:tcPr>
            <w:tcW w:type="dxa" w:w="3408"/>
          </w:tcPr>
          <w:p>
            <w:r>
              <w:t>List accessible libraries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/v1/libraries</w:t>
            </w:r>
          </w:p>
        </w:tc>
        <w:tc>
          <w:tcPr>
            <w:tcW w:type="dxa" w:w="3408"/>
          </w:tcPr>
          <w:p>
            <w:r>
              <w:t>Register a library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/v1/libraries/{libraryId}</w:t>
            </w:r>
          </w:p>
        </w:tc>
        <w:tc>
          <w:tcPr>
            <w:tcW w:type="dxa" w:w="3408"/>
          </w:tcPr>
          <w:p>
            <w:r>
              <w:t>Get library definition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/v1/libraries/{libraryId}</w:t>
            </w:r>
          </w:p>
        </w:tc>
        <w:tc>
          <w:tcPr>
            <w:tcW w:type="dxa" w:w="3408"/>
          </w:tcPr>
          <w:p>
            <w:r>
              <w:t>Update draft library definition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/v1/libraries/{libraryId}/items</w:t>
            </w:r>
          </w:p>
        </w:tc>
        <w:tc>
          <w:tcPr>
            <w:tcW w:type="dxa" w:w="3408"/>
          </w:tcPr>
          <w:p>
            <w:r>
              <w:t>Search library items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/v1/libraries/{libraryId}/items</w:t>
            </w:r>
          </w:p>
        </w:tc>
        <w:tc>
          <w:tcPr>
            <w:tcW w:type="dxa" w:w="3408"/>
          </w:tcPr>
          <w:p>
            <w:r>
              <w:t>Create item draft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/v1/library-items/{itemId}</w:t>
            </w:r>
          </w:p>
        </w:tc>
        <w:tc>
          <w:tcPr>
            <w:tcW w:type="dxa" w:w="3408"/>
          </w:tcPr>
          <w:p>
            <w:r>
              <w:t>Get item and resolved version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/v1/library-items/{itemId}</w:t>
            </w:r>
          </w:p>
        </w:tc>
        <w:tc>
          <w:tcPr>
            <w:tcW w:type="dxa" w:w="3408"/>
          </w:tcPr>
          <w:p>
            <w:r>
              <w:t>Edit draft item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/v1/library-items/{itemId}/submit</w:t>
            </w:r>
          </w:p>
        </w:tc>
        <w:tc>
          <w:tcPr>
            <w:tcW w:type="dxa" w:w="3408"/>
          </w:tcPr>
          <w:p>
            <w:r>
              <w:t>Submit for review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/v1/library-items/{itemId}/approve</w:t>
            </w:r>
          </w:p>
        </w:tc>
        <w:tc>
          <w:tcPr>
            <w:tcW w:type="dxa" w:w="3408"/>
          </w:tcPr>
          <w:p>
            <w:r>
              <w:t>Approve item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/v1/library-items/{itemId}/reject</w:t>
            </w:r>
          </w:p>
        </w:tc>
        <w:tc>
          <w:tcPr>
            <w:tcW w:type="dxa" w:w="3408"/>
          </w:tcPr>
          <w:p>
            <w:r>
              <w:t>Reject item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/v1/library-items/{itemId}/publish</w:t>
            </w:r>
          </w:p>
        </w:tc>
        <w:tc>
          <w:tcPr>
            <w:tcW w:type="dxa" w:w="3408"/>
          </w:tcPr>
          <w:p>
            <w:r>
              <w:t>Publish approved item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/v1/library-items/{itemId}/supersede</w:t>
            </w:r>
          </w:p>
        </w:tc>
        <w:tc>
          <w:tcPr>
            <w:tcW w:type="dxa" w:w="3408"/>
          </w:tcPr>
          <w:p>
            <w:r>
              <w:t>Create successor version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/v1/library-items/{itemId}/deprecate</w:t>
            </w:r>
          </w:p>
        </w:tc>
        <w:tc>
          <w:tcPr>
            <w:tcW w:type="dxa" w:w="3408"/>
          </w:tcPr>
          <w:p>
            <w:r>
              <w:t>Deprecate item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/v1/library-items/{itemId}/rollback</w:t>
            </w:r>
          </w:p>
        </w:tc>
        <w:tc>
          <w:tcPr>
            <w:tcW w:type="dxa" w:w="3408"/>
          </w:tcPr>
          <w:p>
            <w:r>
              <w:t>Rollback publication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/v1/library-imports</w:t>
            </w:r>
          </w:p>
        </w:tc>
        <w:tc>
          <w:tcPr>
            <w:tcW w:type="dxa" w:w="3408"/>
          </w:tcPr>
          <w:p>
            <w:r>
              <w:t>Create staged import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/v1/library-imports/{importId}</w:t>
            </w:r>
          </w:p>
        </w:tc>
        <w:tc>
          <w:tcPr>
            <w:tcW w:type="dxa" w:w="3408"/>
          </w:tcPr>
          <w:p>
            <w:r>
              <w:t>Get import status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/v1/library-imports/{importId}/validate</w:t>
            </w:r>
          </w:p>
        </w:tc>
        <w:tc>
          <w:tcPr>
            <w:tcW w:type="dxa" w:w="3408"/>
          </w:tcPr>
          <w:p>
            <w:r>
              <w:t>Run validations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/v1/library-imports/{importId}/publish</w:t>
            </w:r>
          </w:p>
        </w:tc>
        <w:tc>
          <w:tcPr>
            <w:tcW w:type="dxa" w:w="3408"/>
          </w:tcPr>
          <w:p>
            <w:r>
              <w:t>Publish valid rows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/v1/library-search</w:t>
            </w:r>
          </w:p>
        </w:tc>
        <w:tc>
          <w:tcPr>
            <w:tcW w:type="dxa" w:w="3408"/>
          </w:tcPr>
          <w:p>
            <w:r>
              <w:t>Cross-library search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/v1/library-resolve</w:t>
            </w:r>
          </w:p>
        </w:tc>
        <w:tc>
          <w:tcPr>
            <w:tcW w:type="dxa" w:w="3408"/>
          </w:tcPr>
          <w:p>
            <w:r>
              <w:t>Resolve effective item by context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/v1/library-items/{itemId}/history</w:t>
            </w:r>
          </w:p>
        </w:tc>
        <w:tc>
          <w:tcPr>
            <w:tcW w:type="dxa" w:w="3408"/>
          </w:tcPr>
          <w:p>
            <w:r>
              <w:t>Get version and audit history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/v1/library-items/{itemId}/impact</w:t>
            </w:r>
          </w:p>
        </w:tc>
        <w:tc>
          <w:tcPr>
            <w:tcW w:type="dxa" w:w="3408"/>
          </w:tcPr>
          <w:p>
            <w:r>
              <w:t>Get dependency impact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/v1/library-items/{itemId}/clone</w:t>
            </w:r>
          </w:p>
        </w:tc>
        <w:tc>
          <w:tcPr>
            <w:tcW w:type="dxa" w:w="3408"/>
          </w:tcPr>
          <w:p>
            <w:r>
              <w:t>Clone to tenant scope</w:t>
            </w:r>
          </w:p>
        </w:tc>
      </w:tr>
    </w:tbl>
    <w:p>
      <w:pPr>
        <w:pStyle w:val="Heading1"/>
      </w:pPr>
      <w:r>
        <w:t>11. User Experience and Customization</w:t>
      </w:r>
    </w:p>
    <w:p>
      <w:r>
        <w:t>The Registry is delivered through a responsive web administration experience with role-based workspaces, saved views, import wizards, version comparison and a no-code field designer. Mobile interfaces support review, approvals, search and field reference. White-label and OEM deployments can customize branding, terminology, templates, domains, content visibility and AI behavior without changing the platform core.</w:t>
      </w:r>
    </w:p>
    <w:p>
      <w:pPr>
        <w:pStyle w:val="Heading1"/>
      </w:pPr>
      <w:r>
        <w:t>12. AI Governance</w:t>
      </w:r>
    </w:p>
    <w:p>
      <w:r>
        <w:t>AI may recommend, classify, map and detect duplicates, but cannot self-approve governed records. AI outputs preserve source provenance, confidence score, model/version metadata and tenant scope. Approved knowledge is indexed separately from drafts.</w:t>
      </w:r>
    </w:p>
    <w:p>
      <w:pPr>
        <w:pStyle w:val="Heading1"/>
      </w:pPr>
      <w:r>
        <w:t>13. Security and Audit</w:t>
      </w:r>
    </w:p>
    <w:p>
      <w:r>
        <w:t>Controls include tenant isolation, least privilege, environment segregation, encryption, immutable audit events, tamper-evident record hashes, approval separation and export logging.</w:t>
      </w:r>
    </w:p>
    <w:p>
      <w:pPr>
        <w:pStyle w:val="Heading1"/>
      </w:pPr>
      <w:r>
        <w:t>14. Testing and Acceptance</w:t>
      </w:r>
    </w:p>
    <w:p>
      <w:r>
        <w:t>97 controlled requirements are mapped to 97 acceptance tests. Phase acceptance requires zero unresolved critical defects, successful tenant-isolation tests, verified version resolution, import validation, rollback, white-label isolation and manifest integrity.</w:t>
      </w:r>
    </w:p>
    <w:p>
      <w:pPr>
        <w:pStyle w:val="Heading1"/>
      </w:pPr>
      <w:r>
        <w:t>15. Phase Gate</w:t>
      </w:r>
    </w:p>
    <w:p>
      <w:r>
        <w:t>Phase 04 may be locked as GES-P04-v1.0.0 after stakeholder review, correction of accepted comments, approval signature and final checksum refresh.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