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GrounUp Enterprise Specification</w:t>
        <w:br/>
        <w:t>Phase 10</w:t>
      </w:r>
    </w:p>
    <w:p>
      <w:pPr>
        <w:jc w:val="center"/>
      </w:pPr>
      <w:r>
        <w:rPr>
          <w:b/>
          <w:color w:val="BF9000"/>
          <w:sz w:val="32"/>
        </w:rPr>
        <w:t>Enterprise Financial Management &amp; Accounting</w:t>
      </w:r>
    </w:p>
    <w:p>
      <w:pPr>
        <w:jc w:val="center"/>
      </w:pPr>
      <w:r>
        <w:t>Version 1.0.0 | Review-ready | Proposed lock tag GES-P10-v1.0.0</w:t>
      </w:r>
    </w:p>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rial" w:hAnsi="Arial"/>
                <w:b/>
                <w:color w:val="FFFFFF"/>
                <w:sz w:val="16"/>
              </w:rPr>
              <w:t>Document ID</w:t>
            </w:r>
          </w:p>
        </w:tc>
        <w:tc>
          <w:tcPr>
            <w:tcW w:type="dxa" w:w="5112"/>
            <w:vAlign w:val="center"/>
          </w:tcPr>
          <w:p>
            <w:r/>
            <w:r>
              <w:rPr>
                <w:rFonts w:ascii="Arial" w:hAnsi="Arial"/>
                <w:b w:val="0"/>
                <w:sz w:val="16"/>
              </w:rPr>
              <w:t>GES-P10-001</w:t>
            </w:r>
          </w:p>
        </w:tc>
      </w:tr>
      <w:tr>
        <w:tc>
          <w:tcPr>
            <w:tcW w:type="dxa" w:w="5112"/>
            <w:vAlign w:val="center"/>
            <w:shd w:fill="17365D"/>
          </w:tcPr>
          <w:p>
            <w:r/>
            <w:r>
              <w:rPr>
                <w:rFonts w:ascii="Arial" w:hAnsi="Arial"/>
                <w:b/>
                <w:color w:val="FFFFFF"/>
                <w:sz w:val="16"/>
              </w:rPr>
              <w:t>Owner</w:t>
            </w:r>
          </w:p>
        </w:tc>
        <w:tc>
          <w:tcPr>
            <w:tcW w:type="dxa" w:w="5112"/>
            <w:vAlign w:val="center"/>
          </w:tcPr>
          <w:p>
            <w:r/>
            <w:r>
              <w:rPr>
                <w:rFonts w:ascii="Arial" w:hAnsi="Arial"/>
                <w:b w:val="0"/>
                <w:sz w:val="16"/>
              </w:rPr>
              <w:t>GrounUp Product and Finance Governance</w:t>
            </w:r>
          </w:p>
        </w:tc>
      </w:tr>
      <w:tr>
        <w:tc>
          <w:tcPr>
            <w:tcW w:type="dxa" w:w="5112"/>
            <w:vAlign w:val="center"/>
            <w:shd w:fill="17365D"/>
          </w:tcPr>
          <w:p>
            <w:r/>
            <w:r>
              <w:rPr>
                <w:rFonts w:ascii="Arial" w:hAnsi="Arial"/>
                <w:b/>
                <w:color w:val="FFFFFF"/>
                <w:sz w:val="16"/>
              </w:rPr>
              <w:t>Classification</w:t>
            </w:r>
          </w:p>
        </w:tc>
        <w:tc>
          <w:tcPr>
            <w:tcW w:type="dxa" w:w="5112"/>
            <w:vAlign w:val="center"/>
          </w:tcPr>
          <w:p>
            <w:r/>
            <w:r>
              <w:rPr>
                <w:rFonts w:ascii="Arial" w:hAnsi="Arial"/>
                <w:b w:val="0"/>
                <w:sz w:val="16"/>
              </w:rPr>
              <w:t>Controlled Enterprise Specification</w:t>
            </w:r>
          </w:p>
        </w:tc>
      </w:tr>
      <w:tr>
        <w:tc>
          <w:tcPr>
            <w:tcW w:type="dxa" w:w="5112"/>
            <w:vAlign w:val="center"/>
            <w:shd w:fill="17365D"/>
          </w:tcPr>
          <w:p>
            <w:r/>
            <w:r>
              <w:rPr>
                <w:rFonts w:ascii="Arial" w:hAnsi="Arial"/>
                <w:b/>
                <w:color w:val="FFFFFF"/>
                <w:sz w:val="16"/>
              </w:rPr>
              <w:t>Dependencies</w:t>
            </w:r>
          </w:p>
        </w:tc>
        <w:tc>
          <w:tcPr>
            <w:tcW w:type="dxa" w:w="5112"/>
            <w:vAlign w:val="center"/>
          </w:tcPr>
          <w:p>
            <w:r/>
            <w:r>
              <w:rPr>
                <w:rFonts w:ascii="Arial" w:hAnsi="Arial"/>
                <w:b w:val="0"/>
                <w:sz w:val="16"/>
              </w:rPr>
              <w:t>GES Phases 01-09</w:t>
            </w:r>
          </w:p>
        </w:tc>
      </w:tr>
      <w:tr>
        <w:tc>
          <w:tcPr>
            <w:tcW w:type="dxa" w:w="5112"/>
            <w:vAlign w:val="center"/>
            <w:shd w:fill="17365D"/>
          </w:tcPr>
          <w:p>
            <w:r/>
            <w:r>
              <w:rPr>
                <w:rFonts w:ascii="Arial" w:hAnsi="Arial"/>
                <w:b/>
                <w:color w:val="FFFFFF"/>
                <w:sz w:val="16"/>
              </w:rPr>
              <w:t>Status</w:t>
            </w:r>
          </w:p>
        </w:tc>
        <w:tc>
          <w:tcPr>
            <w:tcW w:type="dxa" w:w="5112"/>
            <w:vAlign w:val="center"/>
          </w:tcPr>
          <w:p>
            <w:r/>
            <w:r>
              <w:rPr>
                <w:rFonts w:ascii="Arial" w:hAnsi="Arial"/>
                <w:b w:val="0"/>
                <w:sz w:val="16"/>
              </w:rPr>
              <w:t>Review-ready</w:t>
            </w:r>
          </w:p>
        </w:tc>
      </w:tr>
      <w:tr>
        <w:tc>
          <w:tcPr>
            <w:tcW w:type="dxa" w:w="5112"/>
            <w:vAlign w:val="center"/>
            <w:shd w:fill="17365D"/>
          </w:tcPr>
          <w:p>
            <w:r/>
            <w:r>
              <w:rPr>
                <w:rFonts w:ascii="Arial" w:hAnsi="Arial"/>
                <w:b/>
                <w:color w:val="FFFFFF"/>
                <w:sz w:val="16"/>
              </w:rPr>
              <w:t>Approval</w:t>
            </w:r>
          </w:p>
        </w:tc>
        <w:tc>
          <w:tcPr>
            <w:tcW w:type="dxa" w:w="5112"/>
            <w:vAlign w:val="center"/>
          </w:tcPr>
          <w:p>
            <w:r/>
            <w:r>
              <w:rPr>
                <w:rFonts w:ascii="Arial" w:hAnsi="Arial"/>
                <w:b w:val="0"/>
                <w:sz w:val="16"/>
              </w:rPr>
              <w:t>Pending governed review and lock</w:t>
            </w:r>
          </w:p>
        </w:tc>
      </w:tr>
    </w:tbl>
    <w:p>
      <w:r>
        <w:br w:type="page"/>
      </w:r>
    </w:p>
    <w:p>
      <w:pPr>
        <w:pStyle w:val="Heading1"/>
      </w:pPr>
      <w:r>
        <w:t>Document Control</w:t>
      </w:r>
    </w:p>
    <w:p>
      <w:r>
        <w:t>This specification is the controlled Phase 10 baseline. Implementation teams shall use the CSV, JSON, OpenAPI, workflow, rule, test, traceability, and workbook artifacts in this package as coordinated source material. Conflicts are resolved through Phase 01 governance and a recorded change request.</w:t>
      </w:r>
    </w:p>
    <w:p>
      <w:pPr>
        <w:pStyle w:val="Heading2"/>
      </w:pPr>
      <w:r>
        <w:t>Controlled Artifact Totals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17365D"/>
          </w:tcPr>
          <w:p>
            <w:r/>
            <w:r>
              <w:rPr>
                <w:rFonts w:ascii="Arial" w:hAnsi="Arial"/>
                <w:b/>
                <w:color w:val="FFFFFF"/>
                <w:sz w:val="16"/>
              </w:rPr>
              <w:t>Artifact</w:t>
            </w:r>
          </w:p>
        </w:tc>
        <w:tc>
          <w:tcPr>
            <w:tcW w:type="dxa" w:w="5112"/>
            <w:vAlign w:val="center"/>
            <w:shd w:fill="17365D"/>
          </w:tcPr>
          <w:p>
            <w:r/>
            <w:r>
              <w:rPr>
                <w:rFonts w:ascii="Arial" w:hAnsi="Arial"/>
                <w:b/>
                <w:color w:val="FFFFFF"/>
                <w:sz w:val="16"/>
              </w:rPr>
              <w:t>Count</w:t>
            </w:r>
          </w:p>
        </w:tc>
      </w:tr>
      <w:tr>
        <w:tc>
          <w:tcPr>
            <w:tcW w:type="dxa" w:w="5112"/>
            <w:vAlign w:val="center"/>
          </w:tcPr>
          <w:p>
            <w:r/>
            <w:r>
              <w:rPr>
                <w:rFonts w:ascii="Arial" w:hAnsi="Arial"/>
                <w:b w:val="0"/>
                <w:sz w:val="16"/>
              </w:rPr>
              <w:t>Requirements</w:t>
            </w:r>
          </w:p>
        </w:tc>
        <w:tc>
          <w:tcPr>
            <w:tcW w:type="dxa" w:w="5112"/>
            <w:vAlign w:val="center"/>
          </w:tcPr>
          <w:p>
            <w:r/>
            <w:r>
              <w:rPr>
                <w:rFonts w:ascii="Arial" w:hAnsi="Arial"/>
                <w:b w:val="0"/>
                <w:sz w:val="16"/>
              </w:rPr>
              <w:t>240</w:t>
            </w:r>
          </w:p>
        </w:tc>
      </w:tr>
      <w:tr>
        <w:tc>
          <w:tcPr>
            <w:tcW w:type="dxa" w:w="5112"/>
            <w:vAlign w:val="center"/>
          </w:tcPr>
          <w:p>
            <w:r/>
            <w:r>
              <w:rPr>
                <w:rFonts w:ascii="Arial" w:hAnsi="Arial"/>
                <w:b w:val="0"/>
                <w:sz w:val="16"/>
              </w:rPr>
              <w:t>Canonical entities</w:t>
            </w:r>
          </w:p>
        </w:tc>
        <w:tc>
          <w:tcPr>
            <w:tcW w:type="dxa" w:w="5112"/>
            <w:vAlign w:val="center"/>
          </w:tcPr>
          <w:p>
            <w:r/>
            <w:r>
              <w:rPr>
                <w:rFonts w:ascii="Arial" w:hAnsi="Arial"/>
                <w:b w:val="0"/>
                <w:sz w:val="16"/>
              </w:rPr>
              <w:t>110</w:t>
            </w:r>
          </w:p>
        </w:tc>
      </w:tr>
      <w:tr>
        <w:tc>
          <w:tcPr>
            <w:tcW w:type="dxa" w:w="5112"/>
            <w:vAlign w:val="center"/>
          </w:tcPr>
          <w:p>
            <w:r/>
            <w:r>
              <w:rPr>
                <w:rFonts w:ascii="Arial" w:hAnsi="Arial"/>
                <w:b w:val="0"/>
                <w:sz w:val="16"/>
              </w:rPr>
              <w:t>Data dictionary fields</w:t>
            </w:r>
          </w:p>
        </w:tc>
        <w:tc>
          <w:tcPr>
            <w:tcW w:type="dxa" w:w="5112"/>
            <w:vAlign w:val="center"/>
          </w:tcPr>
          <w:p>
            <w:r/>
            <w:r>
              <w:rPr>
                <w:rFonts w:ascii="Arial" w:hAnsi="Arial"/>
                <w:b w:val="0"/>
                <w:sz w:val="16"/>
              </w:rPr>
              <w:t>150</w:t>
            </w:r>
          </w:p>
        </w:tc>
      </w:tr>
      <w:tr>
        <w:tc>
          <w:tcPr>
            <w:tcW w:type="dxa" w:w="5112"/>
            <w:vAlign w:val="center"/>
          </w:tcPr>
          <w:p>
            <w:r/>
            <w:r>
              <w:rPr>
                <w:rFonts w:ascii="Arial" w:hAnsi="Arial"/>
                <w:b w:val="0"/>
                <w:sz w:val="16"/>
              </w:rPr>
              <w:t>Business rules</w:t>
            </w:r>
          </w:p>
        </w:tc>
        <w:tc>
          <w:tcPr>
            <w:tcW w:type="dxa" w:w="5112"/>
            <w:vAlign w:val="center"/>
          </w:tcPr>
          <w:p>
            <w:r/>
            <w:r>
              <w:rPr>
                <w:rFonts w:ascii="Arial" w:hAnsi="Arial"/>
                <w:b w:val="0"/>
                <w:sz w:val="16"/>
              </w:rPr>
              <w:t>40</w:t>
            </w:r>
          </w:p>
        </w:tc>
      </w:tr>
      <w:tr>
        <w:tc>
          <w:tcPr>
            <w:tcW w:type="dxa" w:w="5112"/>
            <w:vAlign w:val="center"/>
          </w:tcPr>
          <w:p>
            <w:r/>
            <w:r>
              <w:rPr>
                <w:rFonts w:ascii="Arial" w:hAnsi="Arial"/>
                <w:b w:val="0"/>
                <w:sz w:val="16"/>
              </w:rPr>
              <w:t>Validation rules</w:t>
            </w:r>
          </w:p>
        </w:tc>
        <w:tc>
          <w:tcPr>
            <w:tcW w:type="dxa" w:w="5112"/>
            <w:vAlign w:val="center"/>
          </w:tcPr>
          <w:p>
            <w:r/>
            <w:r>
              <w:rPr>
                <w:rFonts w:ascii="Arial" w:hAnsi="Arial"/>
                <w:b w:val="0"/>
                <w:sz w:val="16"/>
              </w:rPr>
              <w:t>40</w:t>
            </w:r>
          </w:p>
        </w:tc>
      </w:tr>
      <w:tr>
        <w:tc>
          <w:tcPr>
            <w:tcW w:type="dxa" w:w="5112"/>
            <w:vAlign w:val="center"/>
          </w:tcPr>
          <w:p>
            <w:r/>
            <w:r>
              <w:rPr>
                <w:rFonts w:ascii="Arial" w:hAnsi="Arial"/>
                <w:b w:val="0"/>
                <w:sz w:val="16"/>
              </w:rPr>
              <w:t>Workflows</w:t>
            </w:r>
          </w:p>
        </w:tc>
        <w:tc>
          <w:tcPr>
            <w:tcW w:type="dxa" w:w="5112"/>
            <w:vAlign w:val="center"/>
          </w:tcPr>
          <w:p>
            <w:r/>
            <w:r>
              <w:rPr>
                <w:rFonts w:ascii="Arial" w:hAnsi="Arial"/>
                <w:b w:val="0"/>
                <w:sz w:val="16"/>
              </w:rPr>
              <w:t>20</w:t>
            </w:r>
          </w:p>
        </w:tc>
      </w:tr>
      <w:tr>
        <w:tc>
          <w:tcPr>
            <w:tcW w:type="dxa" w:w="5112"/>
            <w:vAlign w:val="center"/>
          </w:tcPr>
          <w:p>
            <w:r/>
            <w:r>
              <w:rPr>
                <w:rFonts w:ascii="Arial" w:hAnsi="Arial"/>
                <w:b w:val="0"/>
                <w:sz w:val="16"/>
              </w:rPr>
              <w:t>Engines</w:t>
            </w:r>
          </w:p>
        </w:tc>
        <w:tc>
          <w:tcPr>
            <w:tcW w:type="dxa" w:w="5112"/>
            <w:vAlign w:val="center"/>
          </w:tcPr>
          <w:p>
            <w:r/>
            <w:r>
              <w:rPr>
                <w:rFonts w:ascii="Arial" w:hAnsi="Arial"/>
                <w:b w:val="0"/>
                <w:sz w:val="16"/>
              </w:rPr>
              <w:t>25</w:t>
            </w:r>
          </w:p>
        </w:tc>
      </w:tr>
      <w:tr>
        <w:tc>
          <w:tcPr>
            <w:tcW w:type="dxa" w:w="5112"/>
            <w:vAlign w:val="center"/>
          </w:tcPr>
          <w:p>
            <w:r/>
            <w:r>
              <w:rPr>
                <w:rFonts w:ascii="Arial" w:hAnsi="Arial"/>
                <w:b w:val="0"/>
                <w:sz w:val="16"/>
              </w:rPr>
              <w:t>API endpoints</w:t>
            </w:r>
          </w:p>
        </w:tc>
        <w:tc>
          <w:tcPr>
            <w:tcW w:type="dxa" w:w="5112"/>
            <w:vAlign w:val="center"/>
          </w:tcPr>
          <w:p>
            <w:r/>
            <w:r>
              <w:rPr>
                <w:rFonts w:ascii="Arial" w:hAnsi="Arial"/>
                <w:b w:val="0"/>
                <w:sz w:val="16"/>
              </w:rPr>
              <w:t>32</w:t>
            </w:r>
          </w:p>
        </w:tc>
      </w:tr>
      <w:tr>
        <w:tc>
          <w:tcPr>
            <w:tcW w:type="dxa" w:w="5112"/>
            <w:vAlign w:val="center"/>
          </w:tcPr>
          <w:p>
            <w:r/>
            <w:r>
              <w:rPr>
                <w:rFonts w:ascii="Arial" w:hAnsi="Arial"/>
                <w:b w:val="0"/>
                <w:sz w:val="16"/>
              </w:rPr>
              <w:t>UI/UX surfaces</w:t>
            </w:r>
          </w:p>
        </w:tc>
        <w:tc>
          <w:tcPr>
            <w:tcW w:type="dxa" w:w="5112"/>
            <w:vAlign w:val="center"/>
          </w:tcPr>
          <w:p>
            <w:r/>
            <w:r>
              <w:rPr>
                <w:rFonts w:ascii="Arial" w:hAnsi="Arial"/>
                <w:b w:val="0"/>
                <w:sz w:val="16"/>
              </w:rPr>
              <w:t>18</w:t>
            </w:r>
          </w:p>
        </w:tc>
      </w:tr>
      <w:tr>
        <w:tc>
          <w:tcPr>
            <w:tcW w:type="dxa" w:w="5112"/>
            <w:vAlign w:val="center"/>
          </w:tcPr>
          <w:p>
            <w:r/>
            <w:r>
              <w:rPr>
                <w:rFonts w:ascii="Arial" w:hAnsi="Arial"/>
                <w:b w:val="0"/>
                <w:sz w:val="16"/>
              </w:rPr>
              <w:t>Reports</w:t>
            </w:r>
          </w:p>
        </w:tc>
        <w:tc>
          <w:tcPr>
            <w:tcW w:type="dxa" w:w="5112"/>
            <w:vAlign w:val="center"/>
          </w:tcPr>
          <w:p>
            <w:r/>
            <w:r>
              <w:rPr>
                <w:rFonts w:ascii="Arial" w:hAnsi="Arial"/>
                <w:b w:val="0"/>
                <w:sz w:val="16"/>
              </w:rPr>
              <w:t>18</w:t>
            </w:r>
          </w:p>
        </w:tc>
      </w:tr>
      <w:tr>
        <w:tc>
          <w:tcPr>
            <w:tcW w:type="dxa" w:w="5112"/>
            <w:vAlign w:val="center"/>
          </w:tcPr>
          <w:p>
            <w:r/>
            <w:r>
              <w:rPr>
                <w:rFonts w:ascii="Arial" w:hAnsi="Arial"/>
                <w:b w:val="0"/>
                <w:sz w:val="16"/>
              </w:rPr>
              <w:t>KPIs</w:t>
            </w:r>
          </w:p>
        </w:tc>
        <w:tc>
          <w:tcPr>
            <w:tcW w:type="dxa" w:w="5112"/>
            <w:vAlign w:val="center"/>
          </w:tcPr>
          <w:p>
            <w:r/>
            <w:r>
              <w:rPr>
                <w:rFonts w:ascii="Arial" w:hAnsi="Arial"/>
                <w:b w:val="0"/>
                <w:sz w:val="16"/>
              </w:rPr>
              <w:t>30</w:t>
            </w:r>
          </w:p>
        </w:tc>
      </w:tr>
      <w:tr>
        <w:tc>
          <w:tcPr>
            <w:tcW w:type="dxa" w:w="5112"/>
            <w:vAlign w:val="center"/>
          </w:tcPr>
          <w:p>
            <w:r/>
            <w:r>
              <w:rPr>
                <w:rFonts w:ascii="Arial" w:hAnsi="Arial"/>
                <w:b w:val="0"/>
                <w:sz w:val="16"/>
              </w:rPr>
              <w:t>Mapped test cases</w:t>
            </w:r>
          </w:p>
        </w:tc>
        <w:tc>
          <w:tcPr>
            <w:tcW w:type="dxa" w:w="5112"/>
            <w:vAlign w:val="center"/>
          </w:tcPr>
          <w:p>
            <w:r/>
            <w:r>
              <w:rPr>
                <w:rFonts w:ascii="Arial" w:hAnsi="Arial"/>
                <w:b w:val="0"/>
                <w:sz w:val="16"/>
              </w:rPr>
              <w:t>240</w:t>
            </w:r>
          </w:p>
        </w:tc>
      </w:tr>
    </w:tbl>
    <w:p>
      <w:pPr>
        <w:pStyle w:val="Heading1"/>
      </w:pPr>
      <w:r>
        <w:t>Executive Summary</w:t>
      </w:r>
    </w:p>
    <w:p>
      <w:r>
        <w:t>Phase 10 defines a construction-specific financial management and accounting platform that converts approved operational events into controlled financial records. The design integrates project estimating, contracts, field production, workforce, equipment, procurement, billing, cash, and statutory obligations while preserving complete source-to-statement traceability.</w:t>
      </w:r>
    </w:p>
    <w:p>
      <w:pPr>
        <w:pStyle w:val="Heading1"/>
      </w:pPr>
      <w:r>
        <w:t>Scope and Objectives</w:t>
      </w:r>
    </w:p>
    <w:p>
      <w:r>
        <w:t>The phase covers financial core and governance, general ledger, accounts payable, accounts receivable, construction billing, job cost, commitments, budgeting, forecasting, WIP and revenue recognition, payroll accounting integration, cash and treasury, banking, fixed assets, tax support, consolidation, reporting, AI finance, portals, mobile approvals, integrations, deployment, and testing.</w:t>
      </w:r>
    </w:p>
    <w:p>
      <w:pPr>
        <w:pStyle w:val="Heading1"/>
      </w:pPr>
      <w:r>
        <w:t>Architecture Principles</w:t>
      </w:r>
    </w:p>
    <w:p>
      <w:r>
        <w:t>The platform is multi-tenant, multi-company, event-driven, API-first, auditable, configurable, white-label capable, and AI-native. Financial postings are immutable. Corrections use reversals and governed adjustments. Operational systems remain the source of approved business events while the financial ledger remains the source of posted accounting truth.</w:t>
      </w:r>
    </w:p>
    <w:p>
      <w:pPr>
        <w:pStyle w:val="Heading1"/>
      </w:pPr>
      <w:r>
        <w:t>Financial Digital Twin</w:t>
      </w:r>
    </w:p>
    <w:p>
      <w:r>
        <w:t>The Financial Digital Twin continuously combines estimates, contract values, approved changes, project production, labor and equipment costs, procurement commitments, invoices, billing, collections, payroll, cash, assets, tax, forecasts, WIP, and risk signals. It presents current state, historical reconstruction, scenario forecasts, and source-linked exceptions without replacing the general ledger.</w:t>
      </w:r>
    </w:p>
    <w:p>
      <w:pPr>
        <w:pStyle w:val="Heading1"/>
      </w:pPr>
      <w:r>
        <w:t>General Ledger and Close</w:t>
      </w:r>
    </w:p>
    <w:p>
      <w:r>
        <w:t>The general ledger supports configurable charts of accounts, accounting dimensions, journal workflows, recurring entries, allocations, intercompany accounting, eliminations, consolidations, fiscal calendars, period locks, trial balance snapshots, close checklists, and audit evidence. Every posted batch must balance and retain origin lineage.</w:t>
      </w:r>
    </w:p>
    <w:p>
      <w:pPr>
        <w:pStyle w:val="Heading1"/>
      </w:pPr>
      <w:r>
        <w:t>Accounts Payable and Payments</w:t>
      </w:r>
    </w:p>
    <w:p>
      <w:r>
        <w:t>AP supports capture, duplicate detection, coding, purchase order and receipt matching, tax and retainage, approval routing, payment terms, payment batches, ACH/check/wire controls, positive pay, vendor aging, information-reporting readiness, and vendor portal visibility. Vendor bank changes require enhanced verification and segregation of duties.</w:t>
      </w:r>
    </w:p>
    <w:p>
      <w:pPr>
        <w:pStyle w:val="Heading1"/>
      </w:pPr>
      <w:r>
        <w:t>Accounts Receivable and Collections</w:t>
      </w:r>
    </w:p>
    <w:p>
      <w:r>
        <w:t>AR supports progress, T&amp;M, unit-price, milestone, and standard invoicing; cash receipts; application; retainage; credit limits; disputes; collections; aging; and bad debt support. Billing records connect directly to contracts, schedules of values, approved quantities, customer communications, and project financial forecasts.</w:t>
      </w:r>
    </w:p>
    <w:p>
      <w:pPr>
        <w:pStyle w:val="Heading1"/>
      </w:pPr>
      <w:r>
        <w:t>Job Cost, Forecasting, and WIP</w:t>
      </w:r>
    </w:p>
    <w:p>
      <w:r>
        <w:t>Job cost captures labor, equipment, material, subcontract, burden, overhead, accrual, commitment, and adjustment transactions by project and controlled dimensions. Forecasts maintain version history and approval. WIP calculates earned revenue and over/under billings using approved methods, source evidence, and period-specific snapshots.</w:t>
      </w:r>
    </w:p>
    <w:p>
      <w:pPr>
        <w:pStyle w:val="Heading1"/>
      </w:pPr>
      <w:r>
        <w:t>Payroll, Union, and Prevailing Wage Accounting</w:t>
      </w:r>
    </w:p>
    <w:p>
      <w:r>
        <w:t>Phase 09 remains the workforce system of record. Phase 10 receives approved payroll distributions, burdens, union fringe liabilities, prevailing-wage adjustments, deductions, certified payroll records, and accruals. Payroll batches must reconcile to payroll control totals, project job cost, liabilities, cash, and the general ledger.</w:t>
      </w:r>
    </w:p>
    <w:p>
      <w:pPr>
        <w:pStyle w:val="Heading1"/>
      </w:pPr>
      <w:r>
        <w:t>Cash, Treasury, and Banking</w:t>
      </w:r>
    </w:p>
    <w:p>
      <w:r>
        <w:t>Treasury functions include bank master records, statement imports, reconciliations, cash positions, forecasts, transfers, payment controls, lockbox support, and exception management. Cash forecasts combine expected receipts, approved disbursements, payroll, taxes, commitments, and scenario assumptions.</w:t>
      </w:r>
    </w:p>
    <w:p>
      <w:pPr>
        <w:pStyle w:val="Heading1"/>
      </w:pPr>
      <w:r>
        <w:t>Fixed Assets and Tax</w:t>
      </w:r>
    </w:p>
    <w:p>
      <w:r>
        <w:t>Fixed assets support capitalization, multiple books, depreciation, transfers, impairment, disposals, and reconciliation to fleet and equipment records. Tax capabilities provide governed calculation and workpaper support for sales/use, fuel, property, payroll, and information reporting; statutory filing remains subject to authorized human review.</w:t>
      </w:r>
    </w:p>
    <w:p>
      <w:pPr>
        <w:pStyle w:val="Heading1"/>
      </w:pPr>
      <w:r>
        <w:t>AI Financial Intelligence</w:t>
      </w:r>
    </w:p>
    <w:p>
      <w:r>
        <w:t>AI can recommend invoice coding, match candidates, anomaly flags, forecast scenarios, variance explanations, collection priorities, cash actions, and executive narratives. High-impact actions remain human-controlled. AI records confidence, source references, assumptions, model version, prompt version, decision, and outcome feedback.</w:t>
      </w:r>
    </w:p>
    <w:p>
      <w:pPr>
        <w:pStyle w:val="Heading1"/>
      </w:pPr>
      <w:r>
        <w:t>Security and Internal Control</w:t>
      </w:r>
    </w:p>
    <w:p>
      <w:r>
        <w:t>Controls include least privilege, tenant isolation, segregation of duties, approval thresholds, dual control for payments and banking changes, encryption, audit logging, evidence retention, anomaly monitoring, export governance, and emergency-access review. Sensitive financial and personal data is minimized and access is logged.</w:t>
      </w:r>
    </w:p>
    <w:p>
      <w:pPr>
        <w:pStyle w:val="Heading1"/>
      </w:pPr>
      <w:r>
        <w:t>Integration and Migration</w:t>
      </w:r>
    </w:p>
    <w:p>
      <w:r>
        <w:t>Phase 10 consumes governed records from Phases 03-09 and publishes financial results through APIs and events. Imports are staged, validated, balanced, approved, and reconciled. Cutover requires signed opening balances and parallel reconciliation. Integrations must be idempotent, observable, retry-safe, and replayable.</w:t>
      </w:r>
    </w:p>
    <w:p>
      <w:pPr>
        <w:pStyle w:val="Heading1"/>
      </w:pPr>
      <w:r>
        <w:t>Testing and Acceptance</w:t>
      </w:r>
    </w:p>
    <w:p>
      <w:r>
        <w:t>Acceptance requires requirement-mapped tests, subledger-to-ledger reconciliation, security and segregation tests, closed-period controls, workflow and approval tests, performance and volume tests, migration reconciliation, report tie-outs, AI governance tests, mobile revalidation, disaster recovery, and signed business UAT.</w:t>
      </w:r>
    </w:p>
    <w:p>
      <w:pPr>
        <w:pStyle w:val="Heading1"/>
      </w:pPr>
      <w:r>
        <w:t>Functional Domain Catalog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7365D"/>
          </w:tcPr>
          <w:p>
            <w:r/>
            <w:r>
              <w:rPr>
                <w:rFonts w:ascii="Arial" w:hAnsi="Arial"/>
                <w:b/>
                <w:color w:val="FFFFFF"/>
                <w:sz w:val="16"/>
              </w:rPr>
              <w:t>Code</w:t>
            </w:r>
          </w:p>
        </w:tc>
        <w:tc>
          <w:tcPr>
            <w:tcW w:type="dxa" w:w="3408"/>
            <w:vAlign w:val="center"/>
            <w:shd w:fill="17365D"/>
          </w:tcPr>
          <w:p>
            <w:r/>
            <w:r>
              <w:rPr>
                <w:rFonts w:ascii="Arial" w:hAnsi="Arial"/>
                <w:b/>
                <w:color w:val="FFFFFF"/>
                <w:sz w:val="16"/>
              </w:rPr>
              <w:t>Domain</w:t>
            </w:r>
          </w:p>
        </w:tc>
        <w:tc>
          <w:tcPr>
            <w:tcW w:type="dxa" w:w="3408"/>
            <w:vAlign w:val="center"/>
            <w:shd w:fill="17365D"/>
          </w:tcPr>
          <w:p>
            <w:r/>
            <w:r>
              <w:rPr>
                <w:rFonts w:ascii="Arial" w:hAnsi="Arial"/>
                <w:b/>
                <w:color w:val="FFFFFF"/>
                <w:sz w:val="16"/>
              </w:rPr>
              <w:t>Scope</w:t>
            </w:r>
          </w:p>
        </w:tc>
      </w:tr>
      <w:tr>
        <w:tc>
          <w:tcPr>
            <w:tcW w:type="dxa" w:w="3408"/>
            <w:vAlign w:val="center"/>
          </w:tcPr>
          <w:p>
            <w:r/>
            <w:r>
              <w:rPr>
                <w:rFonts w:ascii="Arial" w:hAnsi="Arial"/>
                <w:b w:val="0"/>
                <w:sz w:val="16"/>
              </w:rPr>
              <w:t>FIN-CORE</w:t>
            </w:r>
          </w:p>
        </w:tc>
        <w:tc>
          <w:tcPr>
            <w:tcW w:type="dxa" w:w="3408"/>
            <w:vAlign w:val="center"/>
          </w:tcPr>
          <w:p>
            <w:r/>
            <w:r>
              <w:rPr>
                <w:rFonts w:ascii="Arial" w:hAnsi="Arial"/>
                <w:b w:val="0"/>
                <w:sz w:val="16"/>
              </w:rPr>
              <w:t>Financial Core &amp; Governance</w:t>
            </w:r>
          </w:p>
        </w:tc>
        <w:tc>
          <w:tcPr>
            <w:tcW w:type="dxa" w:w="3408"/>
            <w:vAlign w:val="center"/>
          </w:tcPr>
          <w:p>
            <w:r/>
            <w:r>
              <w:rPr>
                <w:rFonts w:ascii="Arial" w:hAnsi="Arial"/>
                <w:b w:val="0"/>
                <w:sz w:val="16"/>
              </w:rPr>
              <w:t>multi-company, multi-entity, fiscal calendars, chart of accounts, periods, currencies, and financial controls</w:t>
            </w:r>
          </w:p>
        </w:tc>
      </w:tr>
      <w:tr>
        <w:tc>
          <w:tcPr>
            <w:tcW w:type="dxa" w:w="3408"/>
            <w:vAlign w:val="center"/>
          </w:tcPr>
          <w:p>
            <w:r/>
            <w:r>
              <w:rPr>
                <w:rFonts w:ascii="Arial" w:hAnsi="Arial"/>
                <w:b w:val="0"/>
                <w:sz w:val="16"/>
              </w:rPr>
              <w:t>GL</w:t>
            </w:r>
          </w:p>
        </w:tc>
        <w:tc>
          <w:tcPr>
            <w:tcW w:type="dxa" w:w="3408"/>
            <w:vAlign w:val="center"/>
          </w:tcPr>
          <w:p>
            <w:r/>
            <w:r>
              <w:rPr>
                <w:rFonts w:ascii="Arial" w:hAnsi="Arial"/>
                <w:b w:val="0"/>
                <w:sz w:val="16"/>
              </w:rPr>
              <w:t>General Ledger</w:t>
            </w:r>
          </w:p>
        </w:tc>
        <w:tc>
          <w:tcPr>
            <w:tcW w:type="dxa" w:w="3408"/>
            <w:vAlign w:val="center"/>
          </w:tcPr>
          <w:p>
            <w:r/>
            <w:r>
              <w:rPr>
                <w:rFonts w:ascii="Arial" w:hAnsi="Arial"/>
                <w:b w:val="0"/>
                <w:sz w:val="16"/>
              </w:rPr>
              <w:t>journal entries, recurring journals, allocations, intercompany, consolidation, trial balance, and close</w:t>
            </w:r>
          </w:p>
        </w:tc>
      </w:tr>
      <w:tr>
        <w:tc>
          <w:tcPr>
            <w:tcW w:type="dxa" w:w="3408"/>
            <w:vAlign w:val="center"/>
          </w:tcPr>
          <w:p>
            <w:r/>
            <w:r>
              <w:rPr>
                <w:rFonts w:ascii="Arial" w:hAnsi="Arial"/>
                <w:b w:val="0"/>
                <w:sz w:val="16"/>
              </w:rPr>
              <w:t>AP</w:t>
            </w:r>
          </w:p>
        </w:tc>
        <w:tc>
          <w:tcPr>
            <w:tcW w:type="dxa" w:w="3408"/>
            <w:vAlign w:val="center"/>
          </w:tcPr>
          <w:p>
            <w:r/>
            <w:r>
              <w:rPr>
                <w:rFonts w:ascii="Arial" w:hAnsi="Arial"/>
                <w:b w:val="0"/>
                <w:sz w:val="16"/>
              </w:rPr>
              <w:t>Accounts Payable</w:t>
            </w:r>
          </w:p>
        </w:tc>
        <w:tc>
          <w:tcPr>
            <w:tcW w:type="dxa" w:w="3408"/>
            <w:vAlign w:val="center"/>
          </w:tcPr>
          <w:p>
            <w:r/>
            <w:r>
              <w:rPr>
                <w:rFonts w:ascii="Arial" w:hAnsi="Arial"/>
                <w:b w:val="0"/>
                <w:sz w:val="16"/>
              </w:rPr>
              <w:t>vendor invoices, credits, approval, three-way match, retainage, payment processing, and 1099 readiness</w:t>
            </w:r>
          </w:p>
        </w:tc>
      </w:tr>
      <w:tr>
        <w:tc>
          <w:tcPr>
            <w:tcW w:type="dxa" w:w="3408"/>
            <w:vAlign w:val="center"/>
          </w:tcPr>
          <w:p>
            <w:r/>
            <w:r>
              <w:rPr>
                <w:rFonts w:ascii="Arial" w:hAnsi="Arial"/>
                <w:b w:val="0"/>
                <w:sz w:val="16"/>
              </w:rPr>
              <w:t>AR</w:t>
            </w:r>
          </w:p>
        </w:tc>
        <w:tc>
          <w:tcPr>
            <w:tcW w:type="dxa" w:w="3408"/>
            <w:vAlign w:val="center"/>
          </w:tcPr>
          <w:p>
            <w:r/>
            <w:r>
              <w:rPr>
                <w:rFonts w:ascii="Arial" w:hAnsi="Arial"/>
                <w:b w:val="0"/>
                <w:sz w:val="16"/>
              </w:rPr>
              <w:t>Accounts Receivable</w:t>
            </w:r>
          </w:p>
        </w:tc>
        <w:tc>
          <w:tcPr>
            <w:tcW w:type="dxa" w:w="3408"/>
            <w:vAlign w:val="center"/>
          </w:tcPr>
          <w:p>
            <w:r/>
            <w:r>
              <w:rPr>
                <w:rFonts w:ascii="Arial" w:hAnsi="Arial"/>
                <w:b w:val="0"/>
                <w:sz w:val="16"/>
              </w:rPr>
              <w:t>customer invoicing, cash receipts, collections, credit controls, retainage, and aging</w:t>
            </w:r>
          </w:p>
        </w:tc>
      </w:tr>
      <w:tr>
        <w:tc>
          <w:tcPr>
            <w:tcW w:type="dxa" w:w="3408"/>
            <w:vAlign w:val="center"/>
          </w:tcPr>
          <w:p>
            <w:r/>
            <w:r>
              <w:rPr>
                <w:rFonts w:ascii="Arial" w:hAnsi="Arial"/>
                <w:b w:val="0"/>
                <w:sz w:val="16"/>
              </w:rPr>
              <w:t>JC</w:t>
            </w:r>
          </w:p>
        </w:tc>
        <w:tc>
          <w:tcPr>
            <w:tcW w:type="dxa" w:w="3408"/>
            <w:vAlign w:val="center"/>
          </w:tcPr>
          <w:p>
            <w:r/>
            <w:r>
              <w:rPr>
                <w:rFonts w:ascii="Arial" w:hAnsi="Arial"/>
                <w:b w:val="0"/>
                <w:sz w:val="16"/>
              </w:rPr>
              <w:t>Job Cost &amp; WIP</w:t>
            </w:r>
          </w:p>
        </w:tc>
        <w:tc>
          <w:tcPr>
            <w:tcW w:type="dxa" w:w="3408"/>
            <w:vAlign w:val="center"/>
          </w:tcPr>
          <w:p>
            <w:r/>
            <w:r>
              <w:rPr>
                <w:rFonts w:ascii="Arial" w:hAnsi="Arial"/>
                <w:b w:val="0"/>
                <w:sz w:val="16"/>
              </w:rPr>
              <w:t>cost codes, commitments, actuals, forecasts, earned revenue, WIP, and over/under billings</w:t>
            </w:r>
          </w:p>
        </w:tc>
      </w:tr>
      <w:tr>
        <w:tc>
          <w:tcPr>
            <w:tcW w:type="dxa" w:w="3408"/>
            <w:vAlign w:val="center"/>
          </w:tcPr>
          <w:p>
            <w:r/>
            <w:r>
              <w:rPr>
                <w:rFonts w:ascii="Arial" w:hAnsi="Arial"/>
                <w:b w:val="0"/>
                <w:sz w:val="16"/>
              </w:rPr>
              <w:t>BILL</w:t>
            </w:r>
          </w:p>
        </w:tc>
        <w:tc>
          <w:tcPr>
            <w:tcW w:type="dxa" w:w="3408"/>
            <w:vAlign w:val="center"/>
          </w:tcPr>
          <w:p>
            <w:r/>
            <w:r>
              <w:rPr>
                <w:rFonts w:ascii="Arial" w:hAnsi="Arial"/>
                <w:b w:val="0"/>
                <w:sz w:val="16"/>
              </w:rPr>
              <w:t>Construction Billing</w:t>
            </w:r>
          </w:p>
        </w:tc>
        <w:tc>
          <w:tcPr>
            <w:tcW w:type="dxa" w:w="3408"/>
            <w:vAlign w:val="center"/>
          </w:tcPr>
          <w:p>
            <w:r/>
            <w:r>
              <w:rPr>
                <w:rFonts w:ascii="Arial" w:hAnsi="Arial"/>
                <w:b w:val="0"/>
                <w:sz w:val="16"/>
              </w:rPr>
              <w:t>AIA-style progress billing, schedule of values, T&amp;M, unit price, milestone, stored materials, and lien controls</w:t>
            </w:r>
          </w:p>
        </w:tc>
      </w:tr>
      <w:tr>
        <w:tc>
          <w:tcPr>
            <w:tcW w:type="dxa" w:w="3408"/>
            <w:vAlign w:val="center"/>
          </w:tcPr>
          <w:p>
            <w:r/>
            <w:r>
              <w:rPr>
                <w:rFonts w:ascii="Arial" w:hAnsi="Arial"/>
                <w:b w:val="0"/>
                <w:sz w:val="16"/>
              </w:rPr>
              <w:t>PAY</w:t>
            </w:r>
          </w:p>
        </w:tc>
        <w:tc>
          <w:tcPr>
            <w:tcW w:type="dxa" w:w="3408"/>
            <w:vAlign w:val="center"/>
          </w:tcPr>
          <w:p>
            <w:r/>
            <w:r>
              <w:rPr>
                <w:rFonts w:ascii="Arial" w:hAnsi="Arial"/>
                <w:b w:val="0"/>
                <w:sz w:val="16"/>
              </w:rPr>
              <w:t>Payroll Accounting Integration</w:t>
            </w:r>
          </w:p>
        </w:tc>
        <w:tc>
          <w:tcPr>
            <w:tcW w:type="dxa" w:w="3408"/>
            <w:vAlign w:val="center"/>
          </w:tcPr>
          <w:p>
            <w:r/>
            <w:r>
              <w:rPr>
                <w:rFonts w:ascii="Arial" w:hAnsi="Arial"/>
                <w:b w:val="0"/>
                <w:sz w:val="16"/>
              </w:rPr>
              <w:t>labor distribution, burdens, union fringes, prevailing wage, certified payroll, and payroll posting</w:t>
            </w:r>
          </w:p>
        </w:tc>
      </w:tr>
      <w:tr>
        <w:tc>
          <w:tcPr>
            <w:tcW w:type="dxa" w:w="3408"/>
            <w:vAlign w:val="center"/>
          </w:tcPr>
          <w:p>
            <w:r/>
            <w:r>
              <w:rPr>
                <w:rFonts w:ascii="Arial" w:hAnsi="Arial"/>
                <w:b w:val="0"/>
                <w:sz w:val="16"/>
              </w:rPr>
              <w:t>CASH</w:t>
            </w:r>
          </w:p>
        </w:tc>
        <w:tc>
          <w:tcPr>
            <w:tcW w:type="dxa" w:w="3408"/>
            <w:vAlign w:val="center"/>
          </w:tcPr>
          <w:p>
            <w:r/>
            <w:r>
              <w:rPr>
                <w:rFonts w:ascii="Arial" w:hAnsi="Arial"/>
                <w:b w:val="0"/>
                <w:sz w:val="16"/>
              </w:rPr>
              <w:t>Cash &amp; Treasury</w:t>
            </w:r>
          </w:p>
        </w:tc>
        <w:tc>
          <w:tcPr>
            <w:tcW w:type="dxa" w:w="3408"/>
            <w:vAlign w:val="center"/>
          </w:tcPr>
          <w:p>
            <w:r/>
            <w:r>
              <w:rPr>
                <w:rFonts w:ascii="Arial" w:hAnsi="Arial"/>
                <w:b w:val="0"/>
                <w:sz w:val="16"/>
              </w:rPr>
              <w:t>bank accounts, reconciliation, cash positioning, payment controls, positive pay, and cash forecasting</w:t>
            </w:r>
          </w:p>
        </w:tc>
      </w:tr>
      <w:tr>
        <w:tc>
          <w:tcPr>
            <w:tcW w:type="dxa" w:w="3408"/>
            <w:vAlign w:val="center"/>
          </w:tcPr>
          <w:p>
            <w:r/>
            <w:r>
              <w:rPr>
                <w:rFonts w:ascii="Arial" w:hAnsi="Arial"/>
                <w:b w:val="0"/>
                <w:sz w:val="16"/>
              </w:rPr>
              <w:t>BUD</w:t>
            </w:r>
          </w:p>
        </w:tc>
        <w:tc>
          <w:tcPr>
            <w:tcW w:type="dxa" w:w="3408"/>
            <w:vAlign w:val="center"/>
          </w:tcPr>
          <w:p>
            <w:r/>
            <w:r>
              <w:rPr>
                <w:rFonts w:ascii="Arial" w:hAnsi="Arial"/>
                <w:b w:val="0"/>
                <w:sz w:val="16"/>
              </w:rPr>
              <w:t>Budgeting &amp; Forecasting</w:t>
            </w:r>
          </w:p>
        </w:tc>
        <w:tc>
          <w:tcPr>
            <w:tcW w:type="dxa" w:w="3408"/>
            <w:vAlign w:val="center"/>
          </w:tcPr>
          <w:p>
            <w:r/>
            <w:r>
              <w:rPr>
                <w:rFonts w:ascii="Arial" w:hAnsi="Arial"/>
                <w:b w:val="0"/>
                <w:sz w:val="16"/>
              </w:rPr>
              <w:t>annual budgets, project forecasts, scenario modeling, rolling forecasts, and management approvals</w:t>
            </w:r>
          </w:p>
        </w:tc>
      </w:tr>
      <w:tr>
        <w:tc>
          <w:tcPr>
            <w:tcW w:type="dxa" w:w="3408"/>
            <w:vAlign w:val="center"/>
          </w:tcPr>
          <w:p>
            <w:r/>
            <w:r>
              <w:rPr>
                <w:rFonts w:ascii="Arial" w:hAnsi="Arial"/>
                <w:b w:val="0"/>
                <w:sz w:val="16"/>
              </w:rPr>
              <w:t>FA</w:t>
            </w:r>
          </w:p>
        </w:tc>
        <w:tc>
          <w:tcPr>
            <w:tcW w:type="dxa" w:w="3408"/>
            <w:vAlign w:val="center"/>
          </w:tcPr>
          <w:p>
            <w:r/>
            <w:r>
              <w:rPr>
                <w:rFonts w:ascii="Arial" w:hAnsi="Arial"/>
                <w:b w:val="0"/>
                <w:sz w:val="16"/>
              </w:rPr>
              <w:t>Fixed Assets</w:t>
            </w:r>
          </w:p>
        </w:tc>
        <w:tc>
          <w:tcPr>
            <w:tcW w:type="dxa" w:w="3408"/>
            <w:vAlign w:val="center"/>
          </w:tcPr>
          <w:p>
            <w:r/>
            <w:r>
              <w:rPr>
                <w:rFonts w:ascii="Arial" w:hAnsi="Arial"/>
                <w:b w:val="0"/>
                <w:sz w:val="16"/>
              </w:rPr>
              <w:t>capitalization, depreciation, transfers, disposals, impairment, and asset-to-fleet reconciliation</w:t>
            </w:r>
          </w:p>
        </w:tc>
      </w:tr>
      <w:tr>
        <w:tc>
          <w:tcPr>
            <w:tcW w:type="dxa" w:w="3408"/>
            <w:vAlign w:val="center"/>
          </w:tcPr>
          <w:p>
            <w:r/>
            <w:r>
              <w:rPr>
                <w:rFonts w:ascii="Arial" w:hAnsi="Arial"/>
                <w:b w:val="0"/>
                <w:sz w:val="16"/>
              </w:rPr>
              <w:t>TAX</w:t>
            </w:r>
          </w:p>
        </w:tc>
        <w:tc>
          <w:tcPr>
            <w:tcW w:type="dxa" w:w="3408"/>
            <w:vAlign w:val="center"/>
          </w:tcPr>
          <w:p>
            <w:r/>
            <w:r>
              <w:rPr>
                <w:rFonts w:ascii="Arial" w:hAnsi="Arial"/>
                <w:b w:val="0"/>
                <w:sz w:val="16"/>
              </w:rPr>
              <w:t>Tax &amp; Regulatory Finance</w:t>
            </w:r>
          </w:p>
        </w:tc>
        <w:tc>
          <w:tcPr>
            <w:tcW w:type="dxa" w:w="3408"/>
            <w:vAlign w:val="center"/>
          </w:tcPr>
          <w:p>
            <w:r/>
            <w:r>
              <w:rPr>
                <w:rFonts w:ascii="Arial" w:hAnsi="Arial"/>
                <w:b w:val="0"/>
                <w:sz w:val="16"/>
              </w:rPr>
              <w:t>sales/use tax, fuel tax, property tax, information reporting, and audit support</w:t>
            </w:r>
          </w:p>
        </w:tc>
      </w:tr>
      <w:tr>
        <w:tc>
          <w:tcPr>
            <w:tcW w:type="dxa" w:w="3408"/>
            <w:vAlign w:val="center"/>
          </w:tcPr>
          <w:p>
            <w:r/>
            <w:r>
              <w:rPr>
                <w:rFonts w:ascii="Arial" w:hAnsi="Arial"/>
                <w:b w:val="0"/>
                <w:sz w:val="16"/>
              </w:rPr>
              <w:t>PROC</w:t>
            </w:r>
          </w:p>
        </w:tc>
        <w:tc>
          <w:tcPr>
            <w:tcW w:type="dxa" w:w="3408"/>
            <w:vAlign w:val="center"/>
          </w:tcPr>
          <w:p>
            <w:r/>
            <w:r>
              <w:rPr>
                <w:rFonts w:ascii="Arial" w:hAnsi="Arial"/>
                <w:b w:val="0"/>
                <w:sz w:val="16"/>
              </w:rPr>
              <w:t>Procurement Finance</w:t>
            </w:r>
          </w:p>
        </w:tc>
        <w:tc>
          <w:tcPr>
            <w:tcW w:type="dxa" w:w="3408"/>
            <w:vAlign w:val="center"/>
          </w:tcPr>
          <w:p>
            <w:r/>
            <w:r>
              <w:rPr>
                <w:rFonts w:ascii="Arial" w:hAnsi="Arial"/>
                <w:b w:val="0"/>
                <w:sz w:val="16"/>
              </w:rPr>
              <w:t>purchase orders, commitments, receipts, invoice match, subcontract compliance, and budget consumption</w:t>
            </w:r>
          </w:p>
        </w:tc>
      </w:tr>
      <w:tr>
        <w:tc>
          <w:tcPr>
            <w:tcW w:type="dxa" w:w="3408"/>
            <w:vAlign w:val="center"/>
          </w:tcPr>
          <w:p>
            <w:r/>
            <w:r>
              <w:rPr>
                <w:rFonts w:ascii="Arial" w:hAnsi="Arial"/>
                <w:b w:val="0"/>
                <w:sz w:val="16"/>
              </w:rPr>
              <w:t>REV</w:t>
            </w:r>
          </w:p>
        </w:tc>
        <w:tc>
          <w:tcPr>
            <w:tcW w:type="dxa" w:w="3408"/>
            <w:vAlign w:val="center"/>
          </w:tcPr>
          <w:p>
            <w:r/>
            <w:r>
              <w:rPr>
                <w:rFonts w:ascii="Arial" w:hAnsi="Arial"/>
                <w:b w:val="0"/>
                <w:sz w:val="16"/>
              </w:rPr>
              <w:t>Revenue Recognition</w:t>
            </w:r>
          </w:p>
        </w:tc>
        <w:tc>
          <w:tcPr>
            <w:tcW w:type="dxa" w:w="3408"/>
            <w:vAlign w:val="center"/>
          </w:tcPr>
          <w:p>
            <w:r/>
            <w:r>
              <w:rPr>
                <w:rFonts w:ascii="Arial" w:hAnsi="Arial"/>
                <w:b w:val="0"/>
                <w:sz w:val="16"/>
              </w:rPr>
              <w:t>contract value, approved changes, percent complete, earned revenue, and revenue adjustments</w:t>
            </w:r>
          </w:p>
        </w:tc>
      </w:tr>
      <w:tr>
        <w:tc>
          <w:tcPr>
            <w:tcW w:type="dxa" w:w="3408"/>
            <w:vAlign w:val="center"/>
          </w:tcPr>
          <w:p>
            <w:r/>
            <w:r>
              <w:rPr>
                <w:rFonts w:ascii="Arial" w:hAnsi="Arial"/>
                <w:b w:val="0"/>
                <w:sz w:val="16"/>
              </w:rPr>
              <w:t>INT</w:t>
            </w:r>
          </w:p>
        </w:tc>
        <w:tc>
          <w:tcPr>
            <w:tcW w:type="dxa" w:w="3408"/>
            <w:vAlign w:val="center"/>
          </w:tcPr>
          <w:p>
            <w:r/>
            <w:r>
              <w:rPr>
                <w:rFonts w:ascii="Arial" w:hAnsi="Arial"/>
                <w:b w:val="0"/>
                <w:sz w:val="16"/>
              </w:rPr>
              <w:t>Integrations &amp; Data Exchange</w:t>
            </w:r>
          </w:p>
        </w:tc>
        <w:tc>
          <w:tcPr>
            <w:tcW w:type="dxa" w:w="3408"/>
            <w:vAlign w:val="center"/>
          </w:tcPr>
          <w:p>
            <w:r/>
            <w:r>
              <w:rPr>
                <w:rFonts w:ascii="Arial" w:hAnsi="Arial"/>
                <w:b w:val="0"/>
                <w:sz w:val="16"/>
              </w:rPr>
              <w:t>banking, payment processors, payroll, tax, ERP export, and controlled import/export</w:t>
            </w:r>
          </w:p>
        </w:tc>
      </w:tr>
      <w:tr>
        <w:tc>
          <w:tcPr>
            <w:tcW w:type="dxa" w:w="3408"/>
            <w:vAlign w:val="center"/>
          </w:tcPr>
          <w:p>
            <w:r/>
            <w:r>
              <w:rPr>
                <w:rFonts w:ascii="Arial" w:hAnsi="Arial"/>
                <w:b w:val="0"/>
                <w:sz w:val="16"/>
              </w:rPr>
              <w:t>AI</w:t>
            </w:r>
          </w:p>
        </w:tc>
        <w:tc>
          <w:tcPr>
            <w:tcW w:type="dxa" w:w="3408"/>
            <w:vAlign w:val="center"/>
          </w:tcPr>
          <w:p>
            <w:r/>
            <w:r>
              <w:rPr>
                <w:rFonts w:ascii="Arial" w:hAnsi="Arial"/>
                <w:b w:val="0"/>
                <w:sz w:val="16"/>
              </w:rPr>
              <w:t>AI Financial Intelligence</w:t>
            </w:r>
          </w:p>
        </w:tc>
        <w:tc>
          <w:tcPr>
            <w:tcW w:type="dxa" w:w="3408"/>
            <w:vAlign w:val="center"/>
          </w:tcPr>
          <w:p>
            <w:r/>
            <w:r>
              <w:rPr>
                <w:rFonts w:ascii="Arial" w:hAnsi="Arial"/>
                <w:b w:val="0"/>
                <w:sz w:val="16"/>
              </w:rPr>
              <w:t>coding recommendations, anomaly detection, forecasting, narrative reporting, and governed approvals</w:t>
            </w:r>
          </w:p>
        </w:tc>
      </w:tr>
      <w:tr>
        <w:tc>
          <w:tcPr>
            <w:tcW w:type="dxa" w:w="3408"/>
            <w:vAlign w:val="center"/>
          </w:tcPr>
          <w:p>
            <w:r/>
            <w:r>
              <w:rPr>
                <w:rFonts w:ascii="Arial" w:hAnsi="Arial"/>
                <w:b w:val="0"/>
                <w:sz w:val="16"/>
              </w:rPr>
              <w:t>SEC</w:t>
            </w:r>
          </w:p>
        </w:tc>
        <w:tc>
          <w:tcPr>
            <w:tcW w:type="dxa" w:w="3408"/>
            <w:vAlign w:val="center"/>
          </w:tcPr>
          <w:p>
            <w:r/>
            <w:r>
              <w:rPr>
                <w:rFonts w:ascii="Arial" w:hAnsi="Arial"/>
                <w:b w:val="0"/>
                <w:sz w:val="16"/>
              </w:rPr>
              <w:t>Security, Audit &amp; Compliance</w:t>
            </w:r>
          </w:p>
        </w:tc>
        <w:tc>
          <w:tcPr>
            <w:tcW w:type="dxa" w:w="3408"/>
            <w:vAlign w:val="center"/>
          </w:tcPr>
          <w:p>
            <w:r/>
            <w:r>
              <w:rPr>
                <w:rFonts w:ascii="Arial" w:hAnsi="Arial"/>
                <w:b w:val="0"/>
                <w:sz w:val="16"/>
              </w:rPr>
              <w:t>segregation of duties, approvals, audit evidence, retention, privacy, and tenant isolation</w:t>
            </w:r>
          </w:p>
        </w:tc>
      </w:tr>
    </w:tbl>
    <w:p>
      <w:pPr>
        <w:pStyle w:val="Heading1"/>
      </w:pPr>
      <w:r>
        <w:t>Engine Catalog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7365D"/>
          </w:tcPr>
          <w:p>
            <w:r/>
            <w:r>
              <w:rPr>
                <w:rFonts w:ascii="Arial" w:hAnsi="Arial"/>
                <w:b/>
                <w:color w:val="FFFFFF"/>
                <w:sz w:val="16"/>
              </w:rPr>
              <w:t>ID</w:t>
            </w:r>
          </w:p>
        </w:tc>
        <w:tc>
          <w:tcPr>
            <w:tcW w:type="dxa" w:w="3408"/>
            <w:vAlign w:val="center"/>
            <w:shd w:fill="17365D"/>
          </w:tcPr>
          <w:p>
            <w:r/>
            <w:r>
              <w:rPr>
                <w:rFonts w:ascii="Arial" w:hAnsi="Arial"/>
                <w:b/>
                <w:color w:val="FFFFFF"/>
                <w:sz w:val="16"/>
              </w:rPr>
              <w:t>Engine</w:t>
            </w:r>
          </w:p>
        </w:tc>
        <w:tc>
          <w:tcPr>
            <w:tcW w:type="dxa" w:w="3408"/>
            <w:vAlign w:val="center"/>
            <w:shd w:fill="17365D"/>
          </w:tcPr>
          <w:p>
            <w:r/>
            <w:r>
              <w:rPr>
                <w:rFonts w:ascii="Arial" w:hAnsi="Arial"/>
                <w:b/>
                <w:color w:val="FFFFFF"/>
                <w:sz w:val="16"/>
              </w:rPr>
              <w:t>Purpose</w:t>
            </w:r>
          </w:p>
        </w:tc>
      </w:tr>
      <w:tr>
        <w:tc>
          <w:tcPr>
            <w:tcW w:type="dxa" w:w="3408"/>
            <w:vAlign w:val="center"/>
          </w:tcPr>
          <w:p>
            <w:r/>
            <w:r>
              <w:rPr>
                <w:rFonts w:ascii="Arial" w:hAnsi="Arial"/>
                <w:b w:val="0"/>
                <w:sz w:val="16"/>
              </w:rPr>
              <w:t>ENG-P10-01</w:t>
            </w:r>
          </w:p>
        </w:tc>
        <w:tc>
          <w:tcPr>
            <w:tcW w:type="dxa" w:w="3408"/>
            <w:vAlign w:val="center"/>
          </w:tcPr>
          <w:p>
            <w:r/>
            <w:r>
              <w:rPr>
                <w:rFonts w:ascii="Arial" w:hAnsi="Arial"/>
                <w:b w:val="0"/>
                <w:sz w:val="16"/>
              </w:rPr>
              <w:t>Financial Posting Engine</w:t>
            </w:r>
          </w:p>
        </w:tc>
        <w:tc>
          <w:tcPr>
            <w:tcW w:type="dxa" w:w="3408"/>
            <w:vAlign w:val="center"/>
          </w:tcPr>
          <w:p>
            <w:r/>
            <w:r>
              <w:rPr>
                <w:rFonts w:ascii="Arial" w:hAnsi="Arial"/>
                <w:b w:val="0"/>
                <w:sz w:val="16"/>
              </w:rPr>
              <w:t>Provides governed financial posting engine services.</w:t>
            </w:r>
          </w:p>
        </w:tc>
      </w:tr>
      <w:tr>
        <w:tc>
          <w:tcPr>
            <w:tcW w:type="dxa" w:w="3408"/>
            <w:vAlign w:val="center"/>
          </w:tcPr>
          <w:p>
            <w:r/>
            <w:r>
              <w:rPr>
                <w:rFonts w:ascii="Arial" w:hAnsi="Arial"/>
                <w:b w:val="0"/>
                <w:sz w:val="16"/>
              </w:rPr>
              <w:t>ENG-P10-02</w:t>
            </w:r>
          </w:p>
        </w:tc>
        <w:tc>
          <w:tcPr>
            <w:tcW w:type="dxa" w:w="3408"/>
            <w:vAlign w:val="center"/>
          </w:tcPr>
          <w:p>
            <w:r/>
            <w:r>
              <w:rPr>
                <w:rFonts w:ascii="Arial" w:hAnsi="Arial"/>
                <w:b w:val="0"/>
                <w:sz w:val="16"/>
              </w:rPr>
              <w:t>Chart of Accounts &amp; Dimension Engine</w:t>
            </w:r>
          </w:p>
        </w:tc>
        <w:tc>
          <w:tcPr>
            <w:tcW w:type="dxa" w:w="3408"/>
            <w:vAlign w:val="center"/>
          </w:tcPr>
          <w:p>
            <w:r/>
            <w:r>
              <w:rPr>
                <w:rFonts w:ascii="Arial" w:hAnsi="Arial"/>
                <w:b w:val="0"/>
                <w:sz w:val="16"/>
              </w:rPr>
              <w:t>Provides governed chart of accounts &amp; dimension engine services.</w:t>
            </w:r>
          </w:p>
        </w:tc>
      </w:tr>
      <w:tr>
        <w:tc>
          <w:tcPr>
            <w:tcW w:type="dxa" w:w="3408"/>
            <w:vAlign w:val="center"/>
          </w:tcPr>
          <w:p>
            <w:r/>
            <w:r>
              <w:rPr>
                <w:rFonts w:ascii="Arial" w:hAnsi="Arial"/>
                <w:b w:val="0"/>
                <w:sz w:val="16"/>
              </w:rPr>
              <w:t>ENG-P10-03</w:t>
            </w:r>
          </w:p>
        </w:tc>
        <w:tc>
          <w:tcPr>
            <w:tcW w:type="dxa" w:w="3408"/>
            <w:vAlign w:val="center"/>
          </w:tcPr>
          <w:p>
            <w:r/>
            <w:r>
              <w:rPr>
                <w:rFonts w:ascii="Arial" w:hAnsi="Arial"/>
                <w:b w:val="0"/>
                <w:sz w:val="16"/>
              </w:rPr>
              <w:t>Fiscal Period Control Engine</w:t>
            </w:r>
          </w:p>
        </w:tc>
        <w:tc>
          <w:tcPr>
            <w:tcW w:type="dxa" w:w="3408"/>
            <w:vAlign w:val="center"/>
          </w:tcPr>
          <w:p>
            <w:r/>
            <w:r>
              <w:rPr>
                <w:rFonts w:ascii="Arial" w:hAnsi="Arial"/>
                <w:b w:val="0"/>
                <w:sz w:val="16"/>
              </w:rPr>
              <w:t>Provides governed fiscal period control engine services.</w:t>
            </w:r>
          </w:p>
        </w:tc>
      </w:tr>
      <w:tr>
        <w:tc>
          <w:tcPr>
            <w:tcW w:type="dxa" w:w="3408"/>
            <w:vAlign w:val="center"/>
          </w:tcPr>
          <w:p>
            <w:r/>
            <w:r>
              <w:rPr>
                <w:rFonts w:ascii="Arial" w:hAnsi="Arial"/>
                <w:b w:val="0"/>
                <w:sz w:val="16"/>
              </w:rPr>
              <w:t>ENG-P10-04</w:t>
            </w:r>
          </w:p>
        </w:tc>
        <w:tc>
          <w:tcPr>
            <w:tcW w:type="dxa" w:w="3408"/>
            <w:vAlign w:val="center"/>
          </w:tcPr>
          <w:p>
            <w:r/>
            <w:r>
              <w:rPr>
                <w:rFonts w:ascii="Arial" w:hAnsi="Arial"/>
                <w:b w:val="0"/>
                <w:sz w:val="16"/>
              </w:rPr>
              <w:t>Journal &amp; Allocation Engine</w:t>
            </w:r>
          </w:p>
        </w:tc>
        <w:tc>
          <w:tcPr>
            <w:tcW w:type="dxa" w:w="3408"/>
            <w:vAlign w:val="center"/>
          </w:tcPr>
          <w:p>
            <w:r/>
            <w:r>
              <w:rPr>
                <w:rFonts w:ascii="Arial" w:hAnsi="Arial"/>
                <w:b w:val="0"/>
                <w:sz w:val="16"/>
              </w:rPr>
              <w:t>Provides governed journal &amp; allocation engine services.</w:t>
            </w:r>
          </w:p>
        </w:tc>
      </w:tr>
      <w:tr>
        <w:tc>
          <w:tcPr>
            <w:tcW w:type="dxa" w:w="3408"/>
            <w:vAlign w:val="center"/>
          </w:tcPr>
          <w:p>
            <w:r/>
            <w:r>
              <w:rPr>
                <w:rFonts w:ascii="Arial" w:hAnsi="Arial"/>
                <w:b w:val="0"/>
                <w:sz w:val="16"/>
              </w:rPr>
              <w:t>ENG-P10-05</w:t>
            </w:r>
          </w:p>
        </w:tc>
        <w:tc>
          <w:tcPr>
            <w:tcW w:type="dxa" w:w="3408"/>
            <w:vAlign w:val="center"/>
          </w:tcPr>
          <w:p>
            <w:r/>
            <w:r>
              <w:rPr>
                <w:rFonts w:ascii="Arial" w:hAnsi="Arial"/>
                <w:b w:val="0"/>
                <w:sz w:val="16"/>
              </w:rPr>
              <w:t>Intercompany Engine</w:t>
            </w:r>
          </w:p>
        </w:tc>
        <w:tc>
          <w:tcPr>
            <w:tcW w:type="dxa" w:w="3408"/>
            <w:vAlign w:val="center"/>
          </w:tcPr>
          <w:p>
            <w:r/>
            <w:r>
              <w:rPr>
                <w:rFonts w:ascii="Arial" w:hAnsi="Arial"/>
                <w:b w:val="0"/>
                <w:sz w:val="16"/>
              </w:rPr>
              <w:t>Provides governed intercompany engine services.</w:t>
            </w:r>
          </w:p>
        </w:tc>
      </w:tr>
      <w:tr>
        <w:tc>
          <w:tcPr>
            <w:tcW w:type="dxa" w:w="3408"/>
            <w:vAlign w:val="center"/>
          </w:tcPr>
          <w:p>
            <w:r/>
            <w:r>
              <w:rPr>
                <w:rFonts w:ascii="Arial" w:hAnsi="Arial"/>
                <w:b w:val="0"/>
                <w:sz w:val="16"/>
              </w:rPr>
              <w:t>ENG-P10-06</w:t>
            </w:r>
          </w:p>
        </w:tc>
        <w:tc>
          <w:tcPr>
            <w:tcW w:type="dxa" w:w="3408"/>
            <w:vAlign w:val="center"/>
          </w:tcPr>
          <w:p>
            <w:r/>
            <w:r>
              <w:rPr>
                <w:rFonts w:ascii="Arial" w:hAnsi="Arial"/>
                <w:b w:val="0"/>
                <w:sz w:val="16"/>
              </w:rPr>
              <w:t>Consolidation Engine</w:t>
            </w:r>
          </w:p>
        </w:tc>
        <w:tc>
          <w:tcPr>
            <w:tcW w:type="dxa" w:w="3408"/>
            <w:vAlign w:val="center"/>
          </w:tcPr>
          <w:p>
            <w:r/>
            <w:r>
              <w:rPr>
                <w:rFonts w:ascii="Arial" w:hAnsi="Arial"/>
                <w:b w:val="0"/>
                <w:sz w:val="16"/>
              </w:rPr>
              <w:t>Provides governed consolidation engine services.</w:t>
            </w:r>
          </w:p>
        </w:tc>
      </w:tr>
      <w:tr>
        <w:tc>
          <w:tcPr>
            <w:tcW w:type="dxa" w:w="3408"/>
            <w:vAlign w:val="center"/>
          </w:tcPr>
          <w:p>
            <w:r/>
            <w:r>
              <w:rPr>
                <w:rFonts w:ascii="Arial" w:hAnsi="Arial"/>
                <w:b w:val="0"/>
                <w:sz w:val="16"/>
              </w:rPr>
              <w:t>ENG-P10-07</w:t>
            </w:r>
          </w:p>
        </w:tc>
        <w:tc>
          <w:tcPr>
            <w:tcW w:type="dxa" w:w="3408"/>
            <w:vAlign w:val="center"/>
          </w:tcPr>
          <w:p>
            <w:r/>
            <w:r>
              <w:rPr>
                <w:rFonts w:ascii="Arial" w:hAnsi="Arial"/>
                <w:b w:val="0"/>
                <w:sz w:val="16"/>
              </w:rPr>
              <w:t>Accounts Payable Engine</w:t>
            </w:r>
          </w:p>
        </w:tc>
        <w:tc>
          <w:tcPr>
            <w:tcW w:type="dxa" w:w="3408"/>
            <w:vAlign w:val="center"/>
          </w:tcPr>
          <w:p>
            <w:r/>
            <w:r>
              <w:rPr>
                <w:rFonts w:ascii="Arial" w:hAnsi="Arial"/>
                <w:b w:val="0"/>
                <w:sz w:val="16"/>
              </w:rPr>
              <w:t>Provides governed accounts payable engine services.</w:t>
            </w:r>
          </w:p>
        </w:tc>
      </w:tr>
      <w:tr>
        <w:tc>
          <w:tcPr>
            <w:tcW w:type="dxa" w:w="3408"/>
            <w:vAlign w:val="center"/>
          </w:tcPr>
          <w:p>
            <w:r/>
            <w:r>
              <w:rPr>
                <w:rFonts w:ascii="Arial" w:hAnsi="Arial"/>
                <w:b w:val="0"/>
                <w:sz w:val="16"/>
              </w:rPr>
              <w:t>ENG-P10-08</w:t>
            </w:r>
          </w:p>
        </w:tc>
        <w:tc>
          <w:tcPr>
            <w:tcW w:type="dxa" w:w="3408"/>
            <w:vAlign w:val="center"/>
          </w:tcPr>
          <w:p>
            <w:r/>
            <w:r>
              <w:rPr>
                <w:rFonts w:ascii="Arial" w:hAnsi="Arial"/>
                <w:b w:val="0"/>
                <w:sz w:val="16"/>
              </w:rPr>
              <w:t>Invoice Matching Engine</w:t>
            </w:r>
          </w:p>
        </w:tc>
        <w:tc>
          <w:tcPr>
            <w:tcW w:type="dxa" w:w="3408"/>
            <w:vAlign w:val="center"/>
          </w:tcPr>
          <w:p>
            <w:r/>
            <w:r>
              <w:rPr>
                <w:rFonts w:ascii="Arial" w:hAnsi="Arial"/>
                <w:b w:val="0"/>
                <w:sz w:val="16"/>
              </w:rPr>
              <w:t>Provides governed invoice matching engine services.</w:t>
            </w:r>
          </w:p>
        </w:tc>
      </w:tr>
      <w:tr>
        <w:tc>
          <w:tcPr>
            <w:tcW w:type="dxa" w:w="3408"/>
            <w:vAlign w:val="center"/>
          </w:tcPr>
          <w:p>
            <w:r/>
            <w:r>
              <w:rPr>
                <w:rFonts w:ascii="Arial" w:hAnsi="Arial"/>
                <w:b w:val="0"/>
                <w:sz w:val="16"/>
              </w:rPr>
              <w:t>ENG-P10-09</w:t>
            </w:r>
          </w:p>
        </w:tc>
        <w:tc>
          <w:tcPr>
            <w:tcW w:type="dxa" w:w="3408"/>
            <w:vAlign w:val="center"/>
          </w:tcPr>
          <w:p>
            <w:r/>
            <w:r>
              <w:rPr>
                <w:rFonts w:ascii="Arial" w:hAnsi="Arial"/>
                <w:b w:val="0"/>
                <w:sz w:val="16"/>
              </w:rPr>
              <w:t>Payment Orchestration Engine</w:t>
            </w:r>
          </w:p>
        </w:tc>
        <w:tc>
          <w:tcPr>
            <w:tcW w:type="dxa" w:w="3408"/>
            <w:vAlign w:val="center"/>
          </w:tcPr>
          <w:p>
            <w:r/>
            <w:r>
              <w:rPr>
                <w:rFonts w:ascii="Arial" w:hAnsi="Arial"/>
                <w:b w:val="0"/>
                <w:sz w:val="16"/>
              </w:rPr>
              <w:t>Provides governed payment orchestration engine services.</w:t>
            </w:r>
          </w:p>
        </w:tc>
      </w:tr>
      <w:tr>
        <w:tc>
          <w:tcPr>
            <w:tcW w:type="dxa" w:w="3408"/>
            <w:vAlign w:val="center"/>
          </w:tcPr>
          <w:p>
            <w:r/>
            <w:r>
              <w:rPr>
                <w:rFonts w:ascii="Arial" w:hAnsi="Arial"/>
                <w:b w:val="0"/>
                <w:sz w:val="16"/>
              </w:rPr>
              <w:t>ENG-P10-10</w:t>
            </w:r>
          </w:p>
        </w:tc>
        <w:tc>
          <w:tcPr>
            <w:tcW w:type="dxa" w:w="3408"/>
            <w:vAlign w:val="center"/>
          </w:tcPr>
          <w:p>
            <w:r/>
            <w:r>
              <w:rPr>
                <w:rFonts w:ascii="Arial" w:hAnsi="Arial"/>
                <w:b w:val="0"/>
                <w:sz w:val="16"/>
              </w:rPr>
              <w:t>Accounts Receivable Engine</w:t>
            </w:r>
          </w:p>
        </w:tc>
        <w:tc>
          <w:tcPr>
            <w:tcW w:type="dxa" w:w="3408"/>
            <w:vAlign w:val="center"/>
          </w:tcPr>
          <w:p>
            <w:r/>
            <w:r>
              <w:rPr>
                <w:rFonts w:ascii="Arial" w:hAnsi="Arial"/>
                <w:b w:val="0"/>
                <w:sz w:val="16"/>
              </w:rPr>
              <w:t>Provides governed accounts receivable engine services.</w:t>
            </w:r>
          </w:p>
        </w:tc>
      </w:tr>
      <w:tr>
        <w:tc>
          <w:tcPr>
            <w:tcW w:type="dxa" w:w="3408"/>
            <w:vAlign w:val="center"/>
          </w:tcPr>
          <w:p>
            <w:r/>
            <w:r>
              <w:rPr>
                <w:rFonts w:ascii="Arial" w:hAnsi="Arial"/>
                <w:b w:val="0"/>
                <w:sz w:val="16"/>
              </w:rPr>
              <w:t>ENG-P10-11</w:t>
            </w:r>
          </w:p>
        </w:tc>
        <w:tc>
          <w:tcPr>
            <w:tcW w:type="dxa" w:w="3408"/>
            <w:vAlign w:val="center"/>
          </w:tcPr>
          <w:p>
            <w:r/>
            <w:r>
              <w:rPr>
                <w:rFonts w:ascii="Arial" w:hAnsi="Arial"/>
                <w:b w:val="0"/>
                <w:sz w:val="16"/>
              </w:rPr>
              <w:t>Construction Billing Engine</w:t>
            </w:r>
          </w:p>
        </w:tc>
        <w:tc>
          <w:tcPr>
            <w:tcW w:type="dxa" w:w="3408"/>
            <w:vAlign w:val="center"/>
          </w:tcPr>
          <w:p>
            <w:r/>
            <w:r>
              <w:rPr>
                <w:rFonts w:ascii="Arial" w:hAnsi="Arial"/>
                <w:b w:val="0"/>
                <w:sz w:val="16"/>
              </w:rPr>
              <w:t>Provides governed construction billing engine services.</w:t>
            </w:r>
          </w:p>
        </w:tc>
      </w:tr>
      <w:tr>
        <w:tc>
          <w:tcPr>
            <w:tcW w:type="dxa" w:w="3408"/>
            <w:vAlign w:val="center"/>
          </w:tcPr>
          <w:p>
            <w:r/>
            <w:r>
              <w:rPr>
                <w:rFonts w:ascii="Arial" w:hAnsi="Arial"/>
                <w:b w:val="0"/>
                <w:sz w:val="16"/>
              </w:rPr>
              <w:t>ENG-P10-12</w:t>
            </w:r>
          </w:p>
        </w:tc>
        <w:tc>
          <w:tcPr>
            <w:tcW w:type="dxa" w:w="3408"/>
            <w:vAlign w:val="center"/>
          </w:tcPr>
          <w:p>
            <w:r/>
            <w:r>
              <w:rPr>
                <w:rFonts w:ascii="Arial" w:hAnsi="Arial"/>
                <w:b w:val="0"/>
                <w:sz w:val="16"/>
              </w:rPr>
              <w:t>Cash Application Engine</w:t>
            </w:r>
          </w:p>
        </w:tc>
        <w:tc>
          <w:tcPr>
            <w:tcW w:type="dxa" w:w="3408"/>
            <w:vAlign w:val="center"/>
          </w:tcPr>
          <w:p>
            <w:r/>
            <w:r>
              <w:rPr>
                <w:rFonts w:ascii="Arial" w:hAnsi="Arial"/>
                <w:b w:val="0"/>
                <w:sz w:val="16"/>
              </w:rPr>
              <w:t>Provides governed cash application engine services.</w:t>
            </w:r>
          </w:p>
        </w:tc>
      </w:tr>
      <w:tr>
        <w:tc>
          <w:tcPr>
            <w:tcW w:type="dxa" w:w="3408"/>
            <w:vAlign w:val="center"/>
          </w:tcPr>
          <w:p>
            <w:r/>
            <w:r>
              <w:rPr>
                <w:rFonts w:ascii="Arial" w:hAnsi="Arial"/>
                <w:b w:val="0"/>
                <w:sz w:val="16"/>
              </w:rPr>
              <w:t>ENG-P10-13</w:t>
            </w:r>
          </w:p>
        </w:tc>
        <w:tc>
          <w:tcPr>
            <w:tcW w:type="dxa" w:w="3408"/>
            <w:vAlign w:val="center"/>
          </w:tcPr>
          <w:p>
            <w:r/>
            <w:r>
              <w:rPr>
                <w:rFonts w:ascii="Arial" w:hAnsi="Arial"/>
                <w:b w:val="0"/>
                <w:sz w:val="16"/>
              </w:rPr>
              <w:t>Job Cost Engine</w:t>
            </w:r>
          </w:p>
        </w:tc>
        <w:tc>
          <w:tcPr>
            <w:tcW w:type="dxa" w:w="3408"/>
            <w:vAlign w:val="center"/>
          </w:tcPr>
          <w:p>
            <w:r/>
            <w:r>
              <w:rPr>
                <w:rFonts w:ascii="Arial" w:hAnsi="Arial"/>
                <w:b w:val="0"/>
                <w:sz w:val="16"/>
              </w:rPr>
              <w:t>Provides governed job cost engine services.</w:t>
            </w:r>
          </w:p>
        </w:tc>
      </w:tr>
      <w:tr>
        <w:tc>
          <w:tcPr>
            <w:tcW w:type="dxa" w:w="3408"/>
            <w:vAlign w:val="center"/>
          </w:tcPr>
          <w:p>
            <w:r/>
            <w:r>
              <w:rPr>
                <w:rFonts w:ascii="Arial" w:hAnsi="Arial"/>
                <w:b w:val="0"/>
                <w:sz w:val="16"/>
              </w:rPr>
              <w:t>ENG-P10-14</w:t>
            </w:r>
          </w:p>
        </w:tc>
        <w:tc>
          <w:tcPr>
            <w:tcW w:type="dxa" w:w="3408"/>
            <w:vAlign w:val="center"/>
          </w:tcPr>
          <w:p>
            <w:r/>
            <w:r>
              <w:rPr>
                <w:rFonts w:ascii="Arial" w:hAnsi="Arial"/>
                <w:b w:val="0"/>
                <w:sz w:val="16"/>
              </w:rPr>
              <w:t>Commitment Control Engine</w:t>
            </w:r>
          </w:p>
        </w:tc>
        <w:tc>
          <w:tcPr>
            <w:tcW w:type="dxa" w:w="3408"/>
            <w:vAlign w:val="center"/>
          </w:tcPr>
          <w:p>
            <w:r/>
            <w:r>
              <w:rPr>
                <w:rFonts w:ascii="Arial" w:hAnsi="Arial"/>
                <w:b w:val="0"/>
                <w:sz w:val="16"/>
              </w:rPr>
              <w:t>Provides governed commitment control engine services.</w:t>
            </w:r>
          </w:p>
        </w:tc>
      </w:tr>
      <w:tr>
        <w:tc>
          <w:tcPr>
            <w:tcW w:type="dxa" w:w="3408"/>
            <w:vAlign w:val="center"/>
          </w:tcPr>
          <w:p>
            <w:r/>
            <w:r>
              <w:rPr>
                <w:rFonts w:ascii="Arial" w:hAnsi="Arial"/>
                <w:b w:val="0"/>
                <w:sz w:val="16"/>
              </w:rPr>
              <w:t>ENG-P10-15</w:t>
            </w:r>
          </w:p>
        </w:tc>
        <w:tc>
          <w:tcPr>
            <w:tcW w:type="dxa" w:w="3408"/>
            <w:vAlign w:val="center"/>
          </w:tcPr>
          <w:p>
            <w:r/>
            <w:r>
              <w:rPr>
                <w:rFonts w:ascii="Arial" w:hAnsi="Arial"/>
                <w:b w:val="0"/>
                <w:sz w:val="16"/>
              </w:rPr>
              <w:t>Forecast &amp; EAC Engine</w:t>
            </w:r>
          </w:p>
        </w:tc>
        <w:tc>
          <w:tcPr>
            <w:tcW w:type="dxa" w:w="3408"/>
            <w:vAlign w:val="center"/>
          </w:tcPr>
          <w:p>
            <w:r/>
            <w:r>
              <w:rPr>
                <w:rFonts w:ascii="Arial" w:hAnsi="Arial"/>
                <w:b w:val="0"/>
                <w:sz w:val="16"/>
              </w:rPr>
              <w:t>Provides governed forecast &amp; eac engine services.</w:t>
            </w:r>
          </w:p>
        </w:tc>
      </w:tr>
      <w:tr>
        <w:tc>
          <w:tcPr>
            <w:tcW w:type="dxa" w:w="3408"/>
            <w:vAlign w:val="center"/>
          </w:tcPr>
          <w:p>
            <w:r/>
            <w:r>
              <w:rPr>
                <w:rFonts w:ascii="Arial" w:hAnsi="Arial"/>
                <w:b w:val="0"/>
                <w:sz w:val="16"/>
              </w:rPr>
              <w:t>ENG-P10-16</w:t>
            </w:r>
          </w:p>
        </w:tc>
        <w:tc>
          <w:tcPr>
            <w:tcW w:type="dxa" w:w="3408"/>
            <w:vAlign w:val="center"/>
          </w:tcPr>
          <w:p>
            <w:r/>
            <w:r>
              <w:rPr>
                <w:rFonts w:ascii="Arial" w:hAnsi="Arial"/>
                <w:b w:val="0"/>
                <w:sz w:val="16"/>
              </w:rPr>
              <w:t>WIP &amp; Revenue Recognition Engine</w:t>
            </w:r>
          </w:p>
        </w:tc>
        <w:tc>
          <w:tcPr>
            <w:tcW w:type="dxa" w:w="3408"/>
            <w:vAlign w:val="center"/>
          </w:tcPr>
          <w:p>
            <w:r/>
            <w:r>
              <w:rPr>
                <w:rFonts w:ascii="Arial" w:hAnsi="Arial"/>
                <w:b w:val="0"/>
                <w:sz w:val="16"/>
              </w:rPr>
              <w:t>Provides governed wip &amp; revenue recognition engine services.</w:t>
            </w:r>
          </w:p>
        </w:tc>
      </w:tr>
      <w:tr>
        <w:tc>
          <w:tcPr>
            <w:tcW w:type="dxa" w:w="3408"/>
            <w:vAlign w:val="center"/>
          </w:tcPr>
          <w:p>
            <w:r/>
            <w:r>
              <w:rPr>
                <w:rFonts w:ascii="Arial" w:hAnsi="Arial"/>
                <w:b w:val="0"/>
                <w:sz w:val="16"/>
              </w:rPr>
              <w:t>ENG-P10-17</w:t>
            </w:r>
          </w:p>
        </w:tc>
        <w:tc>
          <w:tcPr>
            <w:tcW w:type="dxa" w:w="3408"/>
            <w:vAlign w:val="center"/>
          </w:tcPr>
          <w:p>
            <w:r/>
            <w:r>
              <w:rPr>
                <w:rFonts w:ascii="Arial" w:hAnsi="Arial"/>
                <w:b w:val="0"/>
                <w:sz w:val="16"/>
              </w:rPr>
              <w:t>Payroll Accounting Engine</w:t>
            </w:r>
          </w:p>
        </w:tc>
        <w:tc>
          <w:tcPr>
            <w:tcW w:type="dxa" w:w="3408"/>
            <w:vAlign w:val="center"/>
          </w:tcPr>
          <w:p>
            <w:r/>
            <w:r>
              <w:rPr>
                <w:rFonts w:ascii="Arial" w:hAnsi="Arial"/>
                <w:b w:val="0"/>
                <w:sz w:val="16"/>
              </w:rPr>
              <w:t>Provides governed payroll accounting engine services.</w:t>
            </w:r>
          </w:p>
        </w:tc>
      </w:tr>
      <w:tr>
        <w:tc>
          <w:tcPr>
            <w:tcW w:type="dxa" w:w="3408"/>
            <w:vAlign w:val="center"/>
          </w:tcPr>
          <w:p>
            <w:r/>
            <w:r>
              <w:rPr>
                <w:rFonts w:ascii="Arial" w:hAnsi="Arial"/>
                <w:b w:val="0"/>
                <w:sz w:val="16"/>
              </w:rPr>
              <w:t>ENG-P10-18</w:t>
            </w:r>
          </w:p>
        </w:tc>
        <w:tc>
          <w:tcPr>
            <w:tcW w:type="dxa" w:w="3408"/>
            <w:vAlign w:val="center"/>
          </w:tcPr>
          <w:p>
            <w:r/>
            <w:r>
              <w:rPr>
                <w:rFonts w:ascii="Arial" w:hAnsi="Arial"/>
                <w:b w:val="0"/>
                <w:sz w:val="16"/>
              </w:rPr>
              <w:t>Cash &amp; Treasury Engine</w:t>
            </w:r>
          </w:p>
        </w:tc>
        <w:tc>
          <w:tcPr>
            <w:tcW w:type="dxa" w:w="3408"/>
            <w:vAlign w:val="center"/>
          </w:tcPr>
          <w:p>
            <w:r/>
            <w:r>
              <w:rPr>
                <w:rFonts w:ascii="Arial" w:hAnsi="Arial"/>
                <w:b w:val="0"/>
                <w:sz w:val="16"/>
              </w:rPr>
              <w:t>Provides governed cash &amp; treasury engine services.</w:t>
            </w:r>
          </w:p>
        </w:tc>
      </w:tr>
      <w:tr>
        <w:tc>
          <w:tcPr>
            <w:tcW w:type="dxa" w:w="3408"/>
            <w:vAlign w:val="center"/>
          </w:tcPr>
          <w:p>
            <w:r/>
            <w:r>
              <w:rPr>
                <w:rFonts w:ascii="Arial" w:hAnsi="Arial"/>
                <w:b w:val="0"/>
                <w:sz w:val="16"/>
              </w:rPr>
              <w:t>ENG-P10-19</w:t>
            </w:r>
          </w:p>
        </w:tc>
        <w:tc>
          <w:tcPr>
            <w:tcW w:type="dxa" w:w="3408"/>
            <w:vAlign w:val="center"/>
          </w:tcPr>
          <w:p>
            <w:r/>
            <w:r>
              <w:rPr>
                <w:rFonts w:ascii="Arial" w:hAnsi="Arial"/>
                <w:b w:val="0"/>
                <w:sz w:val="16"/>
              </w:rPr>
              <w:t>Bank Reconciliation Engine</w:t>
            </w:r>
          </w:p>
        </w:tc>
        <w:tc>
          <w:tcPr>
            <w:tcW w:type="dxa" w:w="3408"/>
            <w:vAlign w:val="center"/>
          </w:tcPr>
          <w:p>
            <w:r/>
            <w:r>
              <w:rPr>
                <w:rFonts w:ascii="Arial" w:hAnsi="Arial"/>
                <w:b w:val="0"/>
                <w:sz w:val="16"/>
              </w:rPr>
              <w:t>Provides governed bank reconciliation engine services.</w:t>
            </w:r>
          </w:p>
        </w:tc>
      </w:tr>
      <w:tr>
        <w:tc>
          <w:tcPr>
            <w:tcW w:type="dxa" w:w="3408"/>
            <w:vAlign w:val="center"/>
          </w:tcPr>
          <w:p>
            <w:r/>
            <w:r>
              <w:rPr>
                <w:rFonts w:ascii="Arial" w:hAnsi="Arial"/>
                <w:b w:val="0"/>
                <w:sz w:val="16"/>
              </w:rPr>
              <w:t>ENG-P10-20</w:t>
            </w:r>
          </w:p>
        </w:tc>
        <w:tc>
          <w:tcPr>
            <w:tcW w:type="dxa" w:w="3408"/>
            <w:vAlign w:val="center"/>
          </w:tcPr>
          <w:p>
            <w:r/>
            <w:r>
              <w:rPr>
                <w:rFonts w:ascii="Arial" w:hAnsi="Arial"/>
                <w:b w:val="0"/>
                <w:sz w:val="16"/>
              </w:rPr>
              <w:t>Fixed Asset Engine</w:t>
            </w:r>
          </w:p>
        </w:tc>
        <w:tc>
          <w:tcPr>
            <w:tcW w:type="dxa" w:w="3408"/>
            <w:vAlign w:val="center"/>
          </w:tcPr>
          <w:p>
            <w:r/>
            <w:r>
              <w:rPr>
                <w:rFonts w:ascii="Arial" w:hAnsi="Arial"/>
                <w:b w:val="0"/>
                <w:sz w:val="16"/>
              </w:rPr>
              <w:t>Provides governed fixed asset engine services.</w:t>
            </w:r>
          </w:p>
        </w:tc>
      </w:tr>
      <w:tr>
        <w:tc>
          <w:tcPr>
            <w:tcW w:type="dxa" w:w="3408"/>
            <w:vAlign w:val="center"/>
          </w:tcPr>
          <w:p>
            <w:r/>
            <w:r>
              <w:rPr>
                <w:rFonts w:ascii="Arial" w:hAnsi="Arial"/>
                <w:b w:val="0"/>
                <w:sz w:val="16"/>
              </w:rPr>
              <w:t>ENG-P10-21</w:t>
            </w:r>
          </w:p>
        </w:tc>
        <w:tc>
          <w:tcPr>
            <w:tcW w:type="dxa" w:w="3408"/>
            <w:vAlign w:val="center"/>
          </w:tcPr>
          <w:p>
            <w:r/>
            <w:r>
              <w:rPr>
                <w:rFonts w:ascii="Arial" w:hAnsi="Arial"/>
                <w:b w:val="0"/>
                <w:sz w:val="16"/>
              </w:rPr>
              <w:t>Tax Determination Engine</w:t>
            </w:r>
          </w:p>
        </w:tc>
        <w:tc>
          <w:tcPr>
            <w:tcW w:type="dxa" w:w="3408"/>
            <w:vAlign w:val="center"/>
          </w:tcPr>
          <w:p>
            <w:r/>
            <w:r>
              <w:rPr>
                <w:rFonts w:ascii="Arial" w:hAnsi="Arial"/>
                <w:b w:val="0"/>
                <w:sz w:val="16"/>
              </w:rPr>
              <w:t>Provides governed tax determination engine services.</w:t>
            </w:r>
          </w:p>
        </w:tc>
      </w:tr>
      <w:tr>
        <w:tc>
          <w:tcPr>
            <w:tcW w:type="dxa" w:w="3408"/>
            <w:vAlign w:val="center"/>
          </w:tcPr>
          <w:p>
            <w:r/>
            <w:r>
              <w:rPr>
                <w:rFonts w:ascii="Arial" w:hAnsi="Arial"/>
                <w:b w:val="0"/>
                <w:sz w:val="16"/>
              </w:rPr>
              <w:t>ENG-P10-22</w:t>
            </w:r>
          </w:p>
        </w:tc>
        <w:tc>
          <w:tcPr>
            <w:tcW w:type="dxa" w:w="3408"/>
            <w:vAlign w:val="center"/>
          </w:tcPr>
          <w:p>
            <w:r/>
            <w:r>
              <w:rPr>
                <w:rFonts w:ascii="Arial" w:hAnsi="Arial"/>
                <w:b w:val="0"/>
                <w:sz w:val="16"/>
              </w:rPr>
              <w:t>Financial Digital Twin Engine</w:t>
            </w:r>
          </w:p>
        </w:tc>
        <w:tc>
          <w:tcPr>
            <w:tcW w:type="dxa" w:w="3408"/>
            <w:vAlign w:val="center"/>
          </w:tcPr>
          <w:p>
            <w:r/>
            <w:r>
              <w:rPr>
                <w:rFonts w:ascii="Arial" w:hAnsi="Arial"/>
                <w:b w:val="0"/>
                <w:sz w:val="16"/>
              </w:rPr>
              <w:t>Provides governed financial digital twin engine services.</w:t>
            </w:r>
          </w:p>
        </w:tc>
      </w:tr>
      <w:tr>
        <w:tc>
          <w:tcPr>
            <w:tcW w:type="dxa" w:w="3408"/>
            <w:vAlign w:val="center"/>
          </w:tcPr>
          <w:p>
            <w:r/>
            <w:r>
              <w:rPr>
                <w:rFonts w:ascii="Arial" w:hAnsi="Arial"/>
                <w:b w:val="0"/>
                <w:sz w:val="16"/>
              </w:rPr>
              <w:t>ENG-P10-23</w:t>
            </w:r>
          </w:p>
        </w:tc>
        <w:tc>
          <w:tcPr>
            <w:tcW w:type="dxa" w:w="3408"/>
            <w:vAlign w:val="center"/>
          </w:tcPr>
          <w:p>
            <w:r/>
            <w:r>
              <w:rPr>
                <w:rFonts w:ascii="Arial" w:hAnsi="Arial"/>
                <w:b w:val="0"/>
                <w:sz w:val="16"/>
              </w:rPr>
              <w:t>AI Coding &amp; Anomaly Engine</w:t>
            </w:r>
          </w:p>
        </w:tc>
        <w:tc>
          <w:tcPr>
            <w:tcW w:type="dxa" w:w="3408"/>
            <w:vAlign w:val="center"/>
          </w:tcPr>
          <w:p>
            <w:r/>
            <w:r>
              <w:rPr>
                <w:rFonts w:ascii="Arial" w:hAnsi="Arial"/>
                <w:b w:val="0"/>
                <w:sz w:val="16"/>
              </w:rPr>
              <w:t>Provides governed ai coding &amp; anomaly engine services.</w:t>
            </w:r>
          </w:p>
        </w:tc>
      </w:tr>
      <w:tr>
        <w:tc>
          <w:tcPr>
            <w:tcW w:type="dxa" w:w="3408"/>
            <w:vAlign w:val="center"/>
          </w:tcPr>
          <w:p>
            <w:r/>
            <w:r>
              <w:rPr>
                <w:rFonts w:ascii="Arial" w:hAnsi="Arial"/>
                <w:b w:val="0"/>
                <w:sz w:val="16"/>
              </w:rPr>
              <w:t>ENG-P10-24</w:t>
            </w:r>
          </w:p>
        </w:tc>
        <w:tc>
          <w:tcPr>
            <w:tcW w:type="dxa" w:w="3408"/>
            <w:vAlign w:val="center"/>
          </w:tcPr>
          <w:p>
            <w:r/>
            <w:r>
              <w:rPr>
                <w:rFonts w:ascii="Arial" w:hAnsi="Arial"/>
                <w:b w:val="0"/>
                <w:sz w:val="16"/>
              </w:rPr>
              <w:t>Financial Reporting &amp; Narrative Engine</w:t>
            </w:r>
          </w:p>
        </w:tc>
        <w:tc>
          <w:tcPr>
            <w:tcW w:type="dxa" w:w="3408"/>
            <w:vAlign w:val="center"/>
          </w:tcPr>
          <w:p>
            <w:r/>
            <w:r>
              <w:rPr>
                <w:rFonts w:ascii="Arial" w:hAnsi="Arial"/>
                <w:b w:val="0"/>
                <w:sz w:val="16"/>
              </w:rPr>
              <w:t>Provides governed financial reporting &amp; narrative engine services.</w:t>
            </w:r>
          </w:p>
        </w:tc>
      </w:tr>
      <w:tr>
        <w:tc>
          <w:tcPr>
            <w:tcW w:type="dxa" w:w="3408"/>
            <w:vAlign w:val="center"/>
          </w:tcPr>
          <w:p>
            <w:r/>
            <w:r>
              <w:rPr>
                <w:rFonts w:ascii="Arial" w:hAnsi="Arial"/>
                <w:b w:val="0"/>
                <w:sz w:val="16"/>
              </w:rPr>
              <w:t>ENG-P10-25</w:t>
            </w:r>
          </w:p>
        </w:tc>
        <w:tc>
          <w:tcPr>
            <w:tcW w:type="dxa" w:w="3408"/>
            <w:vAlign w:val="center"/>
          </w:tcPr>
          <w:p>
            <w:r/>
            <w:r>
              <w:rPr>
                <w:rFonts w:ascii="Arial" w:hAnsi="Arial"/>
                <w:b w:val="0"/>
                <w:sz w:val="16"/>
              </w:rPr>
              <w:t>Integration &amp; Reconciliation Engine</w:t>
            </w:r>
          </w:p>
        </w:tc>
        <w:tc>
          <w:tcPr>
            <w:tcW w:type="dxa" w:w="3408"/>
            <w:vAlign w:val="center"/>
          </w:tcPr>
          <w:p>
            <w:r/>
            <w:r>
              <w:rPr>
                <w:rFonts w:ascii="Arial" w:hAnsi="Arial"/>
                <w:b w:val="0"/>
                <w:sz w:val="16"/>
              </w:rPr>
              <w:t>Provides governed integration &amp; reconciliation engine services.</w:t>
            </w:r>
          </w:p>
        </w:tc>
      </w:tr>
    </w:tbl>
    <w:p>
      <w:pPr>
        <w:pStyle w:val="Heading1"/>
      </w:pPr>
      <w:r>
        <w:t>Workflow Catalog</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7365D"/>
          </w:tcPr>
          <w:p>
            <w:r/>
            <w:r>
              <w:rPr>
                <w:rFonts w:ascii="Arial" w:hAnsi="Arial"/>
                <w:b/>
                <w:color w:val="FFFFFF"/>
                <w:sz w:val="16"/>
              </w:rPr>
              <w:t>ID</w:t>
            </w:r>
          </w:p>
        </w:tc>
        <w:tc>
          <w:tcPr>
            <w:tcW w:type="dxa" w:w="3408"/>
            <w:vAlign w:val="center"/>
            <w:shd w:fill="17365D"/>
          </w:tcPr>
          <w:p>
            <w:r/>
            <w:r>
              <w:rPr>
                <w:rFonts w:ascii="Arial" w:hAnsi="Arial"/>
                <w:b/>
                <w:color w:val="FFFFFF"/>
                <w:sz w:val="16"/>
              </w:rPr>
              <w:t>Workflow</w:t>
            </w:r>
          </w:p>
        </w:tc>
        <w:tc>
          <w:tcPr>
            <w:tcW w:type="dxa" w:w="3408"/>
            <w:vAlign w:val="center"/>
            <w:shd w:fill="17365D"/>
          </w:tcPr>
          <w:p>
            <w:r/>
            <w:r>
              <w:rPr>
                <w:rFonts w:ascii="Arial" w:hAnsi="Arial"/>
                <w:b/>
                <w:color w:val="FFFFFF"/>
                <w:sz w:val="16"/>
              </w:rPr>
              <w:t>Core Steps</w:t>
            </w:r>
          </w:p>
        </w:tc>
      </w:tr>
      <w:tr>
        <w:tc>
          <w:tcPr>
            <w:tcW w:type="dxa" w:w="3408"/>
            <w:vAlign w:val="center"/>
          </w:tcPr>
          <w:p>
            <w:r/>
            <w:r>
              <w:rPr>
                <w:rFonts w:ascii="Arial" w:hAnsi="Arial"/>
                <w:b w:val="0"/>
                <w:sz w:val="16"/>
              </w:rPr>
              <w:t>WF-P10-01</w:t>
            </w:r>
          </w:p>
        </w:tc>
        <w:tc>
          <w:tcPr>
            <w:tcW w:type="dxa" w:w="3408"/>
            <w:vAlign w:val="center"/>
          </w:tcPr>
          <w:p>
            <w:r/>
            <w:r>
              <w:rPr>
                <w:rFonts w:ascii="Arial" w:hAnsi="Arial"/>
                <w:b w:val="0"/>
                <w:sz w:val="16"/>
              </w:rPr>
              <w:t>Fiscal period open and close</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WF-P10-02</w:t>
            </w:r>
          </w:p>
        </w:tc>
        <w:tc>
          <w:tcPr>
            <w:tcW w:type="dxa" w:w="3408"/>
            <w:vAlign w:val="center"/>
          </w:tcPr>
          <w:p>
            <w:r/>
            <w:r>
              <w:rPr>
                <w:rFonts w:ascii="Arial" w:hAnsi="Arial"/>
                <w:b w:val="0"/>
                <w:sz w:val="16"/>
              </w:rPr>
              <w:t>Journal preparation, approval, posting, and reversal</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WF-P10-03</w:t>
            </w:r>
          </w:p>
        </w:tc>
        <w:tc>
          <w:tcPr>
            <w:tcW w:type="dxa" w:w="3408"/>
            <w:vAlign w:val="center"/>
          </w:tcPr>
          <w:p>
            <w:r/>
            <w:r>
              <w:rPr>
                <w:rFonts w:ascii="Arial" w:hAnsi="Arial"/>
                <w:b w:val="0"/>
                <w:sz w:val="16"/>
              </w:rPr>
              <w:t>Vendor invoice capture and approval</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WF-P10-04</w:t>
            </w:r>
          </w:p>
        </w:tc>
        <w:tc>
          <w:tcPr>
            <w:tcW w:type="dxa" w:w="3408"/>
            <w:vAlign w:val="center"/>
          </w:tcPr>
          <w:p>
            <w:r/>
            <w:r>
              <w:rPr>
                <w:rFonts w:ascii="Arial" w:hAnsi="Arial"/>
                <w:b w:val="0"/>
                <w:sz w:val="16"/>
              </w:rPr>
              <w:t>Three-way match and exception resolution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WF-P10-05</w:t>
            </w:r>
          </w:p>
        </w:tc>
        <w:tc>
          <w:tcPr>
            <w:tcW w:type="dxa" w:w="3408"/>
            <w:vAlign w:val="center"/>
          </w:tcPr>
          <w:p>
            <w:r/>
            <w:r>
              <w:rPr>
                <w:rFonts w:ascii="Arial" w:hAnsi="Arial"/>
                <w:b w:val="0"/>
                <w:sz w:val="16"/>
              </w:rPr>
              <w:t>Payment batch creation and release</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WF-P10-06</w:t>
            </w:r>
          </w:p>
        </w:tc>
        <w:tc>
          <w:tcPr>
            <w:tcW w:type="dxa" w:w="3408"/>
            <w:vAlign w:val="center"/>
          </w:tcPr>
          <w:p>
            <w:r/>
            <w:r>
              <w:rPr>
                <w:rFonts w:ascii="Arial" w:hAnsi="Arial"/>
                <w:b w:val="0"/>
                <w:sz w:val="16"/>
              </w:rPr>
              <w:t>Customer billing and invoice delivery</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WF-P10-07</w:t>
            </w:r>
          </w:p>
        </w:tc>
        <w:tc>
          <w:tcPr>
            <w:tcW w:type="dxa" w:w="3408"/>
            <w:vAlign w:val="center"/>
          </w:tcPr>
          <w:p>
            <w:r/>
            <w:r>
              <w:rPr>
                <w:rFonts w:ascii="Arial" w:hAnsi="Arial"/>
                <w:b w:val="0"/>
                <w:sz w:val="16"/>
              </w:rPr>
              <w:t>Cash receipt and application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WF-P10-08</w:t>
            </w:r>
          </w:p>
        </w:tc>
        <w:tc>
          <w:tcPr>
            <w:tcW w:type="dxa" w:w="3408"/>
            <w:vAlign w:val="center"/>
          </w:tcPr>
          <w:p>
            <w:r/>
            <w:r>
              <w:rPr>
                <w:rFonts w:ascii="Arial" w:hAnsi="Arial"/>
                <w:b w:val="0"/>
                <w:sz w:val="16"/>
              </w:rPr>
              <w:t>Collections and dispute management</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WF-P10-09</w:t>
            </w:r>
          </w:p>
        </w:tc>
        <w:tc>
          <w:tcPr>
            <w:tcW w:type="dxa" w:w="3408"/>
            <w:vAlign w:val="center"/>
          </w:tcPr>
          <w:p>
            <w:r/>
            <w:r>
              <w:rPr>
                <w:rFonts w:ascii="Arial" w:hAnsi="Arial"/>
                <w:b w:val="0"/>
                <w:sz w:val="16"/>
              </w:rPr>
              <w:t>Project budget baseline and revision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WF-P10-10</w:t>
            </w:r>
          </w:p>
        </w:tc>
        <w:tc>
          <w:tcPr>
            <w:tcW w:type="dxa" w:w="3408"/>
            <w:vAlign w:val="center"/>
          </w:tcPr>
          <w:p>
            <w:r/>
            <w:r>
              <w:rPr>
                <w:rFonts w:ascii="Arial" w:hAnsi="Arial"/>
                <w:b w:val="0"/>
                <w:sz w:val="16"/>
              </w:rPr>
              <w:t>Commitment and subcontract financial control</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WF-P10-11</w:t>
            </w:r>
          </w:p>
        </w:tc>
        <w:tc>
          <w:tcPr>
            <w:tcW w:type="dxa" w:w="3408"/>
            <w:vAlign w:val="center"/>
          </w:tcPr>
          <w:p>
            <w:r/>
            <w:r>
              <w:rPr>
                <w:rFonts w:ascii="Arial" w:hAnsi="Arial"/>
                <w:b w:val="0"/>
                <w:sz w:val="16"/>
              </w:rPr>
              <w:t>Job cost posting and reconciliation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WF-P10-12</w:t>
            </w:r>
          </w:p>
        </w:tc>
        <w:tc>
          <w:tcPr>
            <w:tcW w:type="dxa" w:w="3408"/>
            <w:vAlign w:val="center"/>
          </w:tcPr>
          <w:p>
            <w:r/>
            <w:r>
              <w:rPr>
                <w:rFonts w:ascii="Arial" w:hAnsi="Arial"/>
                <w:b w:val="0"/>
                <w:sz w:val="16"/>
              </w:rPr>
              <w:t>Forecast and estimate-at-completion update</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WF-P10-13</w:t>
            </w:r>
          </w:p>
        </w:tc>
        <w:tc>
          <w:tcPr>
            <w:tcW w:type="dxa" w:w="3408"/>
            <w:vAlign w:val="center"/>
          </w:tcPr>
          <w:p>
            <w:r/>
            <w:r>
              <w:rPr>
                <w:rFonts w:ascii="Arial" w:hAnsi="Arial"/>
                <w:b w:val="0"/>
                <w:sz w:val="16"/>
              </w:rPr>
              <w:t>WIP and revenue recognition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WF-P10-14</w:t>
            </w:r>
          </w:p>
        </w:tc>
        <w:tc>
          <w:tcPr>
            <w:tcW w:type="dxa" w:w="3408"/>
            <w:vAlign w:val="center"/>
          </w:tcPr>
          <w:p>
            <w:r/>
            <w:r>
              <w:rPr>
                <w:rFonts w:ascii="Arial" w:hAnsi="Arial"/>
                <w:b w:val="0"/>
                <w:sz w:val="16"/>
              </w:rPr>
              <w:t>Payroll accounting and certified payroll reconciliation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WF-P10-15</w:t>
            </w:r>
          </w:p>
        </w:tc>
        <w:tc>
          <w:tcPr>
            <w:tcW w:type="dxa" w:w="3408"/>
            <w:vAlign w:val="center"/>
          </w:tcPr>
          <w:p>
            <w:r/>
            <w:r>
              <w:rPr>
                <w:rFonts w:ascii="Arial" w:hAnsi="Arial"/>
                <w:b w:val="0"/>
                <w:sz w:val="16"/>
              </w:rPr>
              <w:t>Bank statement import and reconciliation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WF-P10-16</w:t>
            </w:r>
          </w:p>
        </w:tc>
        <w:tc>
          <w:tcPr>
            <w:tcW w:type="dxa" w:w="3408"/>
            <w:vAlign w:val="center"/>
          </w:tcPr>
          <w:p>
            <w:r/>
            <w:r>
              <w:rPr>
                <w:rFonts w:ascii="Arial" w:hAnsi="Arial"/>
                <w:b w:val="0"/>
                <w:sz w:val="16"/>
              </w:rPr>
              <w:t>Cash forecast and treasury transfer</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WF-P10-17</w:t>
            </w:r>
          </w:p>
        </w:tc>
        <w:tc>
          <w:tcPr>
            <w:tcW w:type="dxa" w:w="3408"/>
            <w:vAlign w:val="center"/>
          </w:tcPr>
          <w:p>
            <w:r/>
            <w:r>
              <w:rPr>
                <w:rFonts w:ascii="Arial" w:hAnsi="Arial"/>
                <w:b w:val="0"/>
                <w:sz w:val="16"/>
              </w:rPr>
              <w:t>Fixed asset capitalization and depreciation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WF-P10-18</w:t>
            </w:r>
          </w:p>
        </w:tc>
        <w:tc>
          <w:tcPr>
            <w:tcW w:type="dxa" w:w="3408"/>
            <w:vAlign w:val="center"/>
          </w:tcPr>
          <w:p>
            <w:r/>
            <w:r>
              <w:rPr>
                <w:rFonts w:ascii="Arial" w:hAnsi="Arial"/>
                <w:b w:val="0"/>
                <w:sz w:val="16"/>
              </w:rPr>
              <w:t>Tax workpaper and return support</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WF-P10-19</w:t>
            </w:r>
          </w:p>
        </w:tc>
        <w:tc>
          <w:tcPr>
            <w:tcW w:type="dxa" w:w="3408"/>
            <w:vAlign w:val="center"/>
          </w:tcPr>
          <w:p>
            <w:r/>
            <w:r>
              <w:rPr>
                <w:rFonts w:ascii="Arial" w:hAnsi="Arial"/>
                <w:b w:val="0"/>
                <w:sz w:val="16"/>
              </w:rPr>
              <w:t>Intercompany settlement and consolidation</w:t>
            </w:r>
          </w:p>
        </w:tc>
        <w:tc>
          <w:tcPr>
            <w:tcW w:type="dxa" w:w="3408"/>
            <w:vAlign w:val="center"/>
          </w:tcPr>
          <w:p>
            <w:r/>
            <w:r>
              <w:rPr>
                <w:rFonts w:ascii="Arial" w:hAnsi="Arial"/>
                <w:b w:val="0"/>
                <w:sz w:val="16"/>
              </w:rPr>
              <w:t>Validate -&gt; Route -&gt; Approve -&gt; Execute/Post -&gt; Reconcile -&gt; Archive</w:t>
            </w:r>
          </w:p>
        </w:tc>
      </w:tr>
      <w:tr>
        <w:tc>
          <w:tcPr>
            <w:tcW w:type="dxa" w:w="3408"/>
            <w:vAlign w:val="center"/>
          </w:tcPr>
          <w:p>
            <w:r/>
            <w:r>
              <w:rPr>
                <w:rFonts w:ascii="Arial" w:hAnsi="Arial"/>
                <w:b w:val="0"/>
                <w:sz w:val="16"/>
              </w:rPr>
              <w:t>WF-P10-20</w:t>
            </w:r>
          </w:p>
        </w:tc>
        <w:tc>
          <w:tcPr>
            <w:tcW w:type="dxa" w:w="3408"/>
            <w:vAlign w:val="center"/>
          </w:tcPr>
          <w:p>
            <w:r/>
            <w:r>
              <w:rPr>
                <w:rFonts w:ascii="Arial" w:hAnsi="Arial"/>
                <w:b w:val="0"/>
                <w:sz w:val="16"/>
              </w:rPr>
              <w:t>AI anomaly review and financial close assistance</w:t>
            </w:r>
          </w:p>
        </w:tc>
        <w:tc>
          <w:tcPr>
            <w:tcW w:type="dxa" w:w="3408"/>
            <w:vAlign w:val="center"/>
          </w:tcPr>
          <w:p>
            <w:r/>
            <w:r>
              <w:rPr>
                <w:rFonts w:ascii="Arial" w:hAnsi="Arial"/>
                <w:b w:val="0"/>
                <w:sz w:val="16"/>
              </w:rPr>
              <w:t>Validate -&gt; Route -&gt; Approve -&gt; Execute/Post -&gt; Reconcile -&gt; Archive</w:t>
            </w:r>
          </w:p>
        </w:tc>
      </w:tr>
    </w:tbl>
    <w:p>
      <w:pPr>
        <w:pStyle w:val="Heading1"/>
      </w:pPr>
      <w:r>
        <w:t>Business Rules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17365D"/>
          </w:tcPr>
          <w:p>
            <w:r/>
            <w:r>
              <w:rPr>
                <w:rFonts w:ascii="Arial" w:hAnsi="Arial"/>
                <w:b/>
                <w:color w:val="FFFFFF"/>
                <w:sz w:val="16"/>
              </w:rPr>
              <w:t>ID</w:t>
            </w:r>
          </w:p>
        </w:tc>
        <w:tc>
          <w:tcPr>
            <w:tcW w:type="dxa" w:w="3408"/>
            <w:vAlign w:val="center"/>
            <w:shd w:fill="17365D"/>
          </w:tcPr>
          <w:p>
            <w:r/>
            <w:r>
              <w:rPr>
                <w:rFonts w:ascii="Arial" w:hAnsi="Arial"/>
                <w:b/>
                <w:color w:val="FFFFFF"/>
                <w:sz w:val="16"/>
              </w:rPr>
              <w:t>Rule</w:t>
            </w:r>
          </w:p>
        </w:tc>
        <w:tc>
          <w:tcPr>
            <w:tcW w:type="dxa" w:w="3408"/>
            <w:vAlign w:val="center"/>
            <w:shd w:fill="17365D"/>
          </w:tcPr>
          <w:p>
            <w:r/>
            <w:r>
              <w:rPr>
                <w:rFonts w:ascii="Arial" w:hAnsi="Arial"/>
                <w:b/>
                <w:color w:val="FFFFFF"/>
                <w:sz w:val="16"/>
              </w:rPr>
              <w:t>Specification</w:t>
            </w:r>
          </w:p>
        </w:tc>
      </w:tr>
      <w:tr>
        <w:tc>
          <w:tcPr>
            <w:tcW w:type="dxa" w:w="3408"/>
            <w:vAlign w:val="center"/>
          </w:tcPr>
          <w:p>
            <w:r/>
            <w:r>
              <w:rPr>
                <w:rFonts w:ascii="Arial" w:hAnsi="Arial"/>
                <w:b w:val="0"/>
                <w:sz w:val="16"/>
              </w:rPr>
              <w:t>BR-001</w:t>
            </w:r>
          </w:p>
        </w:tc>
        <w:tc>
          <w:tcPr>
            <w:tcW w:type="dxa" w:w="3408"/>
            <w:vAlign w:val="center"/>
          </w:tcPr>
          <w:p>
            <w:r/>
            <w:r>
              <w:rPr>
                <w:rFonts w:ascii="Arial" w:hAnsi="Arial"/>
                <w:b w:val="0"/>
                <w:sz w:val="16"/>
              </w:rPr>
              <w:t>Balanced Journal Entries</w:t>
            </w:r>
          </w:p>
        </w:tc>
        <w:tc>
          <w:tcPr>
            <w:tcW w:type="dxa" w:w="3408"/>
            <w:vAlign w:val="center"/>
          </w:tcPr>
          <w:p>
            <w:r/>
            <w:r>
              <w:rPr>
                <w:rFonts w:ascii="Arial" w:hAnsi="Arial"/>
                <w:b w:val="0"/>
                <w:sz w:val="16"/>
              </w:rPr>
              <w:t>The system shall enforce balanced journal entries according to configured policy and retain evidence of the decision.</w:t>
            </w:r>
          </w:p>
        </w:tc>
      </w:tr>
      <w:tr>
        <w:tc>
          <w:tcPr>
            <w:tcW w:type="dxa" w:w="3408"/>
            <w:vAlign w:val="center"/>
          </w:tcPr>
          <w:p>
            <w:r/>
            <w:r>
              <w:rPr>
                <w:rFonts w:ascii="Arial" w:hAnsi="Arial"/>
                <w:b w:val="0"/>
                <w:sz w:val="16"/>
              </w:rPr>
              <w:t>BR-002</w:t>
            </w:r>
          </w:p>
        </w:tc>
        <w:tc>
          <w:tcPr>
            <w:tcW w:type="dxa" w:w="3408"/>
            <w:vAlign w:val="center"/>
          </w:tcPr>
          <w:p>
            <w:r/>
            <w:r>
              <w:rPr>
                <w:rFonts w:ascii="Arial" w:hAnsi="Arial"/>
                <w:b w:val="0"/>
                <w:sz w:val="16"/>
              </w:rPr>
              <w:t>Closed-Period Posting</w:t>
            </w:r>
          </w:p>
        </w:tc>
        <w:tc>
          <w:tcPr>
            <w:tcW w:type="dxa" w:w="3408"/>
            <w:vAlign w:val="center"/>
          </w:tcPr>
          <w:p>
            <w:r/>
            <w:r>
              <w:rPr>
                <w:rFonts w:ascii="Arial" w:hAnsi="Arial"/>
                <w:b w:val="0"/>
                <w:sz w:val="16"/>
              </w:rPr>
              <w:t>The system shall enforce closed-period posting according to configured policy and retain evidence of the decision.</w:t>
            </w:r>
          </w:p>
        </w:tc>
      </w:tr>
      <w:tr>
        <w:tc>
          <w:tcPr>
            <w:tcW w:type="dxa" w:w="3408"/>
            <w:vAlign w:val="center"/>
          </w:tcPr>
          <w:p>
            <w:r/>
            <w:r>
              <w:rPr>
                <w:rFonts w:ascii="Arial" w:hAnsi="Arial"/>
                <w:b w:val="0"/>
                <w:sz w:val="16"/>
              </w:rPr>
              <w:t>BR-003</w:t>
            </w:r>
          </w:p>
        </w:tc>
        <w:tc>
          <w:tcPr>
            <w:tcW w:type="dxa" w:w="3408"/>
            <w:vAlign w:val="center"/>
          </w:tcPr>
          <w:p>
            <w:r/>
            <w:r>
              <w:rPr>
                <w:rFonts w:ascii="Arial" w:hAnsi="Arial"/>
                <w:b w:val="0"/>
                <w:sz w:val="16"/>
              </w:rPr>
              <w:t>Segregation Of Duties</w:t>
            </w:r>
          </w:p>
        </w:tc>
        <w:tc>
          <w:tcPr>
            <w:tcW w:type="dxa" w:w="3408"/>
            <w:vAlign w:val="center"/>
          </w:tcPr>
          <w:p>
            <w:r/>
            <w:r>
              <w:rPr>
                <w:rFonts w:ascii="Arial" w:hAnsi="Arial"/>
                <w:b w:val="0"/>
                <w:sz w:val="16"/>
              </w:rPr>
              <w:t>The system shall enforce segregation of duties according to configured policy and retain evidence of the decision.</w:t>
            </w:r>
          </w:p>
        </w:tc>
      </w:tr>
      <w:tr>
        <w:tc>
          <w:tcPr>
            <w:tcW w:type="dxa" w:w="3408"/>
            <w:vAlign w:val="center"/>
          </w:tcPr>
          <w:p>
            <w:r/>
            <w:r>
              <w:rPr>
                <w:rFonts w:ascii="Arial" w:hAnsi="Arial"/>
                <w:b w:val="0"/>
                <w:sz w:val="16"/>
              </w:rPr>
              <w:t>BR-004</w:t>
            </w:r>
          </w:p>
        </w:tc>
        <w:tc>
          <w:tcPr>
            <w:tcW w:type="dxa" w:w="3408"/>
            <w:vAlign w:val="center"/>
          </w:tcPr>
          <w:p>
            <w:r/>
            <w:r>
              <w:rPr>
                <w:rFonts w:ascii="Arial" w:hAnsi="Arial"/>
                <w:b w:val="0"/>
                <w:sz w:val="16"/>
              </w:rPr>
              <w:t>Unique Invoice Identification</w:t>
            </w:r>
          </w:p>
        </w:tc>
        <w:tc>
          <w:tcPr>
            <w:tcW w:type="dxa" w:w="3408"/>
            <w:vAlign w:val="center"/>
          </w:tcPr>
          <w:p>
            <w:r/>
            <w:r>
              <w:rPr>
                <w:rFonts w:ascii="Arial" w:hAnsi="Arial"/>
                <w:b w:val="0"/>
                <w:sz w:val="16"/>
              </w:rPr>
              <w:t>The system shall enforce unique invoice identification according to configured policy and retain evidence of the decision.</w:t>
            </w:r>
          </w:p>
        </w:tc>
      </w:tr>
      <w:tr>
        <w:tc>
          <w:tcPr>
            <w:tcW w:type="dxa" w:w="3408"/>
            <w:vAlign w:val="center"/>
          </w:tcPr>
          <w:p>
            <w:r/>
            <w:r>
              <w:rPr>
                <w:rFonts w:ascii="Arial" w:hAnsi="Arial"/>
                <w:b w:val="0"/>
                <w:sz w:val="16"/>
              </w:rPr>
              <w:t>BR-005</w:t>
            </w:r>
          </w:p>
        </w:tc>
        <w:tc>
          <w:tcPr>
            <w:tcW w:type="dxa" w:w="3408"/>
            <w:vAlign w:val="center"/>
          </w:tcPr>
          <w:p>
            <w:r/>
            <w:r>
              <w:rPr>
                <w:rFonts w:ascii="Arial" w:hAnsi="Arial"/>
                <w:b w:val="0"/>
                <w:sz w:val="16"/>
              </w:rPr>
              <w:t>Three-Way Match Tolerance</w:t>
            </w:r>
          </w:p>
        </w:tc>
        <w:tc>
          <w:tcPr>
            <w:tcW w:type="dxa" w:w="3408"/>
            <w:vAlign w:val="center"/>
          </w:tcPr>
          <w:p>
            <w:r/>
            <w:r>
              <w:rPr>
                <w:rFonts w:ascii="Arial" w:hAnsi="Arial"/>
                <w:b w:val="0"/>
                <w:sz w:val="16"/>
              </w:rPr>
              <w:t>The system shall enforce three-way match tolerance according to configured policy and retain evidence of the decision.</w:t>
            </w:r>
          </w:p>
        </w:tc>
      </w:tr>
      <w:tr>
        <w:tc>
          <w:tcPr>
            <w:tcW w:type="dxa" w:w="3408"/>
            <w:vAlign w:val="center"/>
          </w:tcPr>
          <w:p>
            <w:r/>
            <w:r>
              <w:rPr>
                <w:rFonts w:ascii="Arial" w:hAnsi="Arial"/>
                <w:b w:val="0"/>
                <w:sz w:val="16"/>
              </w:rPr>
              <w:t>BR-006</w:t>
            </w:r>
          </w:p>
        </w:tc>
        <w:tc>
          <w:tcPr>
            <w:tcW w:type="dxa" w:w="3408"/>
            <w:vAlign w:val="center"/>
          </w:tcPr>
          <w:p>
            <w:r/>
            <w:r>
              <w:rPr>
                <w:rFonts w:ascii="Arial" w:hAnsi="Arial"/>
                <w:b w:val="0"/>
                <w:sz w:val="16"/>
              </w:rPr>
              <w:t>Payment Approval Thresholds</w:t>
            </w:r>
          </w:p>
        </w:tc>
        <w:tc>
          <w:tcPr>
            <w:tcW w:type="dxa" w:w="3408"/>
            <w:vAlign w:val="center"/>
          </w:tcPr>
          <w:p>
            <w:r/>
            <w:r>
              <w:rPr>
                <w:rFonts w:ascii="Arial" w:hAnsi="Arial"/>
                <w:b w:val="0"/>
                <w:sz w:val="16"/>
              </w:rPr>
              <w:t>The system shall enforce payment approval thresholds according to configured policy and retain evidence of the decision.</w:t>
            </w:r>
          </w:p>
        </w:tc>
      </w:tr>
      <w:tr>
        <w:tc>
          <w:tcPr>
            <w:tcW w:type="dxa" w:w="3408"/>
            <w:vAlign w:val="center"/>
          </w:tcPr>
          <w:p>
            <w:r/>
            <w:r>
              <w:rPr>
                <w:rFonts w:ascii="Arial" w:hAnsi="Arial"/>
                <w:b w:val="0"/>
                <w:sz w:val="16"/>
              </w:rPr>
              <w:t>BR-007</w:t>
            </w:r>
          </w:p>
        </w:tc>
        <w:tc>
          <w:tcPr>
            <w:tcW w:type="dxa" w:w="3408"/>
            <w:vAlign w:val="center"/>
          </w:tcPr>
          <w:p>
            <w:r/>
            <w:r>
              <w:rPr>
                <w:rFonts w:ascii="Arial" w:hAnsi="Arial"/>
                <w:b w:val="0"/>
                <w:sz w:val="16"/>
              </w:rPr>
              <w:t>Vendor Bank Change Verification</w:t>
            </w:r>
          </w:p>
        </w:tc>
        <w:tc>
          <w:tcPr>
            <w:tcW w:type="dxa" w:w="3408"/>
            <w:vAlign w:val="center"/>
          </w:tcPr>
          <w:p>
            <w:r/>
            <w:r>
              <w:rPr>
                <w:rFonts w:ascii="Arial" w:hAnsi="Arial"/>
                <w:b w:val="0"/>
                <w:sz w:val="16"/>
              </w:rPr>
              <w:t>The system shall enforce vendor bank change verification according to configured policy and retain evidence of the decision.</w:t>
            </w:r>
          </w:p>
        </w:tc>
      </w:tr>
      <w:tr>
        <w:tc>
          <w:tcPr>
            <w:tcW w:type="dxa" w:w="3408"/>
            <w:vAlign w:val="center"/>
          </w:tcPr>
          <w:p>
            <w:r/>
            <w:r>
              <w:rPr>
                <w:rFonts w:ascii="Arial" w:hAnsi="Arial"/>
                <w:b w:val="0"/>
                <w:sz w:val="16"/>
              </w:rPr>
              <w:t>BR-008</w:t>
            </w:r>
          </w:p>
        </w:tc>
        <w:tc>
          <w:tcPr>
            <w:tcW w:type="dxa" w:w="3408"/>
            <w:vAlign w:val="center"/>
          </w:tcPr>
          <w:p>
            <w:r/>
            <w:r>
              <w:rPr>
                <w:rFonts w:ascii="Arial" w:hAnsi="Arial"/>
                <w:b w:val="0"/>
                <w:sz w:val="16"/>
              </w:rPr>
              <w:t>Customer Credit Limit</w:t>
            </w:r>
          </w:p>
        </w:tc>
        <w:tc>
          <w:tcPr>
            <w:tcW w:type="dxa" w:w="3408"/>
            <w:vAlign w:val="center"/>
          </w:tcPr>
          <w:p>
            <w:r/>
            <w:r>
              <w:rPr>
                <w:rFonts w:ascii="Arial" w:hAnsi="Arial"/>
                <w:b w:val="0"/>
                <w:sz w:val="16"/>
              </w:rPr>
              <w:t>The system shall enforce customer credit limit according to configured policy and retain evidence of the decision.</w:t>
            </w:r>
          </w:p>
        </w:tc>
      </w:tr>
      <w:tr>
        <w:tc>
          <w:tcPr>
            <w:tcW w:type="dxa" w:w="3408"/>
            <w:vAlign w:val="center"/>
          </w:tcPr>
          <w:p>
            <w:r/>
            <w:r>
              <w:rPr>
                <w:rFonts w:ascii="Arial" w:hAnsi="Arial"/>
                <w:b w:val="0"/>
                <w:sz w:val="16"/>
              </w:rPr>
              <w:t>BR-009</w:t>
            </w:r>
          </w:p>
        </w:tc>
        <w:tc>
          <w:tcPr>
            <w:tcW w:type="dxa" w:w="3408"/>
            <w:vAlign w:val="center"/>
          </w:tcPr>
          <w:p>
            <w:r/>
            <w:r>
              <w:rPr>
                <w:rFonts w:ascii="Arial" w:hAnsi="Arial"/>
                <w:b w:val="0"/>
                <w:sz w:val="16"/>
              </w:rPr>
              <w:t>Retainage Release</w:t>
            </w:r>
          </w:p>
        </w:tc>
        <w:tc>
          <w:tcPr>
            <w:tcW w:type="dxa" w:w="3408"/>
            <w:vAlign w:val="center"/>
          </w:tcPr>
          <w:p>
            <w:r/>
            <w:r>
              <w:rPr>
                <w:rFonts w:ascii="Arial" w:hAnsi="Arial"/>
                <w:b w:val="0"/>
                <w:sz w:val="16"/>
              </w:rPr>
              <w:t>The system shall enforce retainage release according to configured policy and retain evidence of the decision.</w:t>
            </w:r>
          </w:p>
        </w:tc>
      </w:tr>
      <w:tr>
        <w:tc>
          <w:tcPr>
            <w:tcW w:type="dxa" w:w="3408"/>
            <w:vAlign w:val="center"/>
          </w:tcPr>
          <w:p>
            <w:r/>
            <w:r>
              <w:rPr>
                <w:rFonts w:ascii="Arial" w:hAnsi="Arial"/>
                <w:b w:val="0"/>
                <w:sz w:val="16"/>
              </w:rPr>
              <w:t>BR-010</w:t>
            </w:r>
          </w:p>
        </w:tc>
        <w:tc>
          <w:tcPr>
            <w:tcW w:type="dxa" w:w="3408"/>
            <w:vAlign w:val="center"/>
          </w:tcPr>
          <w:p>
            <w:r/>
            <w:r>
              <w:rPr>
                <w:rFonts w:ascii="Arial" w:hAnsi="Arial"/>
                <w:b w:val="0"/>
                <w:sz w:val="16"/>
              </w:rPr>
              <w:t>Cash Receipt Application</w:t>
            </w:r>
          </w:p>
        </w:tc>
        <w:tc>
          <w:tcPr>
            <w:tcW w:type="dxa" w:w="3408"/>
            <w:vAlign w:val="center"/>
          </w:tcPr>
          <w:p>
            <w:r/>
            <w:r>
              <w:rPr>
                <w:rFonts w:ascii="Arial" w:hAnsi="Arial"/>
                <w:b w:val="0"/>
                <w:sz w:val="16"/>
              </w:rPr>
              <w:t>The system shall enforce cash receipt application according to configured policy and retain evidence of the decision.</w:t>
            </w:r>
          </w:p>
        </w:tc>
      </w:tr>
      <w:tr>
        <w:tc>
          <w:tcPr>
            <w:tcW w:type="dxa" w:w="3408"/>
            <w:vAlign w:val="center"/>
          </w:tcPr>
          <w:p>
            <w:r/>
            <w:r>
              <w:rPr>
                <w:rFonts w:ascii="Arial" w:hAnsi="Arial"/>
                <w:b w:val="0"/>
                <w:sz w:val="16"/>
              </w:rPr>
              <w:t>BR-011</w:t>
            </w:r>
          </w:p>
        </w:tc>
        <w:tc>
          <w:tcPr>
            <w:tcW w:type="dxa" w:w="3408"/>
            <w:vAlign w:val="center"/>
          </w:tcPr>
          <w:p>
            <w:r/>
            <w:r>
              <w:rPr>
                <w:rFonts w:ascii="Arial" w:hAnsi="Arial"/>
                <w:b w:val="0"/>
                <w:sz w:val="16"/>
              </w:rPr>
              <w:t>Project Cost Code Validity</w:t>
            </w:r>
          </w:p>
        </w:tc>
        <w:tc>
          <w:tcPr>
            <w:tcW w:type="dxa" w:w="3408"/>
            <w:vAlign w:val="center"/>
          </w:tcPr>
          <w:p>
            <w:r/>
            <w:r>
              <w:rPr>
                <w:rFonts w:ascii="Arial" w:hAnsi="Arial"/>
                <w:b w:val="0"/>
                <w:sz w:val="16"/>
              </w:rPr>
              <w:t>The system shall enforce project cost code validity according to configured policy and retain evidence of the decision.</w:t>
            </w:r>
          </w:p>
        </w:tc>
      </w:tr>
      <w:tr>
        <w:tc>
          <w:tcPr>
            <w:tcW w:type="dxa" w:w="3408"/>
            <w:vAlign w:val="center"/>
          </w:tcPr>
          <w:p>
            <w:r/>
            <w:r>
              <w:rPr>
                <w:rFonts w:ascii="Arial" w:hAnsi="Arial"/>
                <w:b w:val="0"/>
                <w:sz w:val="16"/>
              </w:rPr>
              <w:t>BR-012</w:t>
            </w:r>
          </w:p>
        </w:tc>
        <w:tc>
          <w:tcPr>
            <w:tcW w:type="dxa" w:w="3408"/>
            <w:vAlign w:val="center"/>
          </w:tcPr>
          <w:p>
            <w:r/>
            <w:r>
              <w:rPr>
                <w:rFonts w:ascii="Arial" w:hAnsi="Arial"/>
                <w:b w:val="0"/>
                <w:sz w:val="16"/>
              </w:rPr>
              <w:t>Budget Revision Approval</w:t>
            </w:r>
          </w:p>
        </w:tc>
        <w:tc>
          <w:tcPr>
            <w:tcW w:type="dxa" w:w="3408"/>
            <w:vAlign w:val="center"/>
          </w:tcPr>
          <w:p>
            <w:r/>
            <w:r>
              <w:rPr>
                <w:rFonts w:ascii="Arial" w:hAnsi="Arial"/>
                <w:b w:val="0"/>
                <w:sz w:val="16"/>
              </w:rPr>
              <w:t>The system shall enforce budget revision approval according to configured policy and retain evidence of the decision.</w:t>
            </w:r>
          </w:p>
        </w:tc>
      </w:tr>
      <w:tr>
        <w:tc>
          <w:tcPr>
            <w:tcW w:type="dxa" w:w="3408"/>
            <w:vAlign w:val="center"/>
          </w:tcPr>
          <w:p>
            <w:r/>
            <w:r>
              <w:rPr>
                <w:rFonts w:ascii="Arial" w:hAnsi="Arial"/>
                <w:b w:val="0"/>
                <w:sz w:val="16"/>
              </w:rPr>
              <w:t>BR-013</w:t>
            </w:r>
          </w:p>
        </w:tc>
        <w:tc>
          <w:tcPr>
            <w:tcW w:type="dxa" w:w="3408"/>
            <w:vAlign w:val="center"/>
          </w:tcPr>
          <w:p>
            <w:r/>
            <w:r>
              <w:rPr>
                <w:rFonts w:ascii="Arial" w:hAnsi="Arial"/>
                <w:b w:val="0"/>
                <w:sz w:val="16"/>
              </w:rPr>
              <w:t>Commitment Control</w:t>
            </w:r>
          </w:p>
        </w:tc>
        <w:tc>
          <w:tcPr>
            <w:tcW w:type="dxa" w:w="3408"/>
            <w:vAlign w:val="center"/>
          </w:tcPr>
          <w:p>
            <w:r/>
            <w:r>
              <w:rPr>
                <w:rFonts w:ascii="Arial" w:hAnsi="Arial"/>
                <w:b w:val="0"/>
                <w:sz w:val="16"/>
              </w:rPr>
              <w:t>The system shall enforce commitment control according to configured policy and retain evidence of the decision.</w:t>
            </w:r>
          </w:p>
        </w:tc>
      </w:tr>
      <w:tr>
        <w:tc>
          <w:tcPr>
            <w:tcW w:type="dxa" w:w="3408"/>
            <w:vAlign w:val="center"/>
          </w:tcPr>
          <w:p>
            <w:r/>
            <w:r>
              <w:rPr>
                <w:rFonts w:ascii="Arial" w:hAnsi="Arial"/>
                <w:b w:val="0"/>
                <w:sz w:val="16"/>
              </w:rPr>
              <w:t>BR-014</w:t>
            </w:r>
          </w:p>
        </w:tc>
        <w:tc>
          <w:tcPr>
            <w:tcW w:type="dxa" w:w="3408"/>
            <w:vAlign w:val="center"/>
          </w:tcPr>
          <w:p>
            <w:r/>
            <w:r>
              <w:rPr>
                <w:rFonts w:ascii="Arial" w:hAnsi="Arial"/>
                <w:b w:val="0"/>
                <w:sz w:val="16"/>
              </w:rPr>
              <w:t>Cost Accrual Reversal</w:t>
            </w:r>
          </w:p>
        </w:tc>
        <w:tc>
          <w:tcPr>
            <w:tcW w:type="dxa" w:w="3408"/>
            <w:vAlign w:val="center"/>
          </w:tcPr>
          <w:p>
            <w:r/>
            <w:r>
              <w:rPr>
                <w:rFonts w:ascii="Arial" w:hAnsi="Arial"/>
                <w:b w:val="0"/>
                <w:sz w:val="16"/>
              </w:rPr>
              <w:t>The system shall enforce cost accrual reversal according to configured policy and retain evidence of the decision.</w:t>
            </w:r>
          </w:p>
        </w:tc>
      </w:tr>
      <w:tr>
        <w:tc>
          <w:tcPr>
            <w:tcW w:type="dxa" w:w="3408"/>
            <w:vAlign w:val="center"/>
          </w:tcPr>
          <w:p>
            <w:r/>
            <w:r>
              <w:rPr>
                <w:rFonts w:ascii="Arial" w:hAnsi="Arial"/>
                <w:b w:val="0"/>
                <w:sz w:val="16"/>
              </w:rPr>
              <w:t>BR-015</w:t>
            </w:r>
          </w:p>
        </w:tc>
        <w:tc>
          <w:tcPr>
            <w:tcW w:type="dxa" w:w="3408"/>
            <w:vAlign w:val="center"/>
          </w:tcPr>
          <w:p>
            <w:r/>
            <w:r>
              <w:rPr>
                <w:rFonts w:ascii="Arial" w:hAnsi="Arial"/>
                <w:b w:val="0"/>
                <w:sz w:val="16"/>
              </w:rPr>
              <w:t>Forecast Version Control</w:t>
            </w:r>
          </w:p>
        </w:tc>
        <w:tc>
          <w:tcPr>
            <w:tcW w:type="dxa" w:w="3408"/>
            <w:vAlign w:val="center"/>
          </w:tcPr>
          <w:p>
            <w:r/>
            <w:r>
              <w:rPr>
                <w:rFonts w:ascii="Arial" w:hAnsi="Arial"/>
                <w:b w:val="0"/>
                <w:sz w:val="16"/>
              </w:rPr>
              <w:t>The system shall enforce forecast version control according to configured policy and retain evidence of the decision.</w:t>
            </w:r>
          </w:p>
        </w:tc>
      </w:tr>
      <w:tr>
        <w:tc>
          <w:tcPr>
            <w:tcW w:type="dxa" w:w="3408"/>
            <w:vAlign w:val="center"/>
          </w:tcPr>
          <w:p>
            <w:r/>
            <w:r>
              <w:rPr>
                <w:rFonts w:ascii="Arial" w:hAnsi="Arial"/>
                <w:b w:val="0"/>
                <w:sz w:val="16"/>
              </w:rPr>
              <w:t>BR-016</w:t>
            </w:r>
          </w:p>
        </w:tc>
        <w:tc>
          <w:tcPr>
            <w:tcW w:type="dxa" w:w="3408"/>
            <w:vAlign w:val="center"/>
          </w:tcPr>
          <w:p>
            <w:r/>
            <w:r>
              <w:rPr>
                <w:rFonts w:ascii="Arial" w:hAnsi="Arial"/>
                <w:b w:val="0"/>
                <w:sz w:val="16"/>
              </w:rPr>
              <w:t>Wip Calculation Approval</w:t>
            </w:r>
          </w:p>
        </w:tc>
        <w:tc>
          <w:tcPr>
            <w:tcW w:type="dxa" w:w="3408"/>
            <w:vAlign w:val="center"/>
          </w:tcPr>
          <w:p>
            <w:r/>
            <w:r>
              <w:rPr>
                <w:rFonts w:ascii="Arial" w:hAnsi="Arial"/>
                <w:b w:val="0"/>
                <w:sz w:val="16"/>
              </w:rPr>
              <w:t>The system shall enforce WIP calculation approval according to configured policy and retain evidence of the decision.</w:t>
            </w:r>
          </w:p>
        </w:tc>
      </w:tr>
      <w:tr>
        <w:tc>
          <w:tcPr>
            <w:tcW w:type="dxa" w:w="3408"/>
            <w:vAlign w:val="center"/>
          </w:tcPr>
          <w:p>
            <w:r/>
            <w:r>
              <w:rPr>
                <w:rFonts w:ascii="Arial" w:hAnsi="Arial"/>
                <w:b w:val="0"/>
                <w:sz w:val="16"/>
              </w:rPr>
              <w:t>BR-017</w:t>
            </w:r>
          </w:p>
        </w:tc>
        <w:tc>
          <w:tcPr>
            <w:tcW w:type="dxa" w:w="3408"/>
            <w:vAlign w:val="center"/>
          </w:tcPr>
          <w:p>
            <w:r/>
            <w:r>
              <w:rPr>
                <w:rFonts w:ascii="Arial" w:hAnsi="Arial"/>
                <w:b w:val="0"/>
                <w:sz w:val="16"/>
              </w:rPr>
              <w:t>Revenue Recognition Consistency</w:t>
            </w:r>
          </w:p>
        </w:tc>
        <w:tc>
          <w:tcPr>
            <w:tcW w:type="dxa" w:w="3408"/>
            <w:vAlign w:val="center"/>
          </w:tcPr>
          <w:p>
            <w:r/>
            <w:r>
              <w:rPr>
                <w:rFonts w:ascii="Arial" w:hAnsi="Arial"/>
                <w:b w:val="0"/>
                <w:sz w:val="16"/>
              </w:rPr>
              <w:t>The system shall enforce revenue recognition consistency according to configured policy and retain evidence of the decision.</w:t>
            </w:r>
          </w:p>
        </w:tc>
      </w:tr>
      <w:tr>
        <w:tc>
          <w:tcPr>
            <w:tcW w:type="dxa" w:w="3408"/>
            <w:vAlign w:val="center"/>
          </w:tcPr>
          <w:p>
            <w:r/>
            <w:r>
              <w:rPr>
                <w:rFonts w:ascii="Arial" w:hAnsi="Arial"/>
                <w:b w:val="0"/>
                <w:sz w:val="16"/>
              </w:rPr>
              <w:t>BR-018</w:t>
            </w:r>
          </w:p>
        </w:tc>
        <w:tc>
          <w:tcPr>
            <w:tcW w:type="dxa" w:w="3408"/>
            <w:vAlign w:val="center"/>
          </w:tcPr>
          <w:p>
            <w:r/>
            <w:r>
              <w:rPr>
                <w:rFonts w:ascii="Arial" w:hAnsi="Arial"/>
                <w:b w:val="0"/>
                <w:sz w:val="16"/>
              </w:rPr>
              <w:t>Billing Quantity Evidence</w:t>
            </w:r>
          </w:p>
        </w:tc>
        <w:tc>
          <w:tcPr>
            <w:tcW w:type="dxa" w:w="3408"/>
            <w:vAlign w:val="center"/>
          </w:tcPr>
          <w:p>
            <w:r/>
            <w:r>
              <w:rPr>
                <w:rFonts w:ascii="Arial" w:hAnsi="Arial"/>
                <w:b w:val="0"/>
                <w:sz w:val="16"/>
              </w:rPr>
              <w:t>The system shall enforce billing quantity evidence according to configured policy and retain evidence of the decision.</w:t>
            </w:r>
          </w:p>
        </w:tc>
      </w:tr>
      <w:tr>
        <w:tc>
          <w:tcPr>
            <w:tcW w:type="dxa" w:w="3408"/>
            <w:vAlign w:val="center"/>
          </w:tcPr>
          <w:p>
            <w:r/>
            <w:r>
              <w:rPr>
                <w:rFonts w:ascii="Arial" w:hAnsi="Arial"/>
                <w:b w:val="0"/>
                <w:sz w:val="16"/>
              </w:rPr>
              <w:t>BR-019</w:t>
            </w:r>
          </w:p>
        </w:tc>
        <w:tc>
          <w:tcPr>
            <w:tcW w:type="dxa" w:w="3408"/>
            <w:vAlign w:val="center"/>
          </w:tcPr>
          <w:p>
            <w:r/>
            <w:r>
              <w:rPr>
                <w:rFonts w:ascii="Arial" w:hAnsi="Arial"/>
                <w:b w:val="0"/>
                <w:sz w:val="16"/>
              </w:rPr>
              <w:t>Stored Material Documentation</w:t>
            </w:r>
          </w:p>
        </w:tc>
        <w:tc>
          <w:tcPr>
            <w:tcW w:type="dxa" w:w="3408"/>
            <w:vAlign w:val="center"/>
          </w:tcPr>
          <w:p>
            <w:r/>
            <w:r>
              <w:rPr>
                <w:rFonts w:ascii="Arial" w:hAnsi="Arial"/>
                <w:b w:val="0"/>
                <w:sz w:val="16"/>
              </w:rPr>
              <w:t>The system shall enforce stored material documentation according to configured policy and retain evidence of the decision.</w:t>
            </w:r>
          </w:p>
        </w:tc>
      </w:tr>
      <w:tr>
        <w:tc>
          <w:tcPr>
            <w:tcW w:type="dxa" w:w="3408"/>
            <w:vAlign w:val="center"/>
          </w:tcPr>
          <w:p>
            <w:r/>
            <w:r>
              <w:rPr>
                <w:rFonts w:ascii="Arial" w:hAnsi="Arial"/>
                <w:b w:val="0"/>
                <w:sz w:val="16"/>
              </w:rPr>
              <w:t>BR-020</w:t>
            </w:r>
          </w:p>
        </w:tc>
        <w:tc>
          <w:tcPr>
            <w:tcW w:type="dxa" w:w="3408"/>
            <w:vAlign w:val="center"/>
          </w:tcPr>
          <w:p>
            <w:r/>
            <w:r>
              <w:rPr>
                <w:rFonts w:ascii="Arial" w:hAnsi="Arial"/>
                <w:b w:val="0"/>
                <w:sz w:val="16"/>
              </w:rPr>
              <w:t>Lien Waiver Dependency</w:t>
            </w:r>
          </w:p>
        </w:tc>
        <w:tc>
          <w:tcPr>
            <w:tcW w:type="dxa" w:w="3408"/>
            <w:vAlign w:val="center"/>
          </w:tcPr>
          <w:p>
            <w:r/>
            <w:r>
              <w:rPr>
                <w:rFonts w:ascii="Arial" w:hAnsi="Arial"/>
                <w:b w:val="0"/>
                <w:sz w:val="16"/>
              </w:rPr>
              <w:t>The system shall enforce lien waiver dependency according to configured policy and retain evidence of the decision.</w:t>
            </w:r>
          </w:p>
        </w:tc>
      </w:tr>
      <w:tr>
        <w:tc>
          <w:tcPr>
            <w:tcW w:type="dxa" w:w="3408"/>
            <w:vAlign w:val="center"/>
          </w:tcPr>
          <w:p>
            <w:r/>
            <w:r>
              <w:rPr>
                <w:rFonts w:ascii="Arial" w:hAnsi="Arial"/>
                <w:b w:val="0"/>
                <w:sz w:val="16"/>
              </w:rPr>
              <w:t>BR-021</w:t>
            </w:r>
          </w:p>
        </w:tc>
        <w:tc>
          <w:tcPr>
            <w:tcW w:type="dxa" w:w="3408"/>
            <w:vAlign w:val="center"/>
          </w:tcPr>
          <w:p>
            <w:r/>
            <w:r>
              <w:rPr>
                <w:rFonts w:ascii="Arial" w:hAnsi="Arial"/>
                <w:b w:val="0"/>
                <w:sz w:val="16"/>
              </w:rPr>
              <w:t>Payroll-To-Job-Cost Reconciliation</w:t>
            </w:r>
          </w:p>
        </w:tc>
        <w:tc>
          <w:tcPr>
            <w:tcW w:type="dxa" w:w="3408"/>
            <w:vAlign w:val="center"/>
          </w:tcPr>
          <w:p>
            <w:r/>
            <w:r>
              <w:rPr>
                <w:rFonts w:ascii="Arial" w:hAnsi="Arial"/>
                <w:b w:val="0"/>
                <w:sz w:val="16"/>
              </w:rPr>
              <w:t>The system shall enforce payroll-to-job-cost reconciliation according to configured policy and retain evidence of the decision.</w:t>
            </w:r>
          </w:p>
        </w:tc>
      </w:tr>
      <w:tr>
        <w:tc>
          <w:tcPr>
            <w:tcW w:type="dxa" w:w="3408"/>
            <w:vAlign w:val="center"/>
          </w:tcPr>
          <w:p>
            <w:r/>
            <w:r>
              <w:rPr>
                <w:rFonts w:ascii="Arial" w:hAnsi="Arial"/>
                <w:b w:val="0"/>
                <w:sz w:val="16"/>
              </w:rPr>
              <w:t>BR-022</w:t>
            </w:r>
          </w:p>
        </w:tc>
        <w:tc>
          <w:tcPr>
            <w:tcW w:type="dxa" w:w="3408"/>
            <w:vAlign w:val="center"/>
          </w:tcPr>
          <w:p>
            <w:r/>
            <w:r>
              <w:rPr>
                <w:rFonts w:ascii="Arial" w:hAnsi="Arial"/>
                <w:b w:val="0"/>
                <w:sz w:val="16"/>
              </w:rPr>
              <w:t>Union Fringe Liability</w:t>
            </w:r>
          </w:p>
        </w:tc>
        <w:tc>
          <w:tcPr>
            <w:tcW w:type="dxa" w:w="3408"/>
            <w:vAlign w:val="center"/>
          </w:tcPr>
          <w:p>
            <w:r/>
            <w:r>
              <w:rPr>
                <w:rFonts w:ascii="Arial" w:hAnsi="Arial"/>
                <w:b w:val="0"/>
                <w:sz w:val="16"/>
              </w:rPr>
              <w:t>The system shall enforce union fringe liability according to configured policy and retain evidence of the decision.</w:t>
            </w:r>
          </w:p>
        </w:tc>
      </w:tr>
      <w:tr>
        <w:tc>
          <w:tcPr>
            <w:tcW w:type="dxa" w:w="3408"/>
            <w:vAlign w:val="center"/>
          </w:tcPr>
          <w:p>
            <w:r/>
            <w:r>
              <w:rPr>
                <w:rFonts w:ascii="Arial" w:hAnsi="Arial"/>
                <w:b w:val="0"/>
                <w:sz w:val="16"/>
              </w:rPr>
              <w:t>BR-023</w:t>
            </w:r>
          </w:p>
        </w:tc>
        <w:tc>
          <w:tcPr>
            <w:tcW w:type="dxa" w:w="3408"/>
            <w:vAlign w:val="center"/>
          </w:tcPr>
          <w:p>
            <w:r/>
            <w:r>
              <w:rPr>
                <w:rFonts w:ascii="Arial" w:hAnsi="Arial"/>
                <w:b w:val="0"/>
                <w:sz w:val="16"/>
              </w:rPr>
              <w:t>Prevailing Wage Adjustment</w:t>
            </w:r>
          </w:p>
        </w:tc>
        <w:tc>
          <w:tcPr>
            <w:tcW w:type="dxa" w:w="3408"/>
            <w:vAlign w:val="center"/>
          </w:tcPr>
          <w:p>
            <w:r/>
            <w:r>
              <w:rPr>
                <w:rFonts w:ascii="Arial" w:hAnsi="Arial"/>
                <w:b w:val="0"/>
                <w:sz w:val="16"/>
              </w:rPr>
              <w:t>The system shall enforce prevailing wage adjustment according to configured policy and retain evidence of the decision.</w:t>
            </w:r>
          </w:p>
        </w:tc>
      </w:tr>
      <w:tr>
        <w:tc>
          <w:tcPr>
            <w:tcW w:type="dxa" w:w="3408"/>
            <w:vAlign w:val="center"/>
          </w:tcPr>
          <w:p>
            <w:r/>
            <w:r>
              <w:rPr>
                <w:rFonts w:ascii="Arial" w:hAnsi="Arial"/>
                <w:b w:val="0"/>
                <w:sz w:val="16"/>
              </w:rPr>
              <w:t>BR-024</w:t>
            </w:r>
          </w:p>
        </w:tc>
        <w:tc>
          <w:tcPr>
            <w:tcW w:type="dxa" w:w="3408"/>
            <w:vAlign w:val="center"/>
          </w:tcPr>
          <w:p>
            <w:r/>
            <w:r>
              <w:rPr>
                <w:rFonts w:ascii="Arial" w:hAnsi="Arial"/>
                <w:b w:val="0"/>
                <w:sz w:val="16"/>
              </w:rPr>
              <w:t>Certified Payroll Completeness</w:t>
            </w:r>
          </w:p>
        </w:tc>
        <w:tc>
          <w:tcPr>
            <w:tcW w:type="dxa" w:w="3408"/>
            <w:vAlign w:val="center"/>
          </w:tcPr>
          <w:p>
            <w:r/>
            <w:r>
              <w:rPr>
                <w:rFonts w:ascii="Arial" w:hAnsi="Arial"/>
                <w:b w:val="0"/>
                <w:sz w:val="16"/>
              </w:rPr>
              <w:t>The system shall enforce certified payroll completeness according to configured policy and retain evidence of the decision.</w:t>
            </w:r>
          </w:p>
        </w:tc>
      </w:tr>
      <w:tr>
        <w:tc>
          <w:tcPr>
            <w:tcW w:type="dxa" w:w="3408"/>
            <w:vAlign w:val="center"/>
          </w:tcPr>
          <w:p>
            <w:r/>
            <w:r>
              <w:rPr>
                <w:rFonts w:ascii="Arial" w:hAnsi="Arial"/>
                <w:b w:val="0"/>
                <w:sz w:val="16"/>
              </w:rPr>
              <w:t>BR-025</w:t>
            </w:r>
          </w:p>
        </w:tc>
        <w:tc>
          <w:tcPr>
            <w:tcW w:type="dxa" w:w="3408"/>
            <w:vAlign w:val="center"/>
          </w:tcPr>
          <w:p>
            <w:r/>
            <w:r>
              <w:rPr>
                <w:rFonts w:ascii="Arial" w:hAnsi="Arial"/>
                <w:b w:val="0"/>
                <w:sz w:val="16"/>
              </w:rPr>
              <w:t>Bank Reconciliation Completion</w:t>
            </w:r>
          </w:p>
        </w:tc>
        <w:tc>
          <w:tcPr>
            <w:tcW w:type="dxa" w:w="3408"/>
            <w:vAlign w:val="center"/>
          </w:tcPr>
          <w:p>
            <w:r/>
            <w:r>
              <w:rPr>
                <w:rFonts w:ascii="Arial" w:hAnsi="Arial"/>
                <w:b w:val="0"/>
                <w:sz w:val="16"/>
              </w:rPr>
              <w:t>The system shall enforce bank reconciliation completion according to configured policy and retain evidence of the decision.</w:t>
            </w:r>
          </w:p>
        </w:tc>
      </w:tr>
      <w:tr>
        <w:tc>
          <w:tcPr>
            <w:tcW w:type="dxa" w:w="3408"/>
            <w:vAlign w:val="center"/>
          </w:tcPr>
          <w:p>
            <w:r/>
            <w:r>
              <w:rPr>
                <w:rFonts w:ascii="Arial" w:hAnsi="Arial"/>
                <w:b w:val="0"/>
                <w:sz w:val="16"/>
              </w:rPr>
              <w:t>BR-026</w:t>
            </w:r>
          </w:p>
        </w:tc>
        <w:tc>
          <w:tcPr>
            <w:tcW w:type="dxa" w:w="3408"/>
            <w:vAlign w:val="center"/>
          </w:tcPr>
          <w:p>
            <w:r/>
            <w:r>
              <w:rPr>
                <w:rFonts w:ascii="Arial" w:hAnsi="Arial"/>
                <w:b w:val="0"/>
                <w:sz w:val="16"/>
              </w:rPr>
              <w:t>Positive Pay Authorization</w:t>
            </w:r>
          </w:p>
        </w:tc>
        <w:tc>
          <w:tcPr>
            <w:tcW w:type="dxa" w:w="3408"/>
            <w:vAlign w:val="center"/>
          </w:tcPr>
          <w:p>
            <w:r/>
            <w:r>
              <w:rPr>
                <w:rFonts w:ascii="Arial" w:hAnsi="Arial"/>
                <w:b w:val="0"/>
                <w:sz w:val="16"/>
              </w:rPr>
              <w:t>The system shall enforce positive pay authorization according to configured policy and retain evidence of the decision.</w:t>
            </w:r>
          </w:p>
        </w:tc>
      </w:tr>
      <w:tr>
        <w:tc>
          <w:tcPr>
            <w:tcW w:type="dxa" w:w="3408"/>
            <w:vAlign w:val="center"/>
          </w:tcPr>
          <w:p>
            <w:r/>
            <w:r>
              <w:rPr>
                <w:rFonts w:ascii="Arial" w:hAnsi="Arial"/>
                <w:b w:val="0"/>
                <w:sz w:val="16"/>
              </w:rPr>
              <w:t>BR-027</w:t>
            </w:r>
          </w:p>
        </w:tc>
        <w:tc>
          <w:tcPr>
            <w:tcW w:type="dxa" w:w="3408"/>
            <w:vAlign w:val="center"/>
          </w:tcPr>
          <w:p>
            <w:r/>
            <w:r>
              <w:rPr>
                <w:rFonts w:ascii="Arial" w:hAnsi="Arial"/>
                <w:b w:val="0"/>
                <w:sz w:val="16"/>
              </w:rPr>
              <w:t>Fixed Asset Capitalization</w:t>
            </w:r>
          </w:p>
        </w:tc>
        <w:tc>
          <w:tcPr>
            <w:tcW w:type="dxa" w:w="3408"/>
            <w:vAlign w:val="center"/>
          </w:tcPr>
          <w:p>
            <w:r/>
            <w:r>
              <w:rPr>
                <w:rFonts w:ascii="Arial" w:hAnsi="Arial"/>
                <w:b w:val="0"/>
                <w:sz w:val="16"/>
              </w:rPr>
              <w:t>The system shall enforce fixed asset capitalization according to configured policy and retain evidence of the decision.</w:t>
            </w:r>
          </w:p>
        </w:tc>
      </w:tr>
      <w:tr>
        <w:tc>
          <w:tcPr>
            <w:tcW w:type="dxa" w:w="3408"/>
            <w:vAlign w:val="center"/>
          </w:tcPr>
          <w:p>
            <w:r/>
            <w:r>
              <w:rPr>
                <w:rFonts w:ascii="Arial" w:hAnsi="Arial"/>
                <w:b w:val="0"/>
                <w:sz w:val="16"/>
              </w:rPr>
              <w:t>BR-028</w:t>
            </w:r>
          </w:p>
        </w:tc>
        <w:tc>
          <w:tcPr>
            <w:tcW w:type="dxa" w:w="3408"/>
            <w:vAlign w:val="center"/>
          </w:tcPr>
          <w:p>
            <w:r/>
            <w:r>
              <w:rPr>
                <w:rFonts w:ascii="Arial" w:hAnsi="Arial"/>
                <w:b w:val="0"/>
                <w:sz w:val="16"/>
              </w:rPr>
              <w:t>Depreciation Convention</w:t>
            </w:r>
          </w:p>
        </w:tc>
        <w:tc>
          <w:tcPr>
            <w:tcW w:type="dxa" w:w="3408"/>
            <w:vAlign w:val="center"/>
          </w:tcPr>
          <w:p>
            <w:r/>
            <w:r>
              <w:rPr>
                <w:rFonts w:ascii="Arial" w:hAnsi="Arial"/>
                <w:b w:val="0"/>
                <w:sz w:val="16"/>
              </w:rPr>
              <w:t>The system shall enforce depreciation convention according to configured policy and retain evidence of the decision.</w:t>
            </w:r>
          </w:p>
        </w:tc>
      </w:tr>
      <w:tr>
        <w:tc>
          <w:tcPr>
            <w:tcW w:type="dxa" w:w="3408"/>
            <w:vAlign w:val="center"/>
          </w:tcPr>
          <w:p>
            <w:r/>
            <w:r>
              <w:rPr>
                <w:rFonts w:ascii="Arial" w:hAnsi="Arial"/>
                <w:b w:val="0"/>
                <w:sz w:val="16"/>
              </w:rPr>
              <w:t>BR-029</w:t>
            </w:r>
          </w:p>
        </w:tc>
        <w:tc>
          <w:tcPr>
            <w:tcW w:type="dxa" w:w="3408"/>
            <w:vAlign w:val="center"/>
          </w:tcPr>
          <w:p>
            <w:r/>
            <w:r>
              <w:rPr>
                <w:rFonts w:ascii="Arial" w:hAnsi="Arial"/>
                <w:b w:val="0"/>
                <w:sz w:val="16"/>
              </w:rPr>
              <w:t>Asset Disposal Approval</w:t>
            </w:r>
          </w:p>
        </w:tc>
        <w:tc>
          <w:tcPr>
            <w:tcW w:type="dxa" w:w="3408"/>
            <w:vAlign w:val="center"/>
          </w:tcPr>
          <w:p>
            <w:r/>
            <w:r>
              <w:rPr>
                <w:rFonts w:ascii="Arial" w:hAnsi="Arial"/>
                <w:b w:val="0"/>
                <w:sz w:val="16"/>
              </w:rPr>
              <w:t>The system shall enforce asset disposal approval according to configured policy and retain evidence of the decision.</w:t>
            </w:r>
          </w:p>
        </w:tc>
      </w:tr>
      <w:tr>
        <w:tc>
          <w:tcPr>
            <w:tcW w:type="dxa" w:w="3408"/>
            <w:vAlign w:val="center"/>
          </w:tcPr>
          <w:p>
            <w:r/>
            <w:r>
              <w:rPr>
                <w:rFonts w:ascii="Arial" w:hAnsi="Arial"/>
                <w:b w:val="0"/>
                <w:sz w:val="16"/>
              </w:rPr>
              <w:t>BR-030</w:t>
            </w:r>
          </w:p>
        </w:tc>
        <w:tc>
          <w:tcPr>
            <w:tcW w:type="dxa" w:w="3408"/>
            <w:vAlign w:val="center"/>
          </w:tcPr>
          <w:p>
            <w:r/>
            <w:r>
              <w:rPr>
                <w:rFonts w:ascii="Arial" w:hAnsi="Arial"/>
                <w:b w:val="0"/>
                <w:sz w:val="16"/>
              </w:rPr>
              <w:t>Tax Jurisdiction Determination</w:t>
            </w:r>
          </w:p>
        </w:tc>
        <w:tc>
          <w:tcPr>
            <w:tcW w:type="dxa" w:w="3408"/>
            <w:vAlign w:val="center"/>
          </w:tcPr>
          <w:p>
            <w:r/>
            <w:r>
              <w:rPr>
                <w:rFonts w:ascii="Arial" w:hAnsi="Arial"/>
                <w:b w:val="0"/>
                <w:sz w:val="16"/>
              </w:rPr>
              <w:t>The system shall enforce tax jurisdiction determination according to configured policy and retain evidence of the decision.</w:t>
            </w:r>
          </w:p>
        </w:tc>
      </w:tr>
      <w:tr>
        <w:tc>
          <w:tcPr>
            <w:tcW w:type="dxa" w:w="3408"/>
            <w:vAlign w:val="center"/>
          </w:tcPr>
          <w:p>
            <w:r/>
            <w:r>
              <w:rPr>
                <w:rFonts w:ascii="Arial" w:hAnsi="Arial"/>
                <w:b w:val="0"/>
                <w:sz w:val="16"/>
              </w:rPr>
              <w:t>BR-031</w:t>
            </w:r>
          </w:p>
        </w:tc>
        <w:tc>
          <w:tcPr>
            <w:tcW w:type="dxa" w:w="3408"/>
            <w:vAlign w:val="center"/>
          </w:tcPr>
          <w:p>
            <w:r/>
            <w:r>
              <w:rPr>
                <w:rFonts w:ascii="Arial" w:hAnsi="Arial"/>
                <w:b w:val="0"/>
                <w:sz w:val="16"/>
              </w:rPr>
              <w:t>Tax Code Governance</w:t>
            </w:r>
          </w:p>
        </w:tc>
        <w:tc>
          <w:tcPr>
            <w:tcW w:type="dxa" w:w="3408"/>
            <w:vAlign w:val="center"/>
          </w:tcPr>
          <w:p>
            <w:r/>
            <w:r>
              <w:rPr>
                <w:rFonts w:ascii="Arial" w:hAnsi="Arial"/>
                <w:b w:val="0"/>
                <w:sz w:val="16"/>
              </w:rPr>
              <w:t>The system shall enforce tax code governance according to configured policy and retain evidence of the decision.</w:t>
            </w:r>
          </w:p>
        </w:tc>
      </w:tr>
      <w:tr>
        <w:tc>
          <w:tcPr>
            <w:tcW w:type="dxa" w:w="3408"/>
            <w:vAlign w:val="center"/>
          </w:tcPr>
          <w:p>
            <w:r/>
            <w:r>
              <w:rPr>
                <w:rFonts w:ascii="Arial" w:hAnsi="Arial"/>
                <w:b w:val="0"/>
                <w:sz w:val="16"/>
              </w:rPr>
              <w:t>BR-032</w:t>
            </w:r>
          </w:p>
        </w:tc>
        <w:tc>
          <w:tcPr>
            <w:tcW w:type="dxa" w:w="3408"/>
            <w:vAlign w:val="center"/>
          </w:tcPr>
          <w:p>
            <w:r/>
            <w:r>
              <w:rPr>
                <w:rFonts w:ascii="Arial" w:hAnsi="Arial"/>
                <w:b w:val="0"/>
                <w:sz w:val="16"/>
              </w:rPr>
              <w:t>Intercompany Balancing</w:t>
            </w:r>
          </w:p>
        </w:tc>
        <w:tc>
          <w:tcPr>
            <w:tcW w:type="dxa" w:w="3408"/>
            <w:vAlign w:val="center"/>
          </w:tcPr>
          <w:p>
            <w:r/>
            <w:r>
              <w:rPr>
                <w:rFonts w:ascii="Arial" w:hAnsi="Arial"/>
                <w:b w:val="0"/>
                <w:sz w:val="16"/>
              </w:rPr>
              <w:t>The system shall enforce intercompany balancing according to configured policy and retain evidence of the decision.</w:t>
            </w:r>
          </w:p>
        </w:tc>
      </w:tr>
      <w:tr>
        <w:tc>
          <w:tcPr>
            <w:tcW w:type="dxa" w:w="3408"/>
            <w:vAlign w:val="center"/>
          </w:tcPr>
          <w:p>
            <w:r/>
            <w:r>
              <w:rPr>
                <w:rFonts w:ascii="Arial" w:hAnsi="Arial"/>
                <w:b w:val="0"/>
                <w:sz w:val="16"/>
              </w:rPr>
              <w:t>BR-033</w:t>
            </w:r>
          </w:p>
        </w:tc>
        <w:tc>
          <w:tcPr>
            <w:tcW w:type="dxa" w:w="3408"/>
            <w:vAlign w:val="center"/>
          </w:tcPr>
          <w:p>
            <w:r/>
            <w:r>
              <w:rPr>
                <w:rFonts w:ascii="Arial" w:hAnsi="Arial"/>
                <w:b w:val="0"/>
                <w:sz w:val="16"/>
              </w:rPr>
              <w:t>Consolidation Elimination</w:t>
            </w:r>
          </w:p>
        </w:tc>
        <w:tc>
          <w:tcPr>
            <w:tcW w:type="dxa" w:w="3408"/>
            <w:vAlign w:val="center"/>
          </w:tcPr>
          <w:p>
            <w:r/>
            <w:r>
              <w:rPr>
                <w:rFonts w:ascii="Arial" w:hAnsi="Arial"/>
                <w:b w:val="0"/>
                <w:sz w:val="16"/>
              </w:rPr>
              <w:t>The system shall enforce consolidation elimination according to configured policy and retain evidence of the decision.</w:t>
            </w:r>
          </w:p>
        </w:tc>
      </w:tr>
      <w:tr>
        <w:tc>
          <w:tcPr>
            <w:tcW w:type="dxa" w:w="3408"/>
            <w:vAlign w:val="center"/>
          </w:tcPr>
          <w:p>
            <w:r/>
            <w:r>
              <w:rPr>
                <w:rFonts w:ascii="Arial" w:hAnsi="Arial"/>
                <w:b w:val="0"/>
                <w:sz w:val="16"/>
              </w:rPr>
              <w:t>BR-034</w:t>
            </w:r>
          </w:p>
        </w:tc>
        <w:tc>
          <w:tcPr>
            <w:tcW w:type="dxa" w:w="3408"/>
            <w:vAlign w:val="center"/>
          </w:tcPr>
          <w:p>
            <w:r/>
            <w:r>
              <w:rPr>
                <w:rFonts w:ascii="Arial" w:hAnsi="Arial"/>
                <w:b w:val="0"/>
                <w:sz w:val="16"/>
              </w:rPr>
              <w:t>Currency Conversion</w:t>
            </w:r>
          </w:p>
        </w:tc>
        <w:tc>
          <w:tcPr>
            <w:tcW w:type="dxa" w:w="3408"/>
            <w:vAlign w:val="center"/>
          </w:tcPr>
          <w:p>
            <w:r/>
            <w:r>
              <w:rPr>
                <w:rFonts w:ascii="Arial" w:hAnsi="Arial"/>
                <w:b w:val="0"/>
                <w:sz w:val="16"/>
              </w:rPr>
              <w:t>The system shall enforce currency conversion according to configured policy and retain evidence of the decision.</w:t>
            </w:r>
          </w:p>
        </w:tc>
      </w:tr>
      <w:tr>
        <w:tc>
          <w:tcPr>
            <w:tcW w:type="dxa" w:w="3408"/>
            <w:vAlign w:val="center"/>
          </w:tcPr>
          <w:p>
            <w:r/>
            <w:r>
              <w:rPr>
                <w:rFonts w:ascii="Arial" w:hAnsi="Arial"/>
                <w:b w:val="0"/>
                <w:sz w:val="16"/>
              </w:rPr>
              <w:t>BR-035</w:t>
            </w:r>
          </w:p>
        </w:tc>
        <w:tc>
          <w:tcPr>
            <w:tcW w:type="dxa" w:w="3408"/>
            <w:vAlign w:val="center"/>
          </w:tcPr>
          <w:p>
            <w:r/>
            <w:r>
              <w:rPr>
                <w:rFonts w:ascii="Arial" w:hAnsi="Arial"/>
                <w:b w:val="0"/>
                <w:sz w:val="16"/>
              </w:rPr>
              <w:t>Financial Close Checklist</w:t>
            </w:r>
          </w:p>
        </w:tc>
        <w:tc>
          <w:tcPr>
            <w:tcW w:type="dxa" w:w="3408"/>
            <w:vAlign w:val="center"/>
          </w:tcPr>
          <w:p>
            <w:r/>
            <w:r>
              <w:rPr>
                <w:rFonts w:ascii="Arial" w:hAnsi="Arial"/>
                <w:b w:val="0"/>
                <w:sz w:val="16"/>
              </w:rPr>
              <w:t>The system shall enforce financial close checklist according to configured policy and retain evidence of the decision.</w:t>
            </w:r>
          </w:p>
        </w:tc>
      </w:tr>
      <w:tr>
        <w:tc>
          <w:tcPr>
            <w:tcW w:type="dxa" w:w="3408"/>
            <w:vAlign w:val="center"/>
          </w:tcPr>
          <w:p>
            <w:r/>
            <w:r>
              <w:rPr>
                <w:rFonts w:ascii="Arial" w:hAnsi="Arial"/>
                <w:b w:val="0"/>
                <w:sz w:val="16"/>
              </w:rPr>
              <w:t>BR-036</w:t>
            </w:r>
          </w:p>
        </w:tc>
        <w:tc>
          <w:tcPr>
            <w:tcW w:type="dxa" w:w="3408"/>
            <w:vAlign w:val="center"/>
          </w:tcPr>
          <w:p>
            <w:r/>
            <w:r>
              <w:rPr>
                <w:rFonts w:ascii="Arial" w:hAnsi="Arial"/>
                <w:b w:val="0"/>
                <w:sz w:val="16"/>
              </w:rPr>
              <w:t>Data Import Balancing</w:t>
            </w:r>
          </w:p>
        </w:tc>
        <w:tc>
          <w:tcPr>
            <w:tcW w:type="dxa" w:w="3408"/>
            <w:vAlign w:val="center"/>
          </w:tcPr>
          <w:p>
            <w:r/>
            <w:r>
              <w:rPr>
                <w:rFonts w:ascii="Arial" w:hAnsi="Arial"/>
                <w:b w:val="0"/>
                <w:sz w:val="16"/>
              </w:rPr>
              <w:t>The system shall enforce data import balancing according to configured policy and retain evidence of the decision.</w:t>
            </w:r>
          </w:p>
        </w:tc>
      </w:tr>
      <w:tr>
        <w:tc>
          <w:tcPr>
            <w:tcW w:type="dxa" w:w="3408"/>
            <w:vAlign w:val="center"/>
          </w:tcPr>
          <w:p>
            <w:r/>
            <w:r>
              <w:rPr>
                <w:rFonts w:ascii="Arial" w:hAnsi="Arial"/>
                <w:b w:val="0"/>
                <w:sz w:val="16"/>
              </w:rPr>
              <w:t>BR-037</w:t>
            </w:r>
          </w:p>
        </w:tc>
        <w:tc>
          <w:tcPr>
            <w:tcW w:type="dxa" w:w="3408"/>
            <w:vAlign w:val="center"/>
          </w:tcPr>
          <w:p>
            <w:r/>
            <w:r>
              <w:rPr>
                <w:rFonts w:ascii="Arial" w:hAnsi="Arial"/>
                <w:b w:val="0"/>
                <w:sz w:val="16"/>
              </w:rPr>
              <w:t>Ai Recommendation Approval</w:t>
            </w:r>
          </w:p>
        </w:tc>
        <w:tc>
          <w:tcPr>
            <w:tcW w:type="dxa" w:w="3408"/>
            <w:vAlign w:val="center"/>
          </w:tcPr>
          <w:p>
            <w:r/>
            <w:r>
              <w:rPr>
                <w:rFonts w:ascii="Arial" w:hAnsi="Arial"/>
                <w:b w:val="0"/>
                <w:sz w:val="16"/>
              </w:rPr>
              <w:t>The system shall enforce AI recommendation approval according to configured policy and retain evidence of the decision.</w:t>
            </w:r>
          </w:p>
        </w:tc>
      </w:tr>
      <w:tr>
        <w:tc>
          <w:tcPr>
            <w:tcW w:type="dxa" w:w="3408"/>
            <w:vAlign w:val="center"/>
          </w:tcPr>
          <w:p>
            <w:r/>
            <w:r>
              <w:rPr>
                <w:rFonts w:ascii="Arial" w:hAnsi="Arial"/>
                <w:b w:val="0"/>
                <w:sz w:val="16"/>
              </w:rPr>
              <w:t>BR-038</w:t>
            </w:r>
          </w:p>
        </w:tc>
        <w:tc>
          <w:tcPr>
            <w:tcW w:type="dxa" w:w="3408"/>
            <w:vAlign w:val="center"/>
          </w:tcPr>
          <w:p>
            <w:r/>
            <w:r>
              <w:rPr>
                <w:rFonts w:ascii="Arial" w:hAnsi="Arial"/>
                <w:b w:val="0"/>
                <w:sz w:val="16"/>
              </w:rPr>
              <w:t>Anomaly Case Resolution</w:t>
            </w:r>
          </w:p>
        </w:tc>
        <w:tc>
          <w:tcPr>
            <w:tcW w:type="dxa" w:w="3408"/>
            <w:vAlign w:val="center"/>
          </w:tcPr>
          <w:p>
            <w:r/>
            <w:r>
              <w:rPr>
                <w:rFonts w:ascii="Arial" w:hAnsi="Arial"/>
                <w:b w:val="0"/>
                <w:sz w:val="16"/>
              </w:rPr>
              <w:t>The system shall enforce anomaly case resolution according to configured policy and retain evidence of the decision.</w:t>
            </w:r>
          </w:p>
        </w:tc>
      </w:tr>
      <w:tr>
        <w:tc>
          <w:tcPr>
            <w:tcW w:type="dxa" w:w="3408"/>
            <w:vAlign w:val="center"/>
          </w:tcPr>
          <w:p>
            <w:r/>
            <w:r>
              <w:rPr>
                <w:rFonts w:ascii="Arial" w:hAnsi="Arial"/>
                <w:b w:val="0"/>
                <w:sz w:val="16"/>
              </w:rPr>
              <w:t>BR-039</w:t>
            </w:r>
          </w:p>
        </w:tc>
        <w:tc>
          <w:tcPr>
            <w:tcW w:type="dxa" w:w="3408"/>
            <w:vAlign w:val="center"/>
          </w:tcPr>
          <w:p>
            <w:r/>
            <w:r>
              <w:rPr>
                <w:rFonts w:ascii="Arial" w:hAnsi="Arial"/>
                <w:b w:val="0"/>
                <w:sz w:val="16"/>
              </w:rPr>
              <w:t>Audit Evidence Retention</w:t>
            </w:r>
          </w:p>
        </w:tc>
        <w:tc>
          <w:tcPr>
            <w:tcW w:type="dxa" w:w="3408"/>
            <w:vAlign w:val="center"/>
          </w:tcPr>
          <w:p>
            <w:r/>
            <w:r>
              <w:rPr>
                <w:rFonts w:ascii="Arial" w:hAnsi="Arial"/>
                <w:b w:val="0"/>
                <w:sz w:val="16"/>
              </w:rPr>
              <w:t>The system shall enforce audit evidence retention according to configured policy and retain evidence of the decision.</w:t>
            </w:r>
          </w:p>
        </w:tc>
      </w:tr>
      <w:tr>
        <w:tc>
          <w:tcPr>
            <w:tcW w:type="dxa" w:w="3408"/>
            <w:vAlign w:val="center"/>
          </w:tcPr>
          <w:p>
            <w:r/>
            <w:r>
              <w:rPr>
                <w:rFonts w:ascii="Arial" w:hAnsi="Arial"/>
                <w:b w:val="0"/>
                <w:sz w:val="16"/>
              </w:rPr>
              <w:t>BR-040</w:t>
            </w:r>
          </w:p>
        </w:tc>
        <w:tc>
          <w:tcPr>
            <w:tcW w:type="dxa" w:w="3408"/>
            <w:vAlign w:val="center"/>
          </w:tcPr>
          <w:p>
            <w:r/>
            <w:r>
              <w:rPr>
                <w:rFonts w:ascii="Arial" w:hAnsi="Arial"/>
                <w:b w:val="0"/>
                <w:sz w:val="16"/>
              </w:rPr>
              <w:t>Tenant Data Isolation</w:t>
            </w:r>
          </w:p>
        </w:tc>
        <w:tc>
          <w:tcPr>
            <w:tcW w:type="dxa" w:w="3408"/>
            <w:vAlign w:val="center"/>
          </w:tcPr>
          <w:p>
            <w:r/>
            <w:r>
              <w:rPr>
                <w:rFonts w:ascii="Arial" w:hAnsi="Arial"/>
                <w:b w:val="0"/>
                <w:sz w:val="16"/>
              </w:rPr>
              <w:t>The system shall enforce tenant data isolation according to configured policy and retain evidence of the decision.</w:t>
            </w:r>
          </w:p>
        </w:tc>
      </w:tr>
    </w:tbl>
    <w:p>
      <w:pPr>
        <w:pStyle w:val="Heading1"/>
      </w:pPr>
      <w:r>
        <w:t>Representative Controlled Requirements</w:t>
      </w:r>
    </w:p>
    <w:tbl>
      <w:tblPr>
        <w:tblStyle w:val="TableGrid"/>
        <w:tblW w:type="auto" w:w="0"/>
        <w:tblLook w:firstColumn="1" w:firstRow="1" w:lastColumn="0" w:lastRow="0" w:noHBand="0" w:noVBand="1" w:val="04A0"/>
      </w:tblPr>
      <w:tblGrid>
        <w:gridCol w:w="2556"/>
        <w:gridCol w:w="2556"/>
        <w:gridCol w:w="2556"/>
        <w:gridCol w:w="2556"/>
      </w:tblGrid>
      <w:tr>
        <w:tc>
          <w:tcPr>
            <w:tcW w:type="dxa" w:w="2556"/>
            <w:vAlign w:val="center"/>
            <w:shd w:fill="17365D"/>
          </w:tcPr>
          <w:p>
            <w:r/>
            <w:r>
              <w:rPr>
                <w:rFonts w:ascii="Arial" w:hAnsi="Arial"/>
                <w:b/>
                <w:color w:val="FFFFFF"/>
                <w:sz w:val="16"/>
              </w:rPr>
              <w:t>ID</w:t>
            </w:r>
          </w:p>
        </w:tc>
        <w:tc>
          <w:tcPr>
            <w:tcW w:type="dxa" w:w="2556"/>
            <w:vAlign w:val="center"/>
            <w:shd w:fill="17365D"/>
          </w:tcPr>
          <w:p>
            <w:r/>
            <w:r>
              <w:rPr>
                <w:rFonts w:ascii="Arial" w:hAnsi="Arial"/>
                <w:b/>
                <w:color w:val="FFFFFF"/>
                <w:sz w:val="16"/>
              </w:rPr>
              <w:t>Module</w:t>
            </w:r>
          </w:p>
        </w:tc>
        <w:tc>
          <w:tcPr>
            <w:tcW w:type="dxa" w:w="2556"/>
            <w:vAlign w:val="center"/>
            <w:shd w:fill="17365D"/>
          </w:tcPr>
          <w:p>
            <w:r/>
            <w:r>
              <w:rPr>
                <w:rFonts w:ascii="Arial" w:hAnsi="Arial"/>
                <w:b/>
                <w:color w:val="FFFFFF"/>
                <w:sz w:val="16"/>
              </w:rPr>
              <w:t>Requirement</w:t>
            </w:r>
          </w:p>
        </w:tc>
        <w:tc>
          <w:tcPr>
            <w:tcW w:type="dxa" w:w="2556"/>
            <w:vAlign w:val="center"/>
            <w:shd w:fill="17365D"/>
          </w:tcPr>
          <w:p>
            <w:r/>
            <w:r>
              <w:rPr>
                <w:rFonts w:ascii="Arial" w:hAnsi="Arial"/>
                <w:b/>
                <w:color w:val="FFFFFF"/>
                <w:sz w:val="16"/>
              </w:rPr>
              <w:t>Priority</w:t>
            </w:r>
          </w:p>
        </w:tc>
      </w:tr>
      <w:tr>
        <w:tc>
          <w:tcPr>
            <w:tcW w:type="dxa" w:w="2556"/>
            <w:vAlign w:val="center"/>
          </w:tcPr>
          <w:p>
            <w:r/>
            <w:r>
              <w:rPr>
                <w:rFonts w:ascii="Arial" w:hAnsi="Arial"/>
                <w:b w:val="0"/>
                <w:sz w:val="14"/>
              </w:rPr>
              <w:t>GES-P10-REQ-001</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maintain tenant-scoped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GES-P10-REQ-002</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support configurable approval thresholds and routing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GES-P10-REQ-003</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create an immutable audit event for every create, update, approve, post, reverse, export, and delete action involving multi-company, multi-entity, fiscal calendars, chart of accounts, periods, currencies, and financial controls.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GES-P10-REQ-004</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enforce role-based and attribute-based access controls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GES-P10-REQ-005</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support effective dating, versioning, and historical reconstruction of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GES-P10-REQ-006</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validate source-to-ledger balance and reject unbalanced transactions involving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GES-P10-REQ-007</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provide configurable statuses and state transitions for multi-company, multi-entity, fiscal calendars, chart of accounts, periods, currencies, and financial controls.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GES-P10-REQ-008</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expose governed APIs and event notifications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GES-P10-REQ-009</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provide dashboards, drill-downs, and exportable reports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GES-P10-REQ-010</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support attachments, notes, evidence, and source-document lineage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GES-P10-REQ-011</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support multi-company and intercompany processing where applicable to multi-company, multi-entity, fiscal calendars, chart of accounts, periods, currencies, and financial controls.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GES-P10-REQ-012</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support configurable accounting dimensions including company, project, department, cost code, equipment, customer, vendor, and location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GES-P10-REQ-013</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detect duplicates, anomalies, missing data, and policy exceptions involving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GES-P10-REQ-014</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support period controls, cutoff validation, and posting-date governance for multi-company, multi-entity, fiscal calendars, chart of accounts, periods, currencies, and financial controls.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GES-P10-REQ-015</w:t>
            </w:r>
          </w:p>
        </w:tc>
        <w:tc>
          <w:tcPr>
            <w:tcW w:type="dxa" w:w="2556"/>
            <w:vAlign w:val="center"/>
          </w:tcPr>
          <w:p>
            <w:r/>
            <w:r>
              <w:rPr>
                <w:rFonts w:ascii="Arial" w:hAnsi="Arial"/>
                <w:b w:val="0"/>
                <w:sz w:val="14"/>
              </w:rPr>
              <w:t>Financial Core &amp; Governance</w:t>
            </w:r>
          </w:p>
        </w:tc>
        <w:tc>
          <w:tcPr>
            <w:tcW w:type="dxa" w:w="2556"/>
            <w:vAlign w:val="center"/>
          </w:tcPr>
          <w:p>
            <w:r/>
            <w:r>
              <w:rPr>
                <w:rFonts w:ascii="Arial" w:hAnsi="Arial"/>
                <w:b w:val="0"/>
                <w:sz w:val="14"/>
              </w:rPr>
              <w:t>The platform shall preserve traceability from originating operational transaction through final financial statement impact for multi-company, multi-entity, fiscal calendars, chart of accounts, periods, currencies, and financial controls.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GES-P10-REQ-016</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maintain tenant-scoped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GES-P10-REQ-017</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support configurable approval thresholds and routing for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GES-P10-REQ-018</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create an immutable audit event for every create, update, approve, post, reverse, export, and delete action involving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GES-P10-REQ-019</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enforce role-based and attribute-based access controls for journal entries, recurring journals, allocations, intercompany, consolidation, trial balance, and close.</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GES-P10-REQ-020</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support effective dating, versioning, and historical reconstruction of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GES-P10-REQ-021</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validate source-to-ledger balance and reject unbalanced transactions involving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GES-P10-REQ-022</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provide configurable statuses and state transitions for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GES-P10-REQ-023</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expose governed APIs and event notifications for journal entries, recurring journals, allocations, intercompany, consolidation, trial balance, and close.</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GES-P10-REQ-024</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provide dashboards, drill-downs, and exportable reports for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GES-P10-REQ-025</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support attachments, notes, evidence, and source-document lineage for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GES-P10-REQ-026</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support multi-company and intercompany processing where applicable to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GES-P10-REQ-027</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support configurable accounting dimensions including company, project, department, cost code, equipment, customer, vendor, and location for journal entries, recurring journals, allocations, intercompany, consolidation, trial balance, and close.</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GES-P10-REQ-028</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detect duplicates, anomalies, missing data, and policy exceptions involving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GES-P10-REQ-029</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support period controls, cutoff validation, and posting-date governance for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GES-P10-REQ-030</w:t>
            </w:r>
          </w:p>
        </w:tc>
        <w:tc>
          <w:tcPr>
            <w:tcW w:type="dxa" w:w="2556"/>
            <w:vAlign w:val="center"/>
          </w:tcPr>
          <w:p>
            <w:r/>
            <w:r>
              <w:rPr>
                <w:rFonts w:ascii="Arial" w:hAnsi="Arial"/>
                <w:b w:val="0"/>
                <w:sz w:val="14"/>
              </w:rPr>
              <w:t>General Ledger</w:t>
            </w:r>
          </w:p>
        </w:tc>
        <w:tc>
          <w:tcPr>
            <w:tcW w:type="dxa" w:w="2556"/>
            <w:vAlign w:val="center"/>
          </w:tcPr>
          <w:p>
            <w:r/>
            <w:r>
              <w:rPr>
                <w:rFonts w:ascii="Arial" w:hAnsi="Arial"/>
                <w:b w:val="0"/>
                <w:sz w:val="14"/>
              </w:rPr>
              <w:t>The platform shall preserve traceability from originating operational transaction through final financial statement impact for journal entries, recurring journals, allocations, intercompany, consolidation, trial balance, and close.</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GES-P10-REQ-031</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maintain tenant-scoped vendor invoices, credits, approval, three-way match, retainage, payment processing, and 1099 readiness.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GES-P10-REQ-032</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support configurable approval thresholds and routing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GES-P10-REQ-033</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create an immutable audit event for every create, update, approve, post, reverse, export, and delete action involving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GES-P10-REQ-034</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enforce role-based and attribute-based access controls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GES-P10-REQ-035</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support effective dating, versioning, and historical reconstruction of vendor invoices, credits, approval, three-way match, retainage, payment processing, and 1099 readiness.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GES-P10-REQ-036</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validate source-to-ledger balance and reject unbalanced transactions involving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GES-P10-REQ-037</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provide configurable statuses and state transitions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GES-P10-REQ-038</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expose governed APIs and event notifications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GES-P10-REQ-039</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provide dashboards, drill-downs, and exportable reports for vendor invoices, credits, approval, three-way match, retainage, payment processing, and 1099 readiness.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GES-P10-REQ-040</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support attachments, notes, evidence, and source-document lineage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GES-P10-REQ-041</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support multi-company and intercompany processing where applicable to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GES-P10-REQ-042</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support configurable accounting dimensions including company, project, department, cost code, equipment, customer, vendor, and location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GES-P10-REQ-043</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detect duplicates, anomalies, missing data, and policy exceptions involving vendor invoices, credits, approval, three-way match, retainage, payment processing, and 1099 readiness.</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GES-P10-REQ-044</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support period controls, cutoff validation, and posting-date governance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GES-P10-REQ-045</w:t>
            </w:r>
          </w:p>
        </w:tc>
        <w:tc>
          <w:tcPr>
            <w:tcW w:type="dxa" w:w="2556"/>
            <w:vAlign w:val="center"/>
          </w:tcPr>
          <w:p>
            <w:r/>
            <w:r>
              <w:rPr>
                <w:rFonts w:ascii="Arial" w:hAnsi="Arial"/>
                <w:b w:val="0"/>
                <w:sz w:val="14"/>
              </w:rPr>
              <w:t>Accounts Payable</w:t>
            </w:r>
          </w:p>
        </w:tc>
        <w:tc>
          <w:tcPr>
            <w:tcW w:type="dxa" w:w="2556"/>
            <w:vAlign w:val="center"/>
          </w:tcPr>
          <w:p>
            <w:r/>
            <w:r>
              <w:rPr>
                <w:rFonts w:ascii="Arial" w:hAnsi="Arial"/>
                <w:b w:val="0"/>
                <w:sz w:val="14"/>
              </w:rPr>
              <w:t>The platform shall preserve traceability from originating operational transaction through final financial statement impact for vendor invoices, credits, approval, three-way match, retainage, payment processing, and 1099 readiness.</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GES-P10-REQ-046</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maintain tenant-scoped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GES-P10-REQ-047</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support configurable approval thresholds and routing for customer invoicing, cash receipts, collections, credit controls, retainage, and aging.</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GES-P10-REQ-048</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create an immutable audit event for every create, update, approve, post, reverse, export, and delete action involving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GES-P10-REQ-049</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enforce role-based and attribute-based access controls for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GES-P10-REQ-050</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support effective dating, versioning, and historical reconstruction of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GES-P10-REQ-051</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validate source-to-ledger balance and reject unbalanced transactions involving customer invoicing, cash receipts, collections, credit controls, retainage, and aging.</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GES-P10-REQ-052</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provide configurable statuses and state transitions for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GES-P10-REQ-053</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expose governed APIs and event notifications for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GES-P10-REQ-054</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provide dashboards, drill-downs, and exportable reports for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GES-P10-REQ-055</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support attachments, notes, evidence, and source-document lineage for customer invoicing, cash receipts, collections, credit controls, retainage, and aging.</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GES-P10-REQ-056</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support multi-company and intercompany processing where applicable to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GES-P10-REQ-057</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support configurable accounting dimensions including company, project, department, cost code, equipment, customer, vendor, and location for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GES-P10-REQ-058</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detect duplicates, anomalies, missing data, and policy exceptions involving customer invoicing, cash receipts, collections, credit controls, retainage, and aging.</w:t>
            </w:r>
          </w:p>
        </w:tc>
        <w:tc>
          <w:tcPr>
            <w:tcW w:type="dxa" w:w="2556"/>
            <w:vAlign w:val="center"/>
          </w:tcPr>
          <w:p>
            <w:r/>
            <w:r>
              <w:rPr>
                <w:rFonts w:ascii="Arial" w:hAnsi="Arial"/>
                <w:b w:val="0"/>
                <w:sz w:val="14"/>
              </w:rPr>
              <w:t>Must</w:t>
            </w:r>
          </w:p>
        </w:tc>
      </w:tr>
      <w:tr>
        <w:tc>
          <w:tcPr>
            <w:tcW w:type="dxa" w:w="2556"/>
            <w:vAlign w:val="center"/>
          </w:tcPr>
          <w:p>
            <w:r/>
            <w:r>
              <w:rPr>
                <w:rFonts w:ascii="Arial" w:hAnsi="Arial"/>
                <w:b w:val="0"/>
                <w:sz w:val="14"/>
              </w:rPr>
              <w:t>GES-P10-REQ-059</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support period controls, cutoff validation, and posting-date governance for customer invoicing, cash receipts, collections, credit controls, retainage, and aging.</w:t>
            </w:r>
          </w:p>
        </w:tc>
        <w:tc>
          <w:tcPr>
            <w:tcW w:type="dxa" w:w="2556"/>
            <w:vAlign w:val="center"/>
          </w:tcPr>
          <w:p>
            <w:r/>
            <w:r>
              <w:rPr>
                <w:rFonts w:ascii="Arial" w:hAnsi="Arial"/>
                <w:b w:val="0"/>
                <w:sz w:val="14"/>
              </w:rPr>
              <w:t>Should</w:t>
            </w:r>
          </w:p>
        </w:tc>
      </w:tr>
      <w:tr>
        <w:tc>
          <w:tcPr>
            <w:tcW w:type="dxa" w:w="2556"/>
            <w:vAlign w:val="center"/>
          </w:tcPr>
          <w:p>
            <w:r/>
            <w:r>
              <w:rPr>
                <w:rFonts w:ascii="Arial" w:hAnsi="Arial"/>
                <w:b w:val="0"/>
                <w:sz w:val="14"/>
              </w:rPr>
              <w:t>GES-P10-REQ-060</w:t>
            </w:r>
          </w:p>
        </w:tc>
        <w:tc>
          <w:tcPr>
            <w:tcW w:type="dxa" w:w="2556"/>
            <w:vAlign w:val="center"/>
          </w:tcPr>
          <w:p>
            <w:r/>
            <w:r>
              <w:rPr>
                <w:rFonts w:ascii="Arial" w:hAnsi="Arial"/>
                <w:b w:val="0"/>
                <w:sz w:val="14"/>
              </w:rPr>
              <w:t>Accounts Receivable</w:t>
            </w:r>
          </w:p>
        </w:tc>
        <w:tc>
          <w:tcPr>
            <w:tcW w:type="dxa" w:w="2556"/>
            <w:vAlign w:val="center"/>
          </w:tcPr>
          <w:p>
            <w:r/>
            <w:r>
              <w:rPr>
                <w:rFonts w:ascii="Arial" w:hAnsi="Arial"/>
                <w:b w:val="0"/>
                <w:sz w:val="14"/>
              </w:rPr>
              <w:t>The platform shall preserve traceability from originating operational transaction through final financial statement impact for customer invoicing, cash receipts, collections, credit controls, retainage, and aging.</w:t>
            </w:r>
          </w:p>
        </w:tc>
        <w:tc>
          <w:tcPr>
            <w:tcW w:type="dxa" w:w="2556"/>
            <w:vAlign w:val="center"/>
          </w:tcPr>
          <w:p>
            <w:r/>
            <w:r>
              <w:rPr>
                <w:rFonts w:ascii="Arial" w:hAnsi="Arial"/>
                <w:b w:val="0"/>
                <w:sz w:val="14"/>
              </w:rPr>
              <w:t>Must</w:t>
            </w:r>
          </w:p>
        </w:tc>
      </w:tr>
    </w:tbl>
    <w:p>
      <w:pPr>
        <w:pStyle w:val="Heading1"/>
      </w:pPr>
      <w:r>
        <w:t>Reporting and KPI Catalog</w:t>
      </w:r>
    </w:p>
    <w:tbl>
      <w:tblPr>
        <w:tblStyle w:val="TableGrid"/>
        <w:tblW w:type="auto" w:w="0"/>
        <w:tblLook w:firstColumn="1" w:firstRow="1" w:lastColumn="0" w:lastRow="0" w:noHBand="0" w:noVBand="1" w:val="04A0"/>
      </w:tblPr>
      <w:tblGrid>
        <w:gridCol w:w="5112"/>
        <w:gridCol w:w="5112"/>
      </w:tblGrid>
      <w:tr>
        <w:tc>
          <w:tcPr>
            <w:tcW w:type="dxa" w:w="5112"/>
            <w:vAlign w:val="center"/>
            <w:shd w:fill="17365D"/>
          </w:tcPr>
          <w:p>
            <w:r/>
            <w:r>
              <w:rPr>
                <w:rFonts w:ascii="Arial" w:hAnsi="Arial"/>
                <w:b/>
                <w:color w:val="FFFFFF"/>
                <w:sz w:val="16"/>
              </w:rPr>
              <w:t>Reports</w:t>
            </w:r>
          </w:p>
        </w:tc>
        <w:tc>
          <w:tcPr>
            <w:tcW w:type="dxa" w:w="5112"/>
            <w:vAlign w:val="center"/>
            <w:shd w:fill="17365D"/>
          </w:tcPr>
          <w:p>
            <w:r/>
            <w:r>
              <w:rPr>
                <w:rFonts w:ascii="Arial" w:hAnsi="Arial"/>
                <w:b/>
                <w:color w:val="FFFFFF"/>
                <w:sz w:val="16"/>
              </w:rPr>
              <w:t>KPIs</w:t>
            </w:r>
          </w:p>
        </w:tc>
      </w:tr>
      <w:tr>
        <w:tc>
          <w:tcPr>
            <w:tcW w:type="dxa" w:w="5112"/>
            <w:vAlign w:val="center"/>
          </w:tcPr>
          <w:p>
            <w:r/>
            <w:r>
              <w:rPr>
                <w:rFonts w:ascii="Arial" w:hAnsi="Arial"/>
                <w:b w:val="0"/>
                <w:sz w:val="16"/>
              </w:rPr>
              <w:t>Balance Sheet</w:t>
            </w:r>
          </w:p>
        </w:tc>
        <w:tc>
          <w:tcPr>
            <w:tcW w:type="dxa" w:w="5112"/>
            <w:vAlign w:val="center"/>
          </w:tcPr>
          <w:p>
            <w:r/>
            <w:r>
              <w:rPr>
                <w:rFonts w:ascii="Arial" w:hAnsi="Arial"/>
                <w:b w:val="0"/>
                <w:sz w:val="16"/>
              </w:rPr>
              <w:t>Revenue</w:t>
            </w:r>
          </w:p>
        </w:tc>
      </w:tr>
      <w:tr>
        <w:tc>
          <w:tcPr>
            <w:tcW w:type="dxa" w:w="5112"/>
            <w:vAlign w:val="center"/>
          </w:tcPr>
          <w:p>
            <w:r/>
            <w:r>
              <w:rPr>
                <w:rFonts w:ascii="Arial" w:hAnsi="Arial"/>
                <w:b w:val="0"/>
                <w:sz w:val="16"/>
              </w:rPr>
              <w:t>Income Statement</w:t>
            </w:r>
          </w:p>
        </w:tc>
        <w:tc>
          <w:tcPr>
            <w:tcW w:type="dxa" w:w="5112"/>
            <w:vAlign w:val="center"/>
          </w:tcPr>
          <w:p>
            <w:r/>
            <w:r>
              <w:rPr>
                <w:rFonts w:ascii="Arial" w:hAnsi="Arial"/>
                <w:b w:val="0"/>
                <w:sz w:val="16"/>
              </w:rPr>
              <w:t>Gross Profit</w:t>
            </w:r>
          </w:p>
        </w:tc>
      </w:tr>
      <w:tr>
        <w:tc>
          <w:tcPr>
            <w:tcW w:type="dxa" w:w="5112"/>
            <w:vAlign w:val="center"/>
          </w:tcPr>
          <w:p>
            <w:r/>
            <w:r>
              <w:rPr>
                <w:rFonts w:ascii="Arial" w:hAnsi="Arial"/>
                <w:b w:val="0"/>
                <w:sz w:val="16"/>
              </w:rPr>
              <w:t>Statement of Cash Flows</w:t>
            </w:r>
          </w:p>
        </w:tc>
        <w:tc>
          <w:tcPr>
            <w:tcW w:type="dxa" w:w="5112"/>
            <w:vAlign w:val="center"/>
          </w:tcPr>
          <w:p>
            <w:r/>
            <w:r>
              <w:rPr>
                <w:rFonts w:ascii="Arial" w:hAnsi="Arial"/>
                <w:b w:val="0"/>
                <w:sz w:val="16"/>
              </w:rPr>
              <w:t>Gross Margin %</w:t>
            </w:r>
          </w:p>
        </w:tc>
      </w:tr>
      <w:tr>
        <w:tc>
          <w:tcPr>
            <w:tcW w:type="dxa" w:w="5112"/>
            <w:vAlign w:val="center"/>
          </w:tcPr>
          <w:p>
            <w:r/>
            <w:r>
              <w:rPr>
                <w:rFonts w:ascii="Arial" w:hAnsi="Arial"/>
                <w:b w:val="0"/>
                <w:sz w:val="16"/>
              </w:rPr>
              <w:t>Trial Balance</w:t>
            </w:r>
          </w:p>
        </w:tc>
        <w:tc>
          <w:tcPr>
            <w:tcW w:type="dxa" w:w="5112"/>
            <w:vAlign w:val="center"/>
          </w:tcPr>
          <w:p>
            <w:r/>
            <w:r>
              <w:rPr>
                <w:rFonts w:ascii="Arial" w:hAnsi="Arial"/>
                <w:b w:val="0"/>
                <w:sz w:val="16"/>
              </w:rPr>
              <w:t>Operating Income</w:t>
            </w:r>
          </w:p>
        </w:tc>
      </w:tr>
      <w:tr>
        <w:tc>
          <w:tcPr>
            <w:tcW w:type="dxa" w:w="5112"/>
            <w:vAlign w:val="center"/>
          </w:tcPr>
          <w:p>
            <w:r/>
            <w:r>
              <w:rPr>
                <w:rFonts w:ascii="Arial" w:hAnsi="Arial"/>
                <w:b w:val="0"/>
                <w:sz w:val="16"/>
              </w:rPr>
              <w:t>General Ledger Detail</w:t>
            </w:r>
          </w:p>
        </w:tc>
        <w:tc>
          <w:tcPr>
            <w:tcW w:type="dxa" w:w="5112"/>
            <w:vAlign w:val="center"/>
          </w:tcPr>
          <w:p>
            <w:r/>
            <w:r>
              <w:rPr>
                <w:rFonts w:ascii="Arial" w:hAnsi="Arial"/>
                <w:b w:val="0"/>
                <w:sz w:val="16"/>
              </w:rPr>
              <w:t>Net Income</w:t>
            </w:r>
          </w:p>
        </w:tc>
      </w:tr>
      <w:tr>
        <w:tc>
          <w:tcPr>
            <w:tcW w:type="dxa" w:w="5112"/>
            <w:vAlign w:val="center"/>
          </w:tcPr>
          <w:p>
            <w:r/>
            <w:r>
              <w:rPr>
                <w:rFonts w:ascii="Arial" w:hAnsi="Arial"/>
                <w:b w:val="0"/>
                <w:sz w:val="16"/>
              </w:rPr>
              <w:t>AP Aging</w:t>
            </w:r>
          </w:p>
        </w:tc>
        <w:tc>
          <w:tcPr>
            <w:tcW w:type="dxa" w:w="5112"/>
            <w:vAlign w:val="center"/>
          </w:tcPr>
          <w:p>
            <w:r/>
            <w:r>
              <w:rPr>
                <w:rFonts w:ascii="Arial" w:hAnsi="Arial"/>
                <w:b w:val="0"/>
                <w:sz w:val="16"/>
              </w:rPr>
              <w:t>EBITDA</w:t>
            </w:r>
          </w:p>
        </w:tc>
      </w:tr>
      <w:tr>
        <w:tc>
          <w:tcPr>
            <w:tcW w:type="dxa" w:w="5112"/>
            <w:vAlign w:val="center"/>
          </w:tcPr>
          <w:p>
            <w:r/>
            <w:r>
              <w:rPr>
                <w:rFonts w:ascii="Arial" w:hAnsi="Arial"/>
                <w:b w:val="0"/>
                <w:sz w:val="16"/>
              </w:rPr>
              <w:t>AR Aging</w:t>
            </w:r>
          </w:p>
        </w:tc>
        <w:tc>
          <w:tcPr>
            <w:tcW w:type="dxa" w:w="5112"/>
            <w:vAlign w:val="center"/>
          </w:tcPr>
          <w:p>
            <w:r/>
            <w:r>
              <w:rPr>
                <w:rFonts w:ascii="Arial" w:hAnsi="Arial"/>
                <w:b w:val="0"/>
                <w:sz w:val="16"/>
              </w:rPr>
              <w:t>Working Capital</w:t>
            </w:r>
          </w:p>
        </w:tc>
      </w:tr>
      <w:tr>
        <w:tc>
          <w:tcPr>
            <w:tcW w:type="dxa" w:w="5112"/>
            <w:vAlign w:val="center"/>
          </w:tcPr>
          <w:p>
            <w:r/>
            <w:r>
              <w:rPr>
                <w:rFonts w:ascii="Arial" w:hAnsi="Arial"/>
                <w:b w:val="0"/>
                <w:sz w:val="16"/>
              </w:rPr>
              <w:t>Job Cost Detail</w:t>
            </w:r>
          </w:p>
        </w:tc>
        <w:tc>
          <w:tcPr>
            <w:tcW w:type="dxa" w:w="5112"/>
            <w:vAlign w:val="center"/>
          </w:tcPr>
          <w:p>
            <w:r/>
            <w:r>
              <w:rPr>
                <w:rFonts w:ascii="Arial" w:hAnsi="Arial"/>
                <w:b w:val="0"/>
                <w:sz w:val="16"/>
              </w:rPr>
              <w:t>Current Ratio</w:t>
            </w:r>
          </w:p>
        </w:tc>
      </w:tr>
      <w:tr>
        <w:tc>
          <w:tcPr>
            <w:tcW w:type="dxa" w:w="5112"/>
            <w:vAlign w:val="center"/>
          </w:tcPr>
          <w:p>
            <w:r/>
            <w:r>
              <w:rPr>
                <w:rFonts w:ascii="Arial" w:hAnsi="Arial"/>
                <w:b w:val="0"/>
                <w:sz w:val="16"/>
              </w:rPr>
              <w:t>Project Profitability</w:t>
            </w:r>
          </w:p>
        </w:tc>
        <w:tc>
          <w:tcPr>
            <w:tcW w:type="dxa" w:w="5112"/>
            <w:vAlign w:val="center"/>
          </w:tcPr>
          <w:p>
            <w:r/>
            <w:r>
              <w:rPr>
                <w:rFonts w:ascii="Arial" w:hAnsi="Arial"/>
                <w:b w:val="0"/>
                <w:sz w:val="16"/>
              </w:rPr>
              <w:t>Days Cash on Hand</w:t>
            </w:r>
          </w:p>
        </w:tc>
      </w:tr>
      <w:tr>
        <w:tc>
          <w:tcPr>
            <w:tcW w:type="dxa" w:w="5112"/>
            <w:vAlign w:val="center"/>
          </w:tcPr>
          <w:p>
            <w:r/>
            <w:r>
              <w:rPr>
                <w:rFonts w:ascii="Arial" w:hAnsi="Arial"/>
                <w:b w:val="0"/>
                <w:sz w:val="16"/>
              </w:rPr>
              <w:t>WIP and Over/Under Billings</w:t>
            </w:r>
          </w:p>
        </w:tc>
        <w:tc>
          <w:tcPr>
            <w:tcW w:type="dxa" w:w="5112"/>
            <w:vAlign w:val="center"/>
          </w:tcPr>
          <w:p>
            <w:r/>
            <w:r>
              <w:rPr>
                <w:rFonts w:ascii="Arial" w:hAnsi="Arial"/>
                <w:b w:val="0"/>
                <w:sz w:val="16"/>
              </w:rPr>
              <w:t>Operating Cash Flow</w:t>
            </w:r>
          </w:p>
        </w:tc>
      </w:tr>
      <w:tr>
        <w:tc>
          <w:tcPr>
            <w:tcW w:type="dxa" w:w="5112"/>
            <w:vAlign w:val="center"/>
          </w:tcPr>
          <w:p>
            <w:r/>
            <w:r>
              <w:rPr>
                <w:rFonts w:ascii="Arial" w:hAnsi="Arial"/>
                <w:b w:val="0"/>
                <w:sz w:val="16"/>
              </w:rPr>
              <w:t>Committed Cost Report</w:t>
            </w:r>
          </w:p>
        </w:tc>
        <w:tc>
          <w:tcPr>
            <w:tcW w:type="dxa" w:w="5112"/>
            <w:vAlign w:val="center"/>
          </w:tcPr>
          <w:p>
            <w:r/>
            <w:r>
              <w:rPr>
                <w:rFonts w:ascii="Arial" w:hAnsi="Arial"/>
                <w:b w:val="0"/>
                <w:sz w:val="16"/>
              </w:rPr>
              <w:t>Backlog</w:t>
            </w:r>
          </w:p>
        </w:tc>
      </w:tr>
      <w:tr>
        <w:tc>
          <w:tcPr>
            <w:tcW w:type="dxa" w:w="5112"/>
            <w:vAlign w:val="center"/>
          </w:tcPr>
          <w:p>
            <w:r/>
            <w:r>
              <w:rPr>
                <w:rFonts w:ascii="Arial" w:hAnsi="Arial"/>
                <w:b w:val="0"/>
                <w:sz w:val="16"/>
              </w:rPr>
              <w:t>Cash Position and Forecast</w:t>
            </w:r>
          </w:p>
        </w:tc>
        <w:tc>
          <w:tcPr>
            <w:tcW w:type="dxa" w:w="5112"/>
            <w:vAlign w:val="center"/>
          </w:tcPr>
          <w:p>
            <w:r/>
            <w:r>
              <w:rPr>
                <w:rFonts w:ascii="Arial" w:hAnsi="Arial"/>
                <w:b w:val="0"/>
                <w:sz w:val="16"/>
              </w:rPr>
              <w:t>Committed Cost</w:t>
            </w:r>
          </w:p>
        </w:tc>
      </w:tr>
      <w:tr>
        <w:tc>
          <w:tcPr>
            <w:tcW w:type="dxa" w:w="5112"/>
            <w:vAlign w:val="center"/>
          </w:tcPr>
          <w:p>
            <w:r/>
            <w:r>
              <w:rPr>
                <w:rFonts w:ascii="Arial" w:hAnsi="Arial"/>
                <w:b w:val="0"/>
                <w:sz w:val="16"/>
              </w:rPr>
              <w:t>Budget vs Actual</w:t>
            </w:r>
          </w:p>
        </w:tc>
        <w:tc>
          <w:tcPr>
            <w:tcW w:type="dxa" w:w="5112"/>
            <w:vAlign w:val="center"/>
          </w:tcPr>
          <w:p>
            <w:r/>
            <w:r>
              <w:rPr>
                <w:rFonts w:ascii="Arial" w:hAnsi="Arial"/>
                <w:b w:val="0"/>
                <w:sz w:val="16"/>
              </w:rPr>
              <w:t>Cost to Complete</w:t>
            </w:r>
          </w:p>
        </w:tc>
      </w:tr>
      <w:tr>
        <w:tc>
          <w:tcPr>
            <w:tcW w:type="dxa" w:w="5112"/>
            <w:vAlign w:val="center"/>
          </w:tcPr>
          <w:p>
            <w:r/>
            <w:r>
              <w:rPr>
                <w:rFonts w:ascii="Arial" w:hAnsi="Arial"/>
                <w:b w:val="0"/>
                <w:sz w:val="16"/>
              </w:rPr>
              <w:t>Fixed Asset Rollforward</w:t>
            </w:r>
          </w:p>
        </w:tc>
        <w:tc>
          <w:tcPr>
            <w:tcW w:type="dxa" w:w="5112"/>
            <w:vAlign w:val="center"/>
          </w:tcPr>
          <w:p>
            <w:r/>
            <w:r>
              <w:rPr>
                <w:rFonts w:ascii="Arial" w:hAnsi="Arial"/>
                <w:b w:val="0"/>
                <w:sz w:val="16"/>
              </w:rPr>
              <w:t>Estimate at Completion</w:t>
            </w:r>
          </w:p>
        </w:tc>
      </w:tr>
      <w:tr>
        <w:tc>
          <w:tcPr>
            <w:tcW w:type="dxa" w:w="5112"/>
            <w:vAlign w:val="center"/>
          </w:tcPr>
          <w:p>
            <w:r/>
            <w:r>
              <w:rPr>
                <w:rFonts w:ascii="Arial" w:hAnsi="Arial"/>
                <w:b w:val="0"/>
                <w:sz w:val="16"/>
              </w:rPr>
              <w:t>Tax Liability Summary</w:t>
            </w:r>
          </w:p>
        </w:tc>
        <w:tc>
          <w:tcPr>
            <w:tcW w:type="dxa" w:w="5112"/>
            <w:vAlign w:val="center"/>
          </w:tcPr>
          <w:p>
            <w:r/>
            <w:r>
              <w:rPr>
                <w:rFonts w:ascii="Arial" w:hAnsi="Arial"/>
                <w:b w:val="0"/>
                <w:sz w:val="16"/>
              </w:rPr>
              <w:t>Forecast Margin %</w:t>
            </w:r>
          </w:p>
        </w:tc>
      </w:tr>
      <w:tr>
        <w:tc>
          <w:tcPr>
            <w:tcW w:type="dxa" w:w="5112"/>
            <w:vAlign w:val="center"/>
          </w:tcPr>
          <w:p>
            <w:r/>
            <w:r>
              <w:rPr>
                <w:rFonts w:ascii="Arial" w:hAnsi="Arial"/>
                <w:b w:val="0"/>
                <w:sz w:val="16"/>
              </w:rPr>
              <w:t>Certified Payroll Reconciliation</w:t>
            </w:r>
          </w:p>
        </w:tc>
        <w:tc>
          <w:tcPr>
            <w:tcW w:type="dxa" w:w="5112"/>
            <w:vAlign w:val="center"/>
          </w:tcPr>
          <w:p>
            <w:r/>
            <w:r>
              <w:rPr>
                <w:rFonts w:ascii="Arial" w:hAnsi="Arial"/>
                <w:b w:val="0"/>
                <w:sz w:val="16"/>
              </w:rPr>
              <w:t>WIP Overbilling</w:t>
            </w:r>
          </w:p>
        </w:tc>
      </w:tr>
      <w:tr>
        <w:tc>
          <w:tcPr>
            <w:tcW w:type="dxa" w:w="5112"/>
            <w:vAlign w:val="center"/>
          </w:tcPr>
          <w:p>
            <w:r/>
            <w:r>
              <w:rPr>
                <w:rFonts w:ascii="Arial" w:hAnsi="Arial"/>
                <w:b w:val="0"/>
                <w:sz w:val="16"/>
              </w:rPr>
              <w:t>Intercompany Reconciliation</w:t>
            </w:r>
          </w:p>
        </w:tc>
        <w:tc>
          <w:tcPr>
            <w:tcW w:type="dxa" w:w="5112"/>
            <w:vAlign w:val="center"/>
          </w:tcPr>
          <w:p>
            <w:r/>
            <w:r>
              <w:rPr>
                <w:rFonts w:ascii="Arial" w:hAnsi="Arial"/>
                <w:b w:val="0"/>
                <w:sz w:val="16"/>
              </w:rPr>
              <w:t>WIP Underbilling</w:t>
            </w:r>
          </w:p>
        </w:tc>
      </w:tr>
      <w:tr>
        <w:tc>
          <w:tcPr>
            <w:tcW w:type="dxa" w:w="5112"/>
            <w:vAlign w:val="center"/>
          </w:tcPr>
          <w:p>
            <w:r/>
            <w:r>
              <w:rPr>
                <w:rFonts w:ascii="Arial" w:hAnsi="Arial"/>
                <w:b w:val="0"/>
                <w:sz w:val="16"/>
              </w:rPr>
              <w:t>Consolidated Financial Statements</w:t>
            </w:r>
          </w:p>
        </w:tc>
        <w:tc>
          <w:tcPr>
            <w:tcW w:type="dxa" w:w="5112"/>
            <w:vAlign w:val="center"/>
          </w:tcPr>
          <w:p>
            <w:r/>
            <w:r>
              <w:rPr>
                <w:rFonts w:ascii="Arial" w:hAnsi="Arial"/>
                <w:b w:val="0"/>
                <w:sz w:val="16"/>
              </w:rPr>
              <w:t>Days Sales Outstanding</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Days Payable Outstanding</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Billing Cycle Time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Collection Effectiveness</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AP Invoice Cycle Time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Cash Forecast Accuracy</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Budget Variance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Project Cost Variance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Labor Cost Variance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Equipment Cost Variance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Close Cycle Time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Unreconciled Balance</w:t>
            </w:r>
          </w:p>
        </w:tc>
      </w:tr>
      <w:tr>
        <w:tc>
          <w:tcPr>
            <w:tcW w:type="dxa" w:w="5112"/>
            <w:vAlign w:val="center"/>
          </w:tcPr>
          <w:p>
            <w:r/>
            <w:r>
              <w:rPr>
                <w:rFonts w:ascii="Arial" w:hAnsi="Arial"/>
                <w:b w:val="0"/>
                <w:sz w:val="16"/>
              </w:rPr>
            </w:r>
          </w:p>
        </w:tc>
        <w:tc>
          <w:tcPr>
            <w:tcW w:type="dxa" w:w="5112"/>
            <w:vAlign w:val="center"/>
          </w:tcPr>
          <w:p>
            <w:r/>
            <w:r>
              <w:rPr>
                <w:rFonts w:ascii="Arial" w:hAnsi="Arial"/>
                <w:b w:val="0"/>
                <w:sz w:val="16"/>
              </w:rPr>
              <w:t>AI Exception Resolution Rate</w:t>
            </w:r>
          </w:p>
        </w:tc>
      </w:tr>
    </w:tbl>
    <w:p>
      <w:pPr>
        <w:pStyle w:val="Heading1"/>
      </w:pPr>
      <w:r>
        <w:t>Approval and Lock</w:t>
      </w:r>
    </w:p>
    <w:p>
      <w:r>
        <w:t>Phase 10 remains review-ready until all mandatory approval gates are complete. After approval, the configuration manager may create the immutable baseline tag GES-P10-v1.0.0. Later changes require a governed change request, impact analysis, updated traceability, regression evidence, and a new version.</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GES-P10-001 | Version 1.0.0 | Review-ready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GrounUp | GES Phase 10 | Controlled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BF9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