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25 - Master Library, Service Catalog, Resource/Material/Equipment, Assembly &amp; Rate Management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the governed master-library system that becomes the single reusable source for GrounUp services, resources, assemblies, production rates, price/rate records, regional profiles, tenant overrides and estimator snapshots.</w:t>
      </w:r>
    </w:p>
    <w:p>
      <w:pPr>
        <w:pStyle w:val="Heading1"/>
      </w:pPr>
      <w:r>
        <w:t>2. Phase 24 Foundation</w:t>
      </w:r>
    </w:p>
    <w:p>
      <w:r>
        <w:t>Phase 25 inherits Phase 24 identity, tenant isolation, authorization, audit, workflow, API/event, configuration and observability controls rather than duplicating them.</w:t>
      </w:r>
    </w:p>
    <w:p>
      <w:pPr>
        <w:pStyle w:val="Heading1"/>
      </w:pPr>
      <w:r>
        <w:t>3. Service Catalog</w:t>
      </w:r>
    </w:p>
    <w:p>
      <w:r>
        <w:t>Authorized tenant users can create and version services and categories. Approved estimator-created services can write back through the same governed catalog workflow so estimate knowledge becomes reusable enterprise data.</w:t>
      </w:r>
    </w:p>
    <w:p>
      <w:pPr>
        <w:pStyle w:val="Heading1"/>
      </w:pPr>
      <w:r>
        <w:t>4. Resource Libraries</w:t>
      </w:r>
    </w:p>
    <w:p>
      <w:r>
        <w:t>Labor, crews, equipment, trucks, materials, subcontract resources and disposal records share common identifiers, units, provenance, version and approval metadata while retaining domain-specific fields.</w:t>
      </w:r>
    </w:p>
    <w:p>
      <w:pPr>
        <w:pStyle w:val="Heading1"/>
      </w:pPr>
      <w:r>
        <w:t>5. Assemblies</w:t>
      </w:r>
    </w:p>
    <w:p>
      <w:r>
        <w:t>Assemblies reference governed components and can nest approved assemblies. Dependency validation prevents missing, incompatible or cyclic references.</w:t>
      </w:r>
    </w:p>
    <w:p>
      <w:pPr>
        <w:pStyle w:val="Heading1"/>
      </w:pPr>
      <w:r>
        <w:t>6. Rates and Prices</w:t>
      </w:r>
    </w:p>
    <w:p>
      <w:r>
        <w:t>Labor, equipment, material, truck, subcontract and disposal prices retain unit, currency, effective date, geography/profile, source and approval evidence. Equipment supports multiple period rate structures rather than assuming linear conversion.</w:t>
      </w:r>
    </w:p>
    <w:p>
      <w:pPr>
        <w:pStyle w:val="Heading1"/>
      </w:pPr>
      <w:r>
        <w:t>7. Regionalization and Overrides</w:t>
      </w:r>
    </w:p>
    <w:p>
      <w:r>
        <w:t>Base libraries may be layered with approved regional profiles, vendor/custom prices and tenant overrides according to explicit precedence rules. Double-adjustment is prevented by policy.</w:t>
      </w:r>
    </w:p>
    <w:p>
      <w:pPr>
        <w:pStyle w:val="Heading1"/>
      </w:pPr>
      <w:r>
        <w:t>8. AI Writeback</w:t>
      </w:r>
    </w:p>
    <w:p>
      <w:r>
        <w:t>AI may propose library additions or updates using evidence and confidence. AI cannot publish; authorized human review may convert an accepted proposal into a governed draft/version.</w:t>
      </w:r>
    </w:p>
    <w:p>
      <w:pPr>
        <w:pStyle w:val="Heading1"/>
      </w:pPr>
      <w:r>
        <w:t>9. Estimator Reproducibility</w:t>
      </w:r>
    </w:p>
    <w:p>
      <w:r>
        <w:t>The estimator consumes an immutable library snapshot or explicit record versions. Later library updates cannot silently change historical estimates.</w:t>
      </w:r>
    </w:p>
    <w:p>
      <w:pPr>
        <w:pStyle w:val="Heading1"/>
      </w:pPr>
      <w:r>
        <w:t>10. Implementation Order</w:t>
      </w:r>
    </w:p>
    <w:p>
      <w:r>
        <w:t>Common record/version model -&gt; UOM/conversions -&gt; service/resource libraries -&gt; assemblies -&gt; rates/prices -&gt; regionalization/overrides -&gt; publication resolver -&gt; snapshots -&gt; imports -&gt; AI proposals -&gt; estimator gateway.</w:t>
      </w:r>
    </w:p>
    <w:p>
      <w:pPr>
        <w:pStyle w:val="Heading1"/>
      </w:pPr>
      <w:r>
        <w:t>11. Modules</w:t>
      </w:r>
    </w:p>
    <w:p>
      <w:r>
        <w:t>P25-MOD-001 - Library Registry (Core): Global registry of library types, versions, ownership and publication state</w:t>
      </w:r>
    </w:p>
    <w:p>
      <w:r>
        <w:t>P25-MOD-002 - Service Catalog Service (Domain): Services, categories, units, estimating mappings and downstream references</w:t>
      </w:r>
    </w:p>
    <w:p>
      <w:r>
        <w:t>P25-MOD-003 - Unit of Measure Service (Core): Canonical units, conversions and dimensional validation</w:t>
      </w:r>
    </w:p>
    <w:p>
      <w:r>
        <w:t>P25-MOD-004 - Labor Resource Service (Domain): Craft/classification, burden inputs and labor resource definitions</w:t>
      </w:r>
    </w:p>
    <w:p>
      <w:r>
        <w:t>P25-MOD-005 - Crew Template Service (Domain): Crew compositions, default sizes and production references</w:t>
      </w:r>
    </w:p>
    <w:p>
      <w:r>
        <w:t>P25-MOD-006 - Equipment Resource Service (Domain): Equipment classes/models/capacity and owning/operating rate references</w:t>
      </w:r>
    </w:p>
    <w:p>
      <w:r>
        <w:t>P25-MOD-007 - Truck Resource Service (Domain): Truck classes, capacity, hourly/trip references and haul configuration</w:t>
      </w:r>
    </w:p>
    <w:p>
      <w:r>
        <w:t>P25-MOD-008 - Material Resource Service (Domain): Material definitions, units, waste factors, density and source references</w:t>
      </w:r>
    </w:p>
    <w:p>
      <w:r>
        <w:t>P25-MOD-009 - Subcontract Resource Service (Domain): Subcontract categories, unit rates, vendor/source references</w:t>
      </w:r>
    </w:p>
    <w:p>
      <w:r>
        <w:t>P25-MOD-010 - Disposal Service (Domain): Disposal facilities/categories, fees, units, restrictions and source references</w:t>
      </w:r>
    </w:p>
    <w:p>
      <w:r>
        <w:t>P25-MOD-011 - Assembly Service (Domain): Reusable estimate assemblies and component dependency graph</w:t>
      </w:r>
    </w:p>
    <w:p>
      <w:r>
        <w:t>P25-MOD-012 - Production Rate Service (Domain): Task/equipment/crew production rates with conditions and provenance</w:t>
      </w:r>
    </w:p>
    <w:p>
      <w:r>
        <w:t>P25-MOD-013 - Labor Rate Service (Pricing): Base wage, burden, union/custom profile and effective dates</w:t>
      </w:r>
    </w:p>
    <w:p>
      <w:r>
        <w:t>P25-MOD-014 - Equipment Rate Service (Pricing): Hourly/daily/weekly/monthly rate structures and fuel/operating inputs</w:t>
      </w:r>
    </w:p>
    <w:p>
      <w:r>
        <w:t>P25-MOD-015 - Material Price Service (Pricing): Supplier/material prices, freight references and effective dates</w:t>
      </w:r>
    </w:p>
    <w:p>
      <w:r>
        <w:t>P25-MOD-016 - Truck Rate Service (Pricing): Hourly, load, trip and haul-rate definitions</w:t>
      </w:r>
    </w:p>
    <w:p>
      <w:r>
        <w:t>P25-MOD-017 - Subcontract Rate Service (Pricing): Vendor/subcontract unit-price references</w:t>
      </w:r>
    </w:p>
    <w:p>
      <w:r>
        <w:t>P25-MOD-018 - Regional Profile Service (Pricing): Location factors, geography hierarchy and price-profile selection</w:t>
      </w:r>
    </w:p>
    <w:p>
      <w:r>
        <w:t>P25-MOD-019 - Vendor Price Source Service (Pricing): Quote/source documents, expiry and approved vendor price references</w:t>
      </w:r>
    </w:p>
    <w:p>
      <w:r>
        <w:t>P25-MOD-020 - Tenant Override Service (Configuration): Tenant-specific editable overrides without mutating base records</w:t>
      </w:r>
    </w:p>
    <w:p>
      <w:r>
        <w:t>P25-MOD-021 - Publication &amp; Version Service (Governance): Draft/review/approved/published/superseded lifecycle</w:t>
      </w:r>
    </w:p>
    <w:p>
      <w:r>
        <w:t>P25-MOD-022 - Import/Bulk Edit Service (Operations): CSV/JSON imports, mapping, validation, preview and governed commit</w:t>
      </w:r>
    </w:p>
    <w:p>
      <w:r>
        <w:t>P25-MOD-023 - AI Library Proposal Service (AI): AI-proposed additions/updates with source evidence and human approval</w:t>
      </w:r>
    </w:p>
    <w:p>
      <w:r>
        <w:t>P25-MOD-024 - Estimator Library Gateway (Integration): Stable read/query/snapshot contracts for Phase 26 estimator implementation</w:t>
      </w:r>
    </w:p>
    <w:p>
      <w:pPr>
        <w:pStyle w:val="Heading1"/>
      </w:pPr>
      <w:r>
        <w:t>12. Controlled Counts</w:t>
      </w:r>
    </w:p>
    <w:p>
      <w:r>
        <w:t>Requirements: 400</w:t>
      </w:r>
    </w:p>
    <w:p>
      <w:r>
        <w:t>Tests: 400</w:t>
      </w:r>
    </w:p>
    <w:p>
      <w:r>
        <w:t>Modules: 24</w:t>
      </w:r>
    </w:p>
    <w:p>
      <w:r>
        <w:t>Entities: 34</w:t>
      </w:r>
    </w:p>
    <w:p>
      <w:r>
        <w:t>Apis: 27</w:t>
      </w:r>
    </w:p>
    <w:p>
      <w:r>
        <w:t>Events: 15</w:t>
      </w:r>
    </w:p>
    <w:p>
      <w:r>
        <w:t>Business Rules: 18</w:t>
      </w:r>
    </w:p>
    <w:p>
      <w:r>
        <w:t>Security Controls: 12</w:t>
      </w:r>
    </w:p>
    <w:p>
      <w:r>
        <w:t>Quality Gates: 12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