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7F1201" w:rsidP="007F1201" w:rsidRDefault="00B53592" w14:paraId="44AD69D0" w14:textId="2BBBDE89">
      <w:pPr>
        <w:pStyle w:val="T1"/>
      </w:pPr>
      <w:r w:rsidRPr="00B53592">
        <w:t>État de l’art des modèles concernant l</w:t>
      </w:r>
      <w:r w:rsidR="00E17DDE">
        <w:t>a pourriture grise (</w:t>
      </w:r>
      <w:r w:rsidRPr="00E17DDE" w:rsidR="00E17DDE">
        <w:rPr>
          <w:i/>
          <w:iCs/>
        </w:rPr>
        <w:t>Botrytis ciner</w:t>
      </w:r>
      <w:r w:rsidR="00CD4DC6">
        <w:rPr>
          <w:i/>
          <w:iCs/>
        </w:rPr>
        <w:t>e</w:t>
      </w:r>
      <w:r w:rsidRPr="00E17DDE" w:rsidR="00E17DDE">
        <w:rPr>
          <w:i/>
          <w:iCs/>
        </w:rPr>
        <w:t>a</w:t>
      </w:r>
      <w:r w:rsidR="00E17DDE">
        <w:t xml:space="preserve">) du chanvre </w:t>
      </w:r>
      <w:r w:rsidRPr="00B53592">
        <w:t xml:space="preserve">(Méthodes de monitoring, variété, </w:t>
      </w:r>
      <w:r w:rsidR="00E17DDE">
        <w:t>Botrytis cinera</w:t>
      </w:r>
      <w:r w:rsidRPr="00B53592">
        <w:t>, climat)</w:t>
      </w:r>
    </w:p>
    <w:p w:rsidRPr="007F1201" w:rsidR="00B53592" w:rsidP="007F1201" w:rsidRDefault="00B53592" w14:paraId="4BC12E26" w14:textId="77777777">
      <w:pPr>
        <w:pStyle w:val="T1"/>
      </w:pPr>
    </w:p>
    <w:p w:rsidRPr="00E17DDE" w:rsidR="007F1201" w:rsidP="007F1201" w:rsidRDefault="00E17DDE" w14:paraId="4D143C9F" w14:textId="0AAE4DA0">
      <w:pPr>
        <w:spacing w:line="240" w:lineRule="auto"/>
        <w:jc w:val="left"/>
        <w:rPr>
          <w:noProof/>
          <w:sz w:val="16"/>
          <w:szCs w:val="16"/>
        </w:rPr>
      </w:pPr>
      <w:r w:rsidRPr="00E17DDE">
        <w:rPr>
          <w:noProof/>
          <w:sz w:val="16"/>
          <w:szCs w:val="16"/>
          <w:lang w:val="de-DE"/>
        </w:rPr>
        <w:t>Thomas Rime</w:t>
      </w:r>
      <w:r w:rsidRPr="00E17DDE" w:rsidR="007F1201">
        <w:rPr>
          <w:noProof/>
          <w:sz w:val="16"/>
          <w:szCs w:val="16"/>
          <w:lang w:val="de-DE"/>
        </w:rPr>
        <w:t>, Dr</w:t>
      </w:r>
      <w:r w:rsidRPr="00E17DDE">
        <w:rPr>
          <w:noProof/>
          <w:sz w:val="16"/>
          <w:szCs w:val="16"/>
          <w:lang w:val="de-DE"/>
        </w:rPr>
        <w:t xml:space="preserve">. sc. </w:t>
      </w:r>
      <w:r w:rsidRPr="00E17DDE">
        <w:rPr>
          <w:noProof/>
          <w:sz w:val="16"/>
          <w:szCs w:val="16"/>
        </w:rPr>
        <w:t>ETH</w:t>
      </w:r>
    </w:p>
    <w:p w:rsidRPr="00D47ED3" w:rsidR="007F1201" w:rsidP="007F1201" w:rsidRDefault="00E17DDE" w14:paraId="1C669148" w14:textId="1C8F8FFD">
      <w:pPr>
        <w:spacing w:line="240" w:lineRule="auto"/>
        <w:jc w:val="left"/>
        <w:rPr>
          <w:rFonts w:eastAsia="Times New Roman"/>
          <w:noProof/>
          <w:sz w:val="16"/>
          <w:szCs w:val="16"/>
          <w:lang w:val="fr-CH"/>
        </w:rPr>
      </w:pPr>
      <w:r w:rsidRPr="00D47ED3">
        <w:rPr>
          <w:rFonts w:eastAsia="Times New Roman"/>
          <w:noProof/>
          <w:sz w:val="16"/>
          <w:szCs w:val="16"/>
          <w:lang w:val="fr-CH"/>
        </w:rPr>
        <w:t>Responsible projets innovation</w:t>
      </w:r>
    </w:p>
    <w:p w:rsidRPr="00D47ED3" w:rsidR="00E17DDE" w:rsidP="007F1201" w:rsidRDefault="00E17DDE" w14:paraId="6F9DD7EE" w14:textId="77777777">
      <w:pPr>
        <w:spacing w:line="240" w:lineRule="auto"/>
        <w:jc w:val="left"/>
        <w:rPr>
          <w:rFonts w:eastAsia="Times New Roman"/>
          <w:b/>
          <w:bCs/>
          <w:noProof/>
          <w:sz w:val="16"/>
          <w:szCs w:val="16"/>
          <w:lang w:val="fr-CH"/>
        </w:rPr>
      </w:pPr>
      <w:r w:rsidRPr="00D47ED3">
        <w:rPr>
          <w:rFonts w:eastAsia="Times New Roman"/>
          <w:b/>
          <w:bCs/>
          <w:noProof/>
          <w:sz w:val="16"/>
          <w:szCs w:val="16"/>
          <w:lang w:val="fr-CH"/>
        </w:rPr>
        <w:t>Grangeneuve</w:t>
      </w:r>
    </w:p>
    <w:p w:rsidRPr="00E17DDE" w:rsidR="007F1201" w:rsidP="007F1201" w:rsidRDefault="00E17DDE" w14:paraId="25E031C1" w14:textId="71C221F9">
      <w:pPr>
        <w:spacing w:line="240" w:lineRule="auto"/>
        <w:jc w:val="left"/>
        <w:rPr>
          <w:rFonts w:eastAsia="Times New Roman"/>
          <w:noProof/>
          <w:sz w:val="16"/>
          <w:szCs w:val="16"/>
          <w:lang w:val="fr-CH"/>
        </w:rPr>
      </w:pPr>
      <w:r w:rsidRPr="00E17DDE">
        <w:rPr>
          <w:rFonts w:eastAsia="Times New Roman"/>
          <w:noProof/>
          <w:sz w:val="16"/>
          <w:szCs w:val="16"/>
          <w:lang w:val="fr-CH"/>
        </w:rPr>
        <w:t>Institut agricole de l’état de Fribourg</w:t>
      </w:r>
      <w:r w:rsidRPr="00E17DDE" w:rsidR="007F1201">
        <w:rPr>
          <w:rFonts w:eastAsia="Times New Roman"/>
          <w:noProof/>
          <w:sz w:val="16"/>
          <w:szCs w:val="16"/>
          <w:lang w:val="fr-CH"/>
        </w:rPr>
        <w:t>, Route de</w:t>
      </w:r>
      <w:r w:rsidRPr="00E17DDE">
        <w:rPr>
          <w:rFonts w:eastAsia="Times New Roman"/>
          <w:noProof/>
          <w:sz w:val="16"/>
          <w:szCs w:val="16"/>
          <w:lang w:val="fr-CH"/>
        </w:rPr>
        <w:t xml:space="preserve"> Grangeneuve</w:t>
      </w:r>
      <w:r>
        <w:rPr>
          <w:rFonts w:eastAsia="Times New Roman"/>
          <w:noProof/>
          <w:sz w:val="16"/>
          <w:szCs w:val="16"/>
          <w:lang w:val="fr-CH"/>
        </w:rPr>
        <w:t xml:space="preserve"> 31</w:t>
      </w:r>
      <w:r w:rsidRPr="00E17DDE" w:rsidR="007F1201">
        <w:rPr>
          <w:rFonts w:eastAsia="Times New Roman"/>
          <w:noProof/>
          <w:sz w:val="16"/>
          <w:szCs w:val="16"/>
          <w:lang w:val="fr-CH"/>
        </w:rPr>
        <w:t>, 1</w:t>
      </w:r>
      <w:r>
        <w:rPr>
          <w:rFonts w:eastAsia="Times New Roman"/>
          <w:noProof/>
          <w:sz w:val="16"/>
          <w:szCs w:val="16"/>
          <w:lang w:val="fr-CH"/>
        </w:rPr>
        <w:t>725</w:t>
      </w:r>
      <w:r w:rsidRPr="00E17DDE" w:rsidR="007F1201">
        <w:rPr>
          <w:rFonts w:eastAsia="Times New Roman"/>
          <w:noProof/>
          <w:sz w:val="16"/>
          <w:szCs w:val="16"/>
          <w:lang w:val="fr-CH"/>
        </w:rPr>
        <w:t xml:space="preserve"> </w:t>
      </w:r>
      <w:r>
        <w:rPr>
          <w:rFonts w:eastAsia="Times New Roman"/>
          <w:noProof/>
          <w:sz w:val="16"/>
          <w:szCs w:val="16"/>
          <w:lang w:val="fr-CH"/>
        </w:rPr>
        <w:t>Posieux</w:t>
      </w:r>
      <w:r w:rsidRPr="00E17DDE" w:rsidR="007F1201">
        <w:rPr>
          <w:rFonts w:eastAsia="Times New Roman"/>
          <w:noProof/>
          <w:sz w:val="16"/>
          <w:szCs w:val="16"/>
          <w:lang w:val="fr-CH"/>
        </w:rPr>
        <w:br/>
      </w:r>
      <w:hyperlink w:history="1" r:id="rId8">
        <w:r w:rsidRPr="00201742">
          <w:rPr>
            <w:rStyle w:val="Lienhypertexte"/>
            <w:rFonts w:eastAsia="Times New Roman"/>
            <w:noProof/>
            <w:sz w:val="16"/>
            <w:szCs w:val="16"/>
            <w:lang w:val="fr-CH"/>
          </w:rPr>
          <w:t>thomas.rime@fr.ch</w:t>
        </w:r>
      </w:hyperlink>
    </w:p>
    <w:p w:rsidRPr="00E17DDE" w:rsidR="007F1201" w:rsidP="007F1201" w:rsidRDefault="007F1201" w14:paraId="774EEBAE" w14:textId="77777777">
      <w:pPr>
        <w:pStyle w:val="T2"/>
      </w:pPr>
    </w:p>
    <w:sdt>
      <w:sdtPr>
        <w:rPr>
          <w:rFonts w:cs="Arial" w:asciiTheme="minorHAnsi" w:hAnsiTheme="minorHAnsi" w:eastAsiaTheme="minorHAnsi"/>
          <w:color w:val="auto"/>
          <w:sz w:val="20"/>
          <w:szCs w:val="22"/>
        </w:rPr>
        <w:id w:val="-1137027073"/>
        <w:docPartObj>
          <w:docPartGallery w:val="Table of Contents"/>
          <w:docPartUnique/>
        </w:docPartObj>
      </w:sdtPr>
      <w:sdtEndPr>
        <w:rPr>
          <w:b/>
          <w:bCs/>
          <w:noProof/>
        </w:rPr>
      </w:sdtEndPr>
      <w:sdtContent>
        <w:p w:rsidRPr="000C0D4E" w:rsidR="000C0D4E" w:rsidRDefault="005959C0" w14:paraId="29B46407" w14:textId="2A4DECEE">
          <w:pPr>
            <w:pStyle w:val="En-ttedetabledesmatires"/>
            <w:rPr>
              <w:lang w:val="fr-CH"/>
            </w:rPr>
          </w:pPr>
          <w:r w:rsidRPr="4780CF16" w:rsidR="005959C0">
            <w:rPr>
              <w:lang w:val="fr-CH"/>
            </w:rPr>
            <w:t>Table des matières</w:t>
          </w:r>
        </w:p>
        <w:p w:rsidRPr="000C0D4E" w:rsidR="000C0D4E" w:rsidRDefault="005959C0" w14:paraId="73EF76D2" w14:textId="7A9D6411">
          <w:pPr>
            <w:rPr>
              <w:lang w:val="fr-CH"/>
            </w:rPr>
          </w:pPr>
          <w:r>
            <w:fldChar w:fldCharType="begin"/>
          </w:r>
          <w:r>
            <w:instrText> TOC \h \z \t "T1;1;T2;2;T3;3" </w:instrText>
          </w:r>
          <w:r>
            <w:fldChar w:fldCharType="separate"/>
          </w:r>
          <w:r w:rsidR="000E1ACA">
            <w:rPr>
              <w:b/>
              <w:bCs/>
              <w:noProof/>
              <w:lang w:val="fr-FR"/>
            </w:rPr>
            <w:t>Aucune entrée de table des matières n'a été trouvée.</w:t>
          </w:r>
          <w:r>
            <w:fldChar w:fldCharType="end"/>
          </w:r>
        </w:p>
      </w:sdtContent>
    </w:sdt>
    <w:p w:rsidRPr="005959C0" w:rsidR="00CA5C05" w:rsidP="007F1201" w:rsidRDefault="005959C0" w14:paraId="44AE4722" w14:textId="77777777">
      <w:pPr>
        <w:pStyle w:val="T2"/>
        <w:rPr>
          <w:rFonts w:asciiTheme="majorHAnsi" w:hAnsiTheme="majorHAnsi" w:eastAsiaTheme="majorEastAsia" w:cstheme="majorBidi"/>
          <w:b w:val="0"/>
          <w:color w:val="2E74B5" w:themeColor="accent1" w:themeShade="BF"/>
          <w:sz w:val="32"/>
          <w:szCs w:val="32"/>
        </w:rPr>
      </w:pPr>
      <w:r w:rsidRPr="005959C0">
        <w:rPr>
          <w:rFonts w:asciiTheme="majorHAnsi" w:hAnsiTheme="majorHAnsi" w:eastAsiaTheme="majorEastAsia" w:cstheme="majorBidi"/>
          <w:b w:val="0"/>
          <w:color w:val="2E74B5" w:themeColor="accent1" w:themeShade="BF"/>
          <w:sz w:val="32"/>
          <w:szCs w:val="32"/>
        </w:rPr>
        <w:t>Liste des Figures.</w:t>
      </w:r>
    </w:p>
    <w:p w:rsidR="00F22385" w:rsidRDefault="005959C0" w14:paraId="6CEBAC1B" w14:textId="77777777">
      <w:pPr>
        <w:pStyle w:val="Tabledesillustrations"/>
        <w:tabs>
          <w:tab w:val="right" w:leader="dot" w:pos="9737"/>
        </w:tabs>
        <w:rPr>
          <w:rFonts w:eastAsiaTheme="minorEastAsia" w:cstheme="minorBidi"/>
          <w:smallCaps w:val="0"/>
          <w:noProof/>
          <w:sz w:val="22"/>
          <w:szCs w:val="22"/>
        </w:rPr>
      </w:pPr>
      <w:r>
        <w:rPr>
          <w:b/>
          <w:smallCaps w:val="0"/>
        </w:rPr>
        <w:fldChar w:fldCharType="begin"/>
      </w:r>
      <w:r>
        <w:rPr>
          <w:b/>
          <w:smallCaps w:val="0"/>
        </w:rPr>
        <w:instrText xml:space="preserve"> TOC \h \z \c "Figure" </w:instrText>
      </w:r>
      <w:r>
        <w:rPr>
          <w:b/>
          <w:smallCaps w:val="0"/>
        </w:rPr>
        <w:fldChar w:fldCharType="separate"/>
      </w:r>
      <w:hyperlink w:history="1" w:anchor="_Toc75426418" r:id="rId9">
        <w:r w:rsidRPr="00805B19" w:rsidR="00F22385">
          <w:rPr>
            <w:rStyle w:val="Lienhypertexte"/>
            <w:noProof/>
            <w:lang w:val="fr-CH"/>
          </w:rPr>
          <w:t>Figure 1. Concept du modèle de détection précoce du mildiou du concombre en serre (EWMPICDW).</w:t>
        </w:r>
        <w:r w:rsidR="00F22385">
          <w:rPr>
            <w:noProof/>
            <w:webHidden/>
          </w:rPr>
          <w:tab/>
        </w:r>
        <w:r w:rsidR="00F22385">
          <w:rPr>
            <w:noProof/>
            <w:webHidden/>
          </w:rPr>
          <w:fldChar w:fldCharType="begin"/>
        </w:r>
        <w:r w:rsidR="00F22385">
          <w:rPr>
            <w:noProof/>
            <w:webHidden/>
          </w:rPr>
          <w:instrText xml:space="preserve"> PAGEREF _Toc75426418 \h </w:instrText>
        </w:r>
        <w:r w:rsidR="00F22385">
          <w:rPr>
            <w:noProof/>
            <w:webHidden/>
          </w:rPr>
        </w:r>
        <w:r w:rsidR="00F22385">
          <w:rPr>
            <w:noProof/>
            <w:webHidden/>
          </w:rPr>
          <w:fldChar w:fldCharType="separate"/>
        </w:r>
        <w:r w:rsidR="008F23E5">
          <w:rPr>
            <w:noProof/>
            <w:webHidden/>
          </w:rPr>
          <w:t>6</w:t>
        </w:r>
        <w:r w:rsidR="00F22385">
          <w:rPr>
            <w:noProof/>
            <w:webHidden/>
          </w:rPr>
          <w:fldChar w:fldCharType="end"/>
        </w:r>
      </w:hyperlink>
    </w:p>
    <w:p w:rsidR="00F22385" w:rsidRDefault="000E1ACA" w14:paraId="28366FF6" w14:textId="77777777">
      <w:pPr>
        <w:pStyle w:val="Tabledesillustrations"/>
        <w:tabs>
          <w:tab w:val="right" w:leader="dot" w:pos="9737"/>
        </w:tabs>
        <w:rPr>
          <w:rFonts w:eastAsiaTheme="minorEastAsia" w:cstheme="minorBidi"/>
          <w:smallCaps w:val="0"/>
          <w:noProof/>
          <w:sz w:val="22"/>
          <w:szCs w:val="22"/>
        </w:rPr>
      </w:pPr>
      <w:hyperlink w:history="1" w:anchor="_Toc75426419">
        <w:r w:rsidRPr="00805B19" w:rsidR="00F22385">
          <w:rPr>
            <w:rStyle w:val="Lienhypertexte"/>
            <w:noProof/>
          </w:rPr>
          <w:t xml:space="preserve">Figure 2. </w:t>
        </w:r>
        <w:r w:rsidRPr="00805B19" w:rsidR="00F22385">
          <w:rPr>
            <w:rStyle w:val="Lienhypertexte"/>
            <w:noProof/>
            <w:lang w:val="fr-FR"/>
          </w:rPr>
          <w:t>Image des quatre maladies discriminées dans l’étude de Ma et al. (2018). De gauche à droite les symptômes foliaires correspondent aux maladies suivantes : anthracnose, downy mildew, powdery mildew et target leaf spots.</w:t>
        </w:r>
        <w:r w:rsidR="00F22385">
          <w:rPr>
            <w:noProof/>
            <w:webHidden/>
          </w:rPr>
          <w:tab/>
        </w:r>
        <w:r w:rsidR="00F22385">
          <w:rPr>
            <w:noProof/>
            <w:webHidden/>
          </w:rPr>
          <w:fldChar w:fldCharType="begin"/>
        </w:r>
        <w:r w:rsidR="00F22385">
          <w:rPr>
            <w:noProof/>
            <w:webHidden/>
          </w:rPr>
          <w:instrText xml:space="preserve"> PAGEREF _Toc75426419 \h </w:instrText>
        </w:r>
        <w:r w:rsidR="00F22385">
          <w:rPr>
            <w:noProof/>
            <w:webHidden/>
          </w:rPr>
        </w:r>
        <w:r w:rsidR="00F22385">
          <w:rPr>
            <w:noProof/>
            <w:webHidden/>
          </w:rPr>
          <w:fldChar w:fldCharType="separate"/>
        </w:r>
        <w:r w:rsidR="008F23E5">
          <w:rPr>
            <w:noProof/>
            <w:webHidden/>
          </w:rPr>
          <w:t>8</w:t>
        </w:r>
        <w:r w:rsidR="00F22385">
          <w:rPr>
            <w:noProof/>
            <w:webHidden/>
          </w:rPr>
          <w:fldChar w:fldCharType="end"/>
        </w:r>
      </w:hyperlink>
    </w:p>
    <w:p w:rsidR="00F22385" w:rsidRDefault="000E1ACA" w14:paraId="4B71F66D" w14:textId="77777777">
      <w:pPr>
        <w:pStyle w:val="Tabledesillustrations"/>
        <w:tabs>
          <w:tab w:val="right" w:leader="dot" w:pos="9737"/>
        </w:tabs>
        <w:rPr>
          <w:rFonts w:eastAsiaTheme="minorEastAsia" w:cstheme="minorBidi"/>
          <w:smallCaps w:val="0"/>
          <w:noProof/>
          <w:sz w:val="22"/>
          <w:szCs w:val="22"/>
        </w:rPr>
      </w:pPr>
      <w:hyperlink w:history="1" w:anchor="_Toc75426420">
        <w:r w:rsidRPr="00805B19" w:rsidR="00F22385">
          <w:rPr>
            <w:rStyle w:val="Lienhypertexte"/>
            <w:noProof/>
            <w:lang w:val="fr-CH"/>
          </w:rPr>
          <w:t>Figure 3. . Influence de l’illumination dans la reconnaissance des symptômes du mildiou.</w:t>
        </w:r>
        <w:r w:rsidR="00F22385">
          <w:rPr>
            <w:noProof/>
            <w:webHidden/>
          </w:rPr>
          <w:tab/>
        </w:r>
        <w:r w:rsidR="00F22385">
          <w:rPr>
            <w:noProof/>
            <w:webHidden/>
          </w:rPr>
          <w:fldChar w:fldCharType="begin"/>
        </w:r>
        <w:r w:rsidR="00F22385">
          <w:rPr>
            <w:noProof/>
            <w:webHidden/>
          </w:rPr>
          <w:instrText xml:space="preserve"> PAGEREF _Toc75426420 \h </w:instrText>
        </w:r>
        <w:r w:rsidR="00F22385">
          <w:rPr>
            <w:noProof/>
            <w:webHidden/>
          </w:rPr>
        </w:r>
        <w:r w:rsidR="00F22385">
          <w:rPr>
            <w:noProof/>
            <w:webHidden/>
          </w:rPr>
          <w:fldChar w:fldCharType="separate"/>
        </w:r>
        <w:r w:rsidR="008F23E5">
          <w:rPr>
            <w:noProof/>
            <w:webHidden/>
          </w:rPr>
          <w:t>8</w:t>
        </w:r>
        <w:r w:rsidR="00F22385">
          <w:rPr>
            <w:noProof/>
            <w:webHidden/>
          </w:rPr>
          <w:fldChar w:fldCharType="end"/>
        </w:r>
      </w:hyperlink>
    </w:p>
    <w:p w:rsidR="00CA5C05" w:rsidP="007F1201" w:rsidRDefault="005959C0" w14:paraId="6E078711" w14:textId="77777777">
      <w:pPr>
        <w:pStyle w:val="T2"/>
      </w:pPr>
      <w:r>
        <w:rPr>
          <w:b w:val="0"/>
          <w:smallCaps/>
          <w:lang w:val="en-US"/>
        </w:rPr>
        <w:fldChar w:fldCharType="end"/>
      </w:r>
    </w:p>
    <w:p w:rsidRPr="005959C0" w:rsidR="005959C0" w:rsidP="007F1201" w:rsidRDefault="005959C0" w14:paraId="31D57E5A" w14:textId="77777777">
      <w:pPr>
        <w:pStyle w:val="T2"/>
        <w:rPr>
          <w:rFonts w:asciiTheme="majorHAnsi" w:hAnsiTheme="majorHAnsi" w:eastAsiaTheme="majorEastAsia" w:cstheme="majorBidi"/>
          <w:b w:val="0"/>
          <w:color w:val="2E74B5" w:themeColor="accent1" w:themeShade="BF"/>
          <w:sz w:val="32"/>
          <w:szCs w:val="32"/>
        </w:rPr>
      </w:pPr>
      <w:r w:rsidRPr="005959C0">
        <w:rPr>
          <w:rFonts w:asciiTheme="majorHAnsi" w:hAnsiTheme="majorHAnsi" w:eastAsiaTheme="majorEastAsia" w:cstheme="majorBidi"/>
          <w:b w:val="0"/>
          <w:color w:val="2E74B5" w:themeColor="accent1" w:themeShade="BF"/>
          <w:sz w:val="32"/>
          <w:szCs w:val="32"/>
        </w:rPr>
        <w:t>Liste des Tables.</w:t>
      </w:r>
    </w:p>
    <w:p w:rsidR="00F22385" w:rsidRDefault="005959C0" w14:paraId="665D212E" w14:textId="77777777">
      <w:pPr>
        <w:pStyle w:val="Tabledesillustrations"/>
        <w:tabs>
          <w:tab w:val="right" w:leader="dot" w:pos="9737"/>
        </w:tabs>
        <w:rPr>
          <w:rFonts w:eastAsiaTheme="minorEastAsia" w:cstheme="minorBidi"/>
          <w:smallCaps w:val="0"/>
          <w:noProof/>
          <w:sz w:val="22"/>
          <w:szCs w:val="22"/>
        </w:rPr>
      </w:pPr>
      <w:r>
        <w:rPr>
          <w:b/>
          <w:smallCaps w:val="0"/>
        </w:rPr>
        <w:fldChar w:fldCharType="begin"/>
      </w:r>
      <w:r>
        <w:rPr>
          <w:b/>
          <w:smallCaps w:val="0"/>
        </w:rPr>
        <w:instrText xml:space="preserve"> TOC \h \z \c "Table" </w:instrText>
      </w:r>
      <w:r>
        <w:rPr>
          <w:b/>
          <w:smallCaps w:val="0"/>
        </w:rPr>
        <w:fldChar w:fldCharType="separate"/>
      </w:r>
      <w:hyperlink w:history="1" w:anchor="_Toc75426421">
        <w:r w:rsidRPr="003A62DA" w:rsidR="00F22385">
          <w:rPr>
            <w:rStyle w:val="Lienhypertexte"/>
            <w:noProof/>
            <w:lang w:val="fr-CH"/>
          </w:rPr>
          <w:t xml:space="preserve">Table 1. Synthèse du nombre de produits phytosanitaires autorisés à l’emplois en Suisse. permettant la lutte contre le mildiou du concombre. Cette synthèse est faite sur la base de l’Index des produits phytosanitaires (OFAG : Office fédéral de l’agriculture) et sur le </w:t>
        </w:r>
        <w:r w:rsidRPr="003A62DA" w:rsidR="00F22385">
          <w:rPr>
            <w:rStyle w:val="Lienhypertexte"/>
            <w:noProof/>
          </w:rPr>
          <w:t>critère de recherche : Organismes nuisibles: mildiou des cucurbitacées (Latin: Pseudoperonospora cubensis).</w:t>
        </w:r>
        <w:r w:rsidR="00F22385">
          <w:rPr>
            <w:noProof/>
            <w:webHidden/>
          </w:rPr>
          <w:tab/>
        </w:r>
        <w:r w:rsidR="00F22385">
          <w:rPr>
            <w:noProof/>
            <w:webHidden/>
          </w:rPr>
          <w:fldChar w:fldCharType="begin"/>
        </w:r>
        <w:r w:rsidR="00F22385">
          <w:rPr>
            <w:noProof/>
            <w:webHidden/>
          </w:rPr>
          <w:instrText xml:space="preserve"> PAGEREF _Toc75426421 \h </w:instrText>
        </w:r>
        <w:r w:rsidR="00F22385">
          <w:rPr>
            <w:noProof/>
            <w:webHidden/>
          </w:rPr>
        </w:r>
        <w:r w:rsidR="00F22385">
          <w:rPr>
            <w:noProof/>
            <w:webHidden/>
          </w:rPr>
          <w:fldChar w:fldCharType="separate"/>
        </w:r>
        <w:r w:rsidR="008F23E5">
          <w:rPr>
            <w:noProof/>
            <w:webHidden/>
          </w:rPr>
          <w:t>2</w:t>
        </w:r>
        <w:r w:rsidR="00F22385">
          <w:rPr>
            <w:noProof/>
            <w:webHidden/>
          </w:rPr>
          <w:fldChar w:fldCharType="end"/>
        </w:r>
      </w:hyperlink>
    </w:p>
    <w:p w:rsidR="00F22385" w:rsidRDefault="000E1ACA" w14:paraId="1DCEBD6D" w14:textId="77777777">
      <w:pPr>
        <w:pStyle w:val="Tabledesillustrations"/>
        <w:tabs>
          <w:tab w:val="right" w:leader="dot" w:pos="9737"/>
        </w:tabs>
        <w:rPr>
          <w:rFonts w:eastAsiaTheme="minorEastAsia" w:cstheme="minorBidi"/>
          <w:smallCaps w:val="0"/>
          <w:noProof/>
          <w:sz w:val="22"/>
          <w:szCs w:val="22"/>
        </w:rPr>
      </w:pPr>
      <w:hyperlink w:history="1" w:anchor="_Toc75426422">
        <w:r w:rsidRPr="003A62DA" w:rsidR="00F22385">
          <w:rPr>
            <w:rStyle w:val="Lienhypertexte"/>
            <w:noProof/>
            <w:lang w:val="fr-CH"/>
          </w:rPr>
          <w:t>Table 2. Test de résistance au mildiou des cultivars de concombres (2008 et 2009). L’échelle de notation s’étend de 0 à 9 avec : 0 : rien ; 1-2 : traces ; 3-4 : légers ; 5-6 : modérés ; 7-8 : sévère et 9 : mort. Cette échelle est basée sur le pourcentage de symptômes par surface de feuille.</w:t>
        </w:r>
        <w:r w:rsidR="00F22385">
          <w:rPr>
            <w:noProof/>
            <w:webHidden/>
          </w:rPr>
          <w:tab/>
        </w:r>
        <w:r w:rsidR="00F22385">
          <w:rPr>
            <w:noProof/>
            <w:webHidden/>
          </w:rPr>
          <w:fldChar w:fldCharType="begin"/>
        </w:r>
        <w:r w:rsidR="00F22385">
          <w:rPr>
            <w:noProof/>
            <w:webHidden/>
          </w:rPr>
          <w:instrText xml:space="preserve"> PAGEREF _Toc75426422 \h </w:instrText>
        </w:r>
        <w:r w:rsidR="00F22385">
          <w:rPr>
            <w:noProof/>
            <w:webHidden/>
          </w:rPr>
        </w:r>
        <w:r w:rsidR="00F22385">
          <w:rPr>
            <w:noProof/>
            <w:webHidden/>
          </w:rPr>
          <w:fldChar w:fldCharType="separate"/>
        </w:r>
        <w:r w:rsidR="008F23E5">
          <w:rPr>
            <w:noProof/>
            <w:webHidden/>
          </w:rPr>
          <w:t>4</w:t>
        </w:r>
        <w:r w:rsidR="00F22385">
          <w:rPr>
            <w:noProof/>
            <w:webHidden/>
          </w:rPr>
          <w:fldChar w:fldCharType="end"/>
        </w:r>
      </w:hyperlink>
    </w:p>
    <w:p w:rsidR="00F22385" w:rsidRDefault="000E1ACA" w14:paraId="1F45BEAA" w14:textId="77777777">
      <w:pPr>
        <w:pStyle w:val="Tabledesillustrations"/>
        <w:tabs>
          <w:tab w:val="right" w:leader="dot" w:pos="9737"/>
        </w:tabs>
        <w:rPr>
          <w:rFonts w:eastAsiaTheme="minorEastAsia" w:cstheme="minorBidi"/>
          <w:smallCaps w:val="0"/>
          <w:noProof/>
          <w:sz w:val="22"/>
          <w:szCs w:val="22"/>
        </w:rPr>
      </w:pPr>
      <w:hyperlink w:history="1" w:anchor="_Toc75426423">
        <w:r w:rsidRPr="003A62DA" w:rsidR="00F22385">
          <w:rPr>
            <w:rStyle w:val="Lienhypertexte"/>
            <w:noProof/>
            <w:lang w:val="fr-CH"/>
          </w:rPr>
          <w:t>Table 4. Valeur du risque d’occurrence du mildiou. Index (i) : incrémentation des conditions requises dans le tableau. r : facteur de multiplication correspondant aux différentes gammes de températures. Gamme de T°C : gammes de températures pour lesquelles il convient de compter le cumul des heures si les conditions requises d’HR sont remplies.</w:t>
        </w:r>
        <w:r w:rsidR="00F22385">
          <w:rPr>
            <w:noProof/>
            <w:webHidden/>
          </w:rPr>
          <w:tab/>
        </w:r>
        <w:r w:rsidR="00F22385">
          <w:rPr>
            <w:noProof/>
            <w:webHidden/>
          </w:rPr>
          <w:fldChar w:fldCharType="begin"/>
        </w:r>
        <w:r w:rsidR="00F22385">
          <w:rPr>
            <w:noProof/>
            <w:webHidden/>
          </w:rPr>
          <w:instrText xml:space="preserve"> PAGEREF _Toc75426423 \h </w:instrText>
        </w:r>
        <w:r w:rsidR="00F22385">
          <w:rPr>
            <w:noProof/>
            <w:webHidden/>
          </w:rPr>
        </w:r>
        <w:r w:rsidR="00F22385">
          <w:rPr>
            <w:noProof/>
            <w:webHidden/>
          </w:rPr>
          <w:fldChar w:fldCharType="separate"/>
        </w:r>
        <w:r w:rsidR="008F23E5">
          <w:rPr>
            <w:noProof/>
            <w:webHidden/>
          </w:rPr>
          <w:t>7</w:t>
        </w:r>
        <w:r w:rsidR="00F22385">
          <w:rPr>
            <w:noProof/>
            <w:webHidden/>
          </w:rPr>
          <w:fldChar w:fldCharType="end"/>
        </w:r>
      </w:hyperlink>
    </w:p>
    <w:p w:rsidR="00F22385" w:rsidRDefault="000E1ACA" w14:paraId="51B03ED9" w14:textId="77777777">
      <w:pPr>
        <w:pStyle w:val="Tabledesillustrations"/>
        <w:tabs>
          <w:tab w:val="right" w:leader="dot" w:pos="9737"/>
        </w:tabs>
        <w:rPr>
          <w:rFonts w:eastAsiaTheme="minorEastAsia" w:cstheme="minorBidi"/>
          <w:smallCaps w:val="0"/>
          <w:noProof/>
          <w:sz w:val="22"/>
          <w:szCs w:val="22"/>
        </w:rPr>
      </w:pPr>
      <w:hyperlink w:history="1" w:anchor="_Toc75426424">
        <w:r w:rsidRPr="003A62DA" w:rsidR="00F22385">
          <w:rPr>
            <w:rStyle w:val="Lienhypertexte"/>
            <w:noProof/>
          </w:rPr>
          <w:t>Table 3. Features du modèle..</w:t>
        </w:r>
        <w:r w:rsidR="00F22385">
          <w:rPr>
            <w:noProof/>
            <w:webHidden/>
          </w:rPr>
          <w:tab/>
        </w:r>
        <w:r w:rsidR="00F22385">
          <w:rPr>
            <w:noProof/>
            <w:webHidden/>
          </w:rPr>
          <w:fldChar w:fldCharType="begin"/>
        </w:r>
        <w:r w:rsidR="00F22385">
          <w:rPr>
            <w:noProof/>
            <w:webHidden/>
          </w:rPr>
          <w:instrText xml:space="preserve"> PAGEREF _Toc75426424 \h </w:instrText>
        </w:r>
        <w:r w:rsidR="00F22385">
          <w:rPr>
            <w:noProof/>
            <w:webHidden/>
          </w:rPr>
        </w:r>
        <w:r w:rsidR="00F22385">
          <w:rPr>
            <w:noProof/>
            <w:webHidden/>
          </w:rPr>
          <w:fldChar w:fldCharType="separate"/>
        </w:r>
        <w:r w:rsidR="008F23E5">
          <w:rPr>
            <w:noProof/>
            <w:webHidden/>
          </w:rPr>
          <w:t>8</w:t>
        </w:r>
        <w:r w:rsidR="00F22385">
          <w:rPr>
            <w:noProof/>
            <w:webHidden/>
          </w:rPr>
          <w:fldChar w:fldCharType="end"/>
        </w:r>
      </w:hyperlink>
    </w:p>
    <w:p w:rsidR="005959C0" w:rsidP="007F1201" w:rsidRDefault="005959C0" w14:paraId="7167E26C" w14:textId="77777777">
      <w:pPr>
        <w:pStyle w:val="T2"/>
      </w:pPr>
      <w:r>
        <w:rPr>
          <w:b w:val="0"/>
          <w:smallCaps/>
          <w:lang w:val="en-US"/>
        </w:rPr>
        <w:fldChar w:fldCharType="end"/>
      </w:r>
    </w:p>
    <w:p w:rsidR="00CA5C05" w:rsidP="007F1201" w:rsidRDefault="00CA5C05" w14:paraId="39663009" w14:textId="77777777">
      <w:pPr>
        <w:pStyle w:val="T2"/>
      </w:pPr>
    </w:p>
    <w:p w:rsidR="00CA5C05" w:rsidP="007F1201" w:rsidRDefault="00CA5C05" w14:paraId="204DAB34" w14:textId="77777777">
      <w:pPr>
        <w:pStyle w:val="T2"/>
      </w:pPr>
    </w:p>
    <w:p w:rsidR="00CA5C05" w:rsidP="007F1201" w:rsidRDefault="00CA5C05" w14:paraId="5EADACE0" w14:textId="77777777">
      <w:pPr>
        <w:pStyle w:val="T2"/>
      </w:pPr>
    </w:p>
    <w:p w:rsidR="0066451C" w:rsidP="007F1201" w:rsidRDefault="0066451C" w14:paraId="47CDF60D" w14:textId="77777777">
      <w:pPr>
        <w:pStyle w:val="T2"/>
      </w:pPr>
    </w:p>
    <w:p w:rsidR="0066451C" w:rsidP="007F1201" w:rsidRDefault="0066451C" w14:paraId="4365210C" w14:textId="77777777">
      <w:pPr>
        <w:pStyle w:val="T2"/>
      </w:pPr>
    </w:p>
    <w:p w:rsidR="0066451C" w:rsidP="007F1201" w:rsidRDefault="0066451C" w14:paraId="19B19869" w14:textId="77777777">
      <w:pPr>
        <w:pStyle w:val="T2"/>
      </w:pPr>
    </w:p>
    <w:p w:rsidR="0066451C" w:rsidP="007F1201" w:rsidRDefault="0066451C" w14:paraId="4D30BFD2" w14:textId="77777777">
      <w:pPr>
        <w:pStyle w:val="T2"/>
      </w:pPr>
    </w:p>
    <w:p w:rsidR="0066451C" w:rsidP="007F1201" w:rsidRDefault="0066451C" w14:paraId="623BC6A9" w14:textId="77777777">
      <w:pPr>
        <w:pStyle w:val="T2"/>
      </w:pPr>
    </w:p>
    <w:p w:rsidR="00E17DDE" w:rsidP="007F1201" w:rsidRDefault="00E17DDE" w14:paraId="428E1BD9" w14:textId="77777777">
      <w:pPr>
        <w:pStyle w:val="T2"/>
      </w:pPr>
    </w:p>
    <w:p w:rsidR="007F1201" w:rsidP="007F1201" w:rsidRDefault="007F1201" w14:paraId="2A412666" w14:textId="6F9F04F5">
      <w:pPr>
        <w:pStyle w:val="T2"/>
      </w:pPr>
      <w:r>
        <w:t>Introduction</w:t>
      </w:r>
    </w:p>
    <w:p w:rsidR="007F1201" w:rsidP="007F1201" w:rsidRDefault="007F1201" w14:paraId="206AEB34" w14:textId="02B6E455">
      <w:pPr>
        <w:rPr>
          <w:lang w:val="fr-CH"/>
        </w:rPr>
      </w:pPr>
      <w:r w:rsidRPr="00AF35F2">
        <w:rPr>
          <w:lang w:val="fr-CH"/>
        </w:rPr>
        <w:t xml:space="preserve">Un premier état de l’art </w:t>
      </w:r>
      <w:r>
        <w:rPr>
          <w:lang w:val="fr-CH"/>
        </w:rPr>
        <w:t xml:space="preserve">non exhaustif </w:t>
      </w:r>
      <w:r w:rsidRPr="00AF35F2">
        <w:rPr>
          <w:lang w:val="fr-CH"/>
        </w:rPr>
        <w:t>sur le thème d</w:t>
      </w:r>
      <w:r w:rsidR="00E17DDE">
        <w:rPr>
          <w:lang w:val="fr-CH"/>
        </w:rPr>
        <w:t xml:space="preserve">e la pourriture grise du chanvre </w:t>
      </w:r>
      <w:r>
        <w:rPr>
          <w:lang w:val="fr-CH"/>
        </w:rPr>
        <w:t>a été effectué</w:t>
      </w:r>
      <w:r w:rsidRPr="00AF35F2">
        <w:rPr>
          <w:lang w:val="fr-CH"/>
        </w:rPr>
        <w:t>.</w:t>
      </w:r>
      <w:r>
        <w:rPr>
          <w:lang w:val="fr-CH"/>
        </w:rPr>
        <w:t xml:space="preserve"> Le but était de faire le point sur les méthodes de monitoring digitales existantes, commercialisées ou en développement. Le document livré traite brièvement la maladie proprement dite (</w:t>
      </w:r>
      <w:r w:rsidR="00A47871">
        <w:rPr>
          <w:lang w:val="fr-CH"/>
        </w:rPr>
        <w:t>pourriture grise</w:t>
      </w:r>
      <w:r>
        <w:rPr>
          <w:lang w:val="fr-CH"/>
        </w:rPr>
        <w:t>)</w:t>
      </w:r>
      <w:r w:rsidR="00A47871">
        <w:rPr>
          <w:lang w:val="fr-CH"/>
        </w:rPr>
        <w:t xml:space="preserve">, les aspects variétaux et climatiques liés à la maladie, </w:t>
      </w:r>
      <w:r>
        <w:rPr>
          <w:lang w:val="fr-CH"/>
        </w:rPr>
        <w:t>et enfin les méthodes de monitoring de la maladie. La partie décrivant les méthodes de monitoring sera l’essentiel du document (sauf si rien n’existe).</w:t>
      </w:r>
    </w:p>
    <w:p w:rsidR="00A83E34" w:rsidP="007F1201" w:rsidRDefault="00A83E34" w14:paraId="3D623F2F" w14:textId="77777777">
      <w:pPr>
        <w:rPr>
          <w:lang w:val="fr-CH"/>
        </w:rPr>
      </w:pPr>
    </w:p>
    <w:p w:rsidR="007F1201" w:rsidP="007F1201" w:rsidRDefault="007F1201" w14:paraId="40CDDCB1" w14:textId="763F90AE">
      <w:pPr>
        <w:pStyle w:val="T2"/>
      </w:pPr>
      <w:r>
        <w:t>L</w:t>
      </w:r>
      <w:r w:rsidR="00A83E34">
        <w:t>a pourriture grise du chanvre</w:t>
      </w:r>
    </w:p>
    <w:p w:rsidRPr="00A91823" w:rsidR="00146333" w:rsidP="00146333" w:rsidRDefault="00146333" w14:paraId="349851FC" w14:textId="77777777">
      <w:pPr>
        <w:rPr>
          <w:lang w:val="fr-CH"/>
        </w:rPr>
      </w:pPr>
    </w:p>
    <w:p w:rsidR="00A14022" w:rsidP="00F36E95" w:rsidRDefault="005E5A5A" w14:paraId="528E08A9" w14:textId="6927823A">
      <w:pPr>
        <w:rPr>
          <w:lang w:val="fr-CH"/>
        </w:rPr>
      </w:pPr>
      <w:r>
        <w:rPr>
          <w:lang w:val="fr-CH"/>
        </w:rPr>
        <w:t>La pourriture</w:t>
      </w:r>
      <w:r w:rsidR="0048298A">
        <w:rPr>
          <w:lang w:val="fr-CH"/>
        </w:rPr>
        <w:t xml:space="preserve"> ou moisissure</w:t>
      </w:r>
      <w:r>
        <w:rPr>
          <w:lang w:val="fr-CH"/>
        </w:rPr>
        <w:t xml:space="preserve"> grise est causé</w:t>
      </w:r>
      <w:r w:rsidR="0048298A">
        <w:rPr>
          <w:lang w:val="fr-CH"/>
        </w:rPr>
        <w:t>e</w:t>
      </w:r>
      <w:r>
        <w:rPr>
          <w:lang w:val="fr-CH"/>
        </w:rPr>
        <w:t xml:space="preserve"> par le</w:t>
      </w:r>
      <w:r w:rsidR="004B1ED3">
        <w:rPr>
          <w:lang w:val="fr-CH"/>
        </w:rPr>
        <w:t xml:space="preserve"> champignon </w:t>
      </w:r>
      <w:r w:rsidRPr="004B1ED3" w:rsidR="004B1ED3">
        <w:rPr>
          <w:i/>
          <w:iCs/>
          <w:lang w:val="fr-CH"/>
        </w:rPr>
        <w:t>Botrytis ciner</w:t>
      </w:r>
      <w:r w:rsidR="00CD4DC6">
        <w:rPr>
          <w:i/>
          <w:iCs/>
          <w:lang w:val="fr-CH"/>
        </w:rPr>
        <w:t>e</w:t>
      </w:r>
      <w:r w:rsidRPr="004B1ED3" w:rsidR="004B1ED3">
        <w:rPr>
          <w:i/>
          <w:iCs/>
          <w:lang w:val="fr-CH"/>
        </w:rPr>
        <w:t>a</w:t>
      </w:r>
      <w:r w:rsidR="004B1ED3">
        <w:rPr>
          <w:lang w:val="fr-CH"/>
        </w:rPr>
        <w:t xml:space="preserve">. </w:t>
      </w:r>
      <w:r w:rsidR="004B1ED3">
        <w:rPr>
          <w:i/>
          <w:lang w:val="fr-CH"/>
        </w:rPr>
        <w:t xml:space="preserve"> </w:t>
      </w:r>
      <w:r w:rsidRPr="004B1ED3" w:rsidR="004B1ED3">
        <w:rPr>
          <w:i/>
          <w:iCs/>
          <w:lang w:val="fr-CH"/>
        </w:rPr>
        <w:t>Botrytis cinera</w:t>
      </w:r>
      <w:r w:rsidR="004B1ED3">
        <w:rPr>
          <w:lang w:val="fr-CH"/>
        </w:rPr>
        <w:t xml:space="preserve"> </w:t>
      </w:r>
      <w:r w:rsidRPr="00A14022" w:rsidR="00A14022">
        <w:rPr>
          <w:lang w:val="fr-CH"/>
        </w:rPr>
        <w:t xml:space="preserve">est </w:t>
      </w:r>
      <w:r w:rsidR="00467AD6">
        <w:rPr>
          <w:lang w:val="fr-CH"/>
        </w:rPr>
        <w:t xml:space="preserve">polyphage, </w:t>
      </w:r>
      <w:r w:rsidR="006014D3">
        <w:rPr>
          <w:lang w:val="fr-CH"/>
        </w:rPr>
        <w:t>i.e. il s’attaque à différentes plantes hôtes</w:t>
      </w:r>
      <w:r w:rsidR="000F50B3">
        <w:rPr>
          <w:lang w:val="fr-CH"/>
        </w:rPr>
        <w:t>, saprophytique ou parasitique</w:t>
      </w:r>
      <w:r w:rsidR="00A14022">
        <w:rPr>
          <w:lang w:val="fr-CH"/>
        </w:rPr>
        <w:t>.</w:t>
      </w:r>
      <w:r w:rsidR="00871323">
        <w:rPr>
          <w:lang w:val="fr-CH"/>
        </w:rPr>
        <w:t xml:space="preserve"> Plus de 270 espèces de plantes</w:t>
      </w:r>
      <w:r w:rsidR="00E26236">
        <w:rPr>
          <w:lang w:val="fr-CH"/>
        </w:rPr>
        <w:t xml:space="preserve"> (rosacées, vignes, </w:t>
      </w:r>
      <w:r w:rsidR="00B83398">
        <w:rPr>
          <w:lang w:val="fr-CH"/>
        </w:rPr>
        <w:t>oignons, etc.)</w:t>
      </w:r>
      <w:r w:rsidR="00871323">
        <w:rPr>
          <w:lang w:val="fr-CH"/>
        </w:rPr>
        <w:t xml:space="preserve"> sont touchées par cette maladie</w:t>
      </w:r>
      <w:r w:rsidR="00FC0336">
        <w:rPr>
          <w:lang w:val="fr-CH"/>
        </w:rPr>
        <w:t>. Elle se manifeste préférentiellement sur les fruits</w:t>
      </w:r>
      <w:r w:rsidR="005640AC">
        <w:rPr>
          <w:lang w:val="fr-CH"/>
        </w:rPr>
        <w:t xml:space="preserve"> mais tous les organes de la plante</w:t>
      </w:r>
      <w:r w:rsidR="00440565">
        <w:rPr>
          <w:lang w:val="fr-CH"/>
        </w:rPr>
        <w:t xml:space="preserve"> à l’exception des racines</w:t>
      </w:r>
      <w:r w:rsidR="005640AC">
        <w:rPr>
          <w:lang w:val="fr-CH"/>
        </w:rPr>
        <w:t xml:space="preserve"> peuvent être affectés (fleurs, tiges</w:t>
      </w:r>
      <w:r w:rsidR="00FB737F">
        <w:rPr>
          <w:lang w:val="fr-CH"/>
        </w:rPr>
        <w:t>, feuilles</w:t>
      </w:r>
      <w:r w:rsidR="00440565">
        <w:rPr>
          <w:lang w:val="fr-CH"/>
        </w:rPr>
        <w:t>, semences, bulbes, etc</w:t>
      </w:r>
      <w:r w:rsidR="005640AC">
        <w:rPr>
          <w:lang w:val="fr-CH"/>
        </w:rPr>
        <w:t>)</w:t>
      </w:r>
      <w:r w:rsidRPr="00F36E95" w:rsidR="00FA359F">
        <w:rPr>
          <w:lang w:val="fr-CH"/>
        </w:rPr>
        <w:t xml:space="preserve">. </w:t>
      </w:r>
      <w:r w:rsidR="00DE62B6">
        <w:rPr>
          <w:lang w:val="fr-CH"/>
        </w:rPr>
        <w:t xml:space="preserve">Sur le chanvre, </w:t>
      </w:r>
      <w:r w:rsidR="00DE62B6">
        <w:rPr>
          <w:lang w:val="fr-CH"/>
        </w:rPr>
        <w:lastRenderedPageBreak/>
        <w:t>les symptômes sont</w:t>
      </w:r>
      <w:r w:rsidR="005A1B50">
        <w:rPr>
          <w:lang w:val="fr-CH"/>
        </w:rPr>
        <w:t xml:space="preserve"> les suivants : tige brune ou noire avec un feutrage gris, feuilles jaunes et flétrissantes,</w:t>
      </w:r>
      <w:r w:rsidR="00331AB5">
        <w:rPr>
          <w:lang w:val="fr-CH"/>
        </w:rPr>
        <w:t xml:space="preserve"> fleures piquées de noirs, puis devenant grisâtres et bruns</w:t>
      </w:r>
      <w:r w:rsidR="00013159">
        <w:rPr>
          <w:lang w:val="fr-CH"/>
        </w:rPr>
        <w:t xml:space="preserve"> (cf. figure 1)</w:t>
      </w:r>
      <w:r w:rsidR="00331AB5">
        <w:rPr>
          <w:lang w:val="fr-CH"/>
        </w:rPr>
        <w:t>.</w:t>
      </w:r>
    </w:p>
    <w:p w:rsidR="00013159" w:rsidP="00F36E95" w:rsidRDefault="00013159" w14:paraId="47500604" w14:textId="020EFC20">
      <w:pPr>
        <w:rPr>
          <w:lang w:val="fr-CH"/>
        </w:rPr>
      </w:pPr>
      <w:r>
        <w:rPr>
          <w:lang w:val="fr-CH"/>
        </w:rPr>
        <w:t>Fig1</w:t>
      </w:r>
    </w:p>
    <w:p w:rsidR="00013159" w:rsidP="00F36E95" w:rsidRDefault="00013159" w14:paraId="13EB16CB" w14:textId="77777777">
      <w:pPr>
        <w:rPr>
          <w:lang w:val="fr-CH"/>
        </w:rPr>
      </w:pPr>
    </w:p>
    <w:p w:rsidR="00436731" w:rsidP="00F36E95" w:rsidRDefault="001466F4" w14:paraId="6BA1D4F4" w14:textId="1B89F190">
      <w:pPr>
        <w:rPr>
          <w:lang w:val="fr-CH"/>
        </w:rPr>
      </w:pPr>
      <w:r>
        <w:rPr>
          <w:lang w:val="fr-CH"/>
        </w:rPr>
        <w:t>La maladie se développe en région tempérée, lorsque l</w:t>
      </w:r>
      <w:r w:rsidR="00E416E7">
        <w:rPr>
          <w:lang w:val="fr-CH"/>
        </w:rPr>
        <w:t>’humidité de l’air est importante (&gt;60%) et que la température de l’air est de 20 à 24°C</w:t>
      </w:r>
      <w:r w:rsidR="00DA5704">
        <w:rPr>
          <w:lang w:val="fr-CH"/>
        </w:rPr>
        <w:t xml:space="preserve"> et peut apparaitre d’avril à septembre</w:t>
      </w:r>
      <w:r w:rsidR="00E416E7">
        <w:rPr>
          <w:lang w:val="fr-CH"/>
        </w:rPr>
        <w:t xml:space="preserve">. </w:t>
      </w:r>
      <w:r w:rsidR="0048171A">
        <w:rPr>
          <w:lang w:val="fr-CH"/>
        </w:rPr>
        <w:t xml:space="preserve">L’infection se fait via </w:t>
      </w:r>
      <w:r w:rsidR="00111F72">
        <w:rPr>
          <w:lang w:val="fr-CH"/>
        </w:rPr>
        <w:t>les conidies produites</w:t>
      </w:r>
      <w:r w:rsidR="005D4F30">
        <w:rPr>
          <w:lang w:val="fr-CH"/>
        </w:rPr>
        <w:t xml:space="preserve"> par le mycélium</w:t>
      </w:r>
      <w:r w:rsidR="0048171A">
        <w:rPr>
          <w:lang w:val="fr-CH"/>
        </w:rPr>
        <w:t>.</w:t>
      </w:r>
      <w:r w:rsidR="00E4540A">
        <w:rPr>
          <w:lang w:val="fr-CH"/>
        </w:rPr>
        <w:t xml:space="preserve"> </w:t>
      </w:r>
      <w:r w:rsidR="0005618B">
        <w:rPr>
          <w:lang w:val="fr-CH"/>
        </w:rPr>
        <w:t xml:space="preserve">Elle est favorisée par </w:t>
      </w:r>
      <w:r w:rsidR="00FD3C82">
        <w:rPr>
          <w:lang w:val="fr-CH"/>
        </w:rPr>
        <w:t>une température de 16 à 25°C, une humidité relative élevée (&gt;85%) et l</w:t>
      </w:r>
      <w:r w:rsidR="00455AD4">
        <w:rPr>
          <w:lang w:val="fr-CH"/>
        </w:rPr>
        <w:t xml:space="preserve">a présence d’eau (arrosage, condensation, etc.). </w:t>
      </w:r>
      <w:r w:rsidR="00E4540A">
        <w:rPr>
          <w:lang w:val="fr-CH"/>
        </w:rPr>
        <w:t>Les</w:t>
      </w:r>
      <w:r w:rsidR="008B66E9">
        <w:rPr>
          <w:lang w:val="fr-CH"/>
        </w:rPr>
        <w:t xml:space="preserve"> conidies germent et se développent dans les tissus végéta</w:t>
      </w:r>
      <w:r w:rsidR="008B281E">
        <w:rPr>
          <w:lang w:val="fr-CH"/>
        </w:rPr>
        <w:t>ux</w:t>
      </w:r>
      <w:r w:rsidR="008B66E9">
        <w:rPr>
          <w:lang w:val="fr-CH"/>
        </w:rPr>
        <w:t xml:space="preserve"> afin de </w:t>
      </w:r>
      <w:r w:rsidR="0001132C">
        <w:rPr>
          <w:lang w:val="fr-CH"/>
        </w:rPr>
        <w:t xml:space="preserve">produire </w:t>
      </w:r>
      <w:r w:rsidR="00111F72">
        <w:rPr>
          <w:lang w:val="fr-CH"/>
        </w:rPr>
        <w:t>des ascospores groupées</w:t>
      </w:r>
      <w:r w:rsidR="009208D5">
        <w:rPr>
          <w:lang w:val="fr-CH"/>
        </w:rPr>
        <w:t xml:space="preserve"> en apothécie, une fructification en forme de </w:t>
      </w:r>
      <w:r w:rsidR="00901648">
        <w:rPr>
          <w:lang w:val="fr-CH"/>
        </w:rPr>
        <w:t>coupe. Après fructification, les conidies sont libérées</w:t>
      </w:r>
      <w:r w:rsidR="0049767E">
        <w:rPr>
          <w:lang w:val="fr-CH"/>
        </w:rPr>
        <w:t>, transportées par le vent sur de potentiellement longues distances</w:t>
      </w:r>
      <w:r w:rsidR="00901648">
        <w:rPr>
          <w:lang w:val="fr-CH"/>
        </w:rPr>
        <w:t xml:space="preserve"> et peuvent contaminées d’autres plantes.</w:t>
      </w:r>
      <w:r w:rsidR="00436731">
        <w:rPr>
          <w:lang w:val="fr-CH"/>
        </w:rPr>
        <w:t xml:space="preserve"> D’autre part, le mycélium peut passer l’hiver sur des débris de plante</w:t>
      </w:r>
      <w:r w:rsidR="0042378C">
        <w:rPr>
          <w:lang w:val="fr-CH"/>
        </w:rPr>
        <w:t>s et dans le sol ou sous forme de sclérote</w:t>
      </w:r>
      <w:r w:rsidR="008F44A2">
        <w:rPr>
          <w:lang w:val="fr-CH"/>
        </w:rPr>
        <w:t>s (structure dense composée de mycélium</w:t>
      </w:r>
      <w:r w:rsidR="00497839">
        <w:rPr>
          <w:lang w:val="fr-CH"/>
        </w:rPr>
        <w:t xml:space="preserve"> </w:t>
      </w:r>
      <w:r w:rsidR="008613E9">
        <w:rPr>
          <w:lang w:val="fr-CH"/>
        </w:rPr>
        <w:t xml:space="preserve">formée à l’automne </w:t>
      </w:r>
      <w:r w:rsidR="00497839">
        <w:rPr>
          <w:lang w:val="fr-CH"/>
        </w:rPr>
        <w:t>permettant la survie pendant l’hiver)</w:t>
      </w:r>
      <w:r w:rsidR="008613E9">
        <w:rPr>
          <w:lang w:val="fr-CH"/>
        </w:rPr>
        <w:t>. Dès que les conditions sont favorable</w:t>
      </w:r>
      <w:r w:rsidR="00345A71">
        <w:rPr>
          <w:lang w:val="fr-CH"/>
        </w:rPr>
        <w:t>s (température et humidité de l’air), les sclérotes germent et infectent les tissus végétaux</w:t>
      </w:r>
      <w:r w:rsidR="006762BB">
        <w:rPr>
          <w:lang w:val="fr-CH"/>
        </w:rPr>
        <w:t>.</w:t>
      </w:r>
    </w:p>
    <w:p w:rsidR="00344C5D" w:rsidP="00F36E95" w:rsidRDefault="00C33400" w14:paraId="511B23C0" w14:textId="103F68BD">
      <w:pPr>
        <w:rPr>
          <w:lang w:val="fr-CH"/>
        </w:rPr>
      </w:pPr>
      <w:r>
        <w:rPr>
          <w:lang w:val="fr-CH"/>
        </w:rPr>
        <w:t xml:space="preserve">.  </w:t>
      </w:r>
    </w:p>
    <w:p w:rsidRPr="00A14022" w:rsidR="0048171A" w:rsidP="00F36E95" w:rsidRDefault="00344C5D" w14:paraId="52CE92DF" w14:textId="7A5C893B">
      <w:pPr>
        <w:rPr>
          <w:lang w:val="fr-CH"/>
        </w:rPr>
      </w:pPr>
      <w:r>
        <w:rPr>
          <w:noProof/>
        </w:rPr>
        <w:drawing>
          <wp:inline distT="0" distB="0" distL="0" distR="0" wp14:anchorId="27E50F6C" wp14:editId="111F5715">
            <wp:extent cx="4047490" cy="2981960"/>
            <wp:effectExtent l="0" t="0" r="0" b="8890"/>
            <wp:docPr id="2" name="Image 2" descr="Botrytis cinerea (fungus)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trytis cinerea (fungus) life cyc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7490" cy="2981960"/>
                    </a:xfrm>
                    <a:prstGeom prst="rect">
                      <a:avLst/>
                    </a:prstGeom>
                    <a:noFill/>
                    <a:ln>
                      <a:noFill/>
                    </a:ln>
                  </pic:spPr>
                </pic:pic>
              </a:graphicData>
            </a:graphic>
          </wp:inline>
        </w:drawing>
      </w:r>
      <w:r w:rsidR="0048171A">
        <w:rPr>
          <w:lang w:val="fr-CH"/>
        </w:rPr>
        <w:t xml:space="preserve"> </w:t>
      </w:r>
    </w:p>
    <w:p w:rsidR="00146333" w:rsidP="007F1201" w:rsidRDefault="00146333" w14:paraId="59E54509" w14:textId="77777777">
      <w:pPr>
        <w:pStyle w:val="T2"/>
      </w:pPr>
    </w:p>
    <w:p w:rsidR="00146333" w:rsidP="007F1201" w:rsidRDefault="00146333" w14:paraId="4B9643CF" w14:textId="7A37F932">
      <w:pPr>
        <w:pStyle w:val="T2"/>
      </w:pPr>
      <w:r>
        <w:t>Lutte contre l</w:t>
      </w:r>
      <w:r w:rsidR="00354A8F">
        <w:t>a pourriture grise du chanvre</w:t>
      </w:r>
    </w:p>
    <w:p w:rsidR="00146333" w:rsidP="00A14022" w:rsidRDefault="00A36FE0" w14:paraId="5EB4385C" w14:textId="6728ED0A">
      <w:pPr>
        <w:rPr>
          <w:lang w:val="fr-CH"/>
        </w:rPr>
      </w:pPr>
      <w:r>
        <w:rPr>
          <w:lang w:val="fr-CH"/>
        </w:rPr>
        <w:t xml:space="preserve">En Suisse, sur les </w:t>
      </w:r>
      <w:r w:rsidR="00BE63DC">
        <w:rPr>
          <w:lang w:val="fr-CH"/>
        </w:rPr>
        <w:t>10 produits homologués pour traiter le chanvre</w:t>
      </w:r>
      <w:r w:rsidR="00DB1CF2">
        <w:rPr>
          <w:lang w:val="fr-CH"/>
        </w:rPr>
        <w:t xml:space="preserve"> (</w:t>
      </w:r>
      <w:r w:rsidR="00B36753">
        <w:rPr>
          <w:lang w:val="fr-CH"/>
        </w:rPr>
        <w:t xml:space="preserve">recherche effectuée le 28.07.2021 ; </w:t>
      </w:r>
      <w:hyperlink w:history="1" r:id="rId11">
        <w:r w:rsidRPr="00201742" w:rsidR="00B36753">
          <w:rPr>
            <w:rStyle w:val="Lienhypertexte"/>
            <w:lang w:val="fr-CH"/>
          </w:rPr>
          <w:t>https://www.psm.admin.ch/fr/kulturen/14729</w:t>
        </w:r>
      </w:hyperlink>
      <w:r w:rsidR="00DB1CF2">
        <w:rPr>
          <w:lang w:val="fr-CH"/>
        </w:rPr>
        <w:t>)</w:t>
      </w:r>
      <w:r w:rsidR="00BE63DC">
        <w:rPr>
          <w:lang w:val="fr-CH"/>
        </w:rPr>
        <w:t>,</w:t>
      </w:r>
      <w:r w:rsidR="00DB1CF2">
        <w:rPr>
          <w:lang w:val="fr-CH"/>
        </w:rPr>
        <w:t xml:space="preserve"> aucun n’est un fongicide</w:t>
      </w:r>
      <w:r w:rsidR="00B36753">
        <w:rPr>
          <w:lang w:val="fr-CH"/>
        </w:rPr>
        <w:t xml:space="preserve"> </w:t>
      </w:r>
      <w:r w:rsidR="00660761">
        <w:rPr>
          <w:lang w:val="fr-CH"/>
        </w:rPr>
        <w:t>traitant la pourriture grise</w:t>
      </w:r>
      <w:r w:rsidR="00DB1CF2">
        <w:rPr>
          <w:lang w:val="fr-CH"/>
        </w:rPr>
        <w:t>.</w:t>
      </w:r>
      <w:r w:rsidR="00F0561C">
        <w:rPr>
          <w:lang w:val="fr-CH"/>
        </w:rPr>
        <w:t xml:space="preserve"> Néanmoins, cette plante est</w:t>
      </w:r>
      <w:r w:rsidR="0039048E">
        <w:rPr>
          <w:lang w:val="fr-CH"/>
        </w:rPr>
        <w:t xml:space="preserve"> peu exigeante et jugée robuste se prêtant bien à une culture en agriculture biologique</w:t>
      </w:r>
      <w:r w:rsidR="00583F84">
        <w:rPr>
          <w:rStyle w:val="Appelnotedebasdep"/>
          <w:lang w:val="fr-CH"/>
        </w:rPr>
        <w:footnoteReference w:id="1"/>
      </w:r>
      <w:r w:rsidR="0039048E">
        <w:rPr>
          <w:lang w:val="fr-CH"/>
        </w:rPr>
        <w:t>.</w:t>
      </w:r>
    </w:p>
    <w:p w:rsidR="00660761" w:rsidP="00A14022" w:rsidRDefault="00517452" w14:paraId="72051B77" w14:textId="4EDAFEA1">
      <w:pPr>
        <w:rPr>
          <w:lang w:val="fr-CH"/>
        </w:rPr>
      </w:pPr>
      <w:r>
        <w:rPr>
          <w:lang w:val="fr-CH"/>
        </w:rPr>
        <w:t xml:space="preserve">Il existe 32 produits homologués en Suisse pour traiter le </w:t>
      </w:r>
      <w:r w:rsidRPr="00517452">
        <w:rPr>
          <w:i/>
          <w:iCs/>
          <w:lang w:val="fr-CH"/>
        </w:rPr>
        <w:t>Botrytis cinerea</w:t>
      </w:r>
      <w:r>
        <w:rPr>
          <w:lang w:val="fr-CH"/>
        </w:rPr>
        <w:t xml:space="preserve"> mais aucun n’est spécifique à la culture du chanvre.</w:t>
      </w:r>
      <w:r w:rsidR="00997CB9">
        <w:rPr>
          <w:lang w:val="fr-CH"/>
        </w:rPr>
        <w:t xml:space="preserve"> </w:t>
      </w:r>
      <w:r w:rsidRPr="00D84592" w:rsidR="00283F72">
        <w:rPr>
          <w:b/>
          <w:bCs/>
          <w:lang w:val="fr-CH"/>
        </w:rPr>
        <w:t>A VERIFIER.</w:t>
      </w:r>
    </w:p>
    <w:p w:rsidRPr="0048171A" w:rsidR="00AC769E" w:rsidP="00A14022" w:rsidRDefault="00AC769E" w14:paraId="42674D37" w14:textId="77777777">
      <w:pPr>
        <w:rPr>
          <w:lang w:val="fr-CH"/>
        </w:rPr>
      </w:pPr>
    </w:p>
    <w:p w:rsidRPr="006A0497" w:rsidR="0046777A" w:rsidP="0046777A" w:rsidRDefault="00C627B7" w14:paraId="548F5101" w14:textId="181D4029">
      <w:pPr>
        <w:rPr>
          <w:lang w:val="fr-CH"/>
        </w:rPr>
      </w:pPr>
      <w:r>
        <w:rPr>
          <w:lang w:val="fr-CH"/>
        </w:rPr>
        <w:t xml:space="preserve">Les stratégies de lutte reposent donc essentiellement sur la prévention : </w:t>
      </w:r>
      <w:r w:rsidR="0027573D">
        <w:rPr>
          <w:lang w:val="fr-CH"/>
        </w:rPr>
        <w:t>produ</w:t>
      </w:r>
      <w:r w:rsidR="008534DB">
        <w:rPr>
          <w:lang w:val="fr-CH"/>
        </w:rPr>
        <w:t>ire</w:t>
      </w:r>
      <w:r w:rsidR="0027573D">
        <w:rPr>
          <w:lang w:val="fr-CH"/>
        </w:rPr>
        <w:t xml:space="preserve"> dans des serres propres et exemptes de déchets végétaux, éviter de sur-fertiliser les plantes ce qui les rend </w:t>
      </w:r>
      <w:r w:rsidR="00A85053">
        <w:rPr>
          <w:lang w:val="fr-CH"/>
        </w:rPr>
        <w:t>plus vulnérables</w:t>
      </w:r>
      <w:r w:rsidR="00525F6A">
        <w:rPr>
          <w:lang w:val="fr-CH"/>
        </w:rPr>
        <w:t>, adopter un arrosage qui maintient le feuillage sec (</w:t>
      </w:r>
      <w:r w:rsidR="008534DB">
        <w:rPr>
          <w:lang w:val="fr-CH"/>
        </w:rPr>
        <w:t xml:space="preserve">e.g. </w:t>
      </w:r>
      <w:r w:rsidR="00525F6A">
        <w:rPr>
          <w:lang w:val="fr-CH"/>
        </w:rPr>
        <w:t>goutte-à-goutte</w:t>
      </w:r>
      <w:r w:rsidR="008534DB">
        <w:rPr>
          <w:lang w:val="fr-CH"/>
        </w:rPr>
        <w:t>), espacer les plantes, maintenir l’humidité</w:t>
      </w:r>
      <w:r w:rsidR="004D18C6">
        <w:rPr>
          <w:lang w:val="fr-CH"/>
        </w:rPr>
        <w:t xml:space="preserve"> relative dans la serre sous 85% ou déshumidifier </w:t>
      </w:r>
      <w:r w:rsidR="00953CA9">
        <w:rPr>
          <w:lang w:val="fr-CH"/>
        </w:rPr>
        <w:t>30 minutes au coucher du soleil et tôt le matin</w:t>
      </w:r>
      <w:r w:rsidR="005F7E0C">
        <w:rPr>
          <w:lang w:val="fr-CH"/>
        </w:rPr>
        <w:t>, ventiler la serre quelques minutes le matin et le soir</w:t>
      </w:r>
      <w:r w:rsidR="007615F7">
        <w:rPr>
          <w:lang w:val="fr-CH"/>
        </w:rPr>
        <w:t>, 2 à 3 fois pendant une heure</w:t>
      </w:r>
      <w:r w:rsidR="00B038F5">
        <w:rPr>
          <w:lang w:val="fr-CH"/>
        </w:rPr>
        <w:t>, éviter de tailler, nettoyer ou manipuler les plantes lorsque le feuillage est mouillée</w:t>
      </w:r>
      <w:r w:rsidR="007615F7">
        <w:rPr>
          <w:lang w:val="fr-CH"/>
        </w:rPr>
        <w:t>.</w:t>
      </w:r>
      <w:r w:rsidR="00920E46">
        <w:rPr>
          <w:lang w:val="fr-CH"/>
        </w:rPr>
        <w:t xml:space="preserve"> En cas de détection de plantes infectées, </w:t>
      </w:r>
      <w:r w:rsidR="006C51BC">
        <w:rPr>
          <w:lang w:val="fr-CH"/>
        </w:rPr>
        <w:t>les feuilles ou parties infectées peuvent être retirées et stockées dans un sac</w:t>
      </w:r>
      <w:r w:rsidR="00F45527">
        <w:rPr>
          <w:lang w:val="fr-CH"/>
        </w:rPr>
        <w:t xml:space="preserve"> en plastique afin de jeter les débris de culture contaminés hors de la serre</w:t>
      </w:r>
      <w:r w:rsidR="006E2A44">
        <w:rPr>
          <w:lang w:val="fr-CH"/>
        </w:rPr>
        <w:t xml:space="preserve"> (RAP, 2018)</w:t>
      </w:r>
      <w:r w:rsidR="00B038F5">
        <w:rPr>
          <w:lang w:val="fr-CH"/>
        </w:rPr>
        <w:t>.</w:t>
      </w:r>
    </w:p>
    <w:p w:rsidR="00146333" w:rsidP="007F1201" w:rsidRDefault="00146333" w14:paraId="19236DCE" w14:textId="77777777">
      <w:pPr>
        <w:pStyle w:val="T2"/>
      </w:pPr>
    </w:p>
    <w:p w:rsidR="007F1201" w:rsidP="007F1201" w:rsidRDefault="007F1201" w14:paraId="044865F6" w14:textId="77777777">
      <w:pPr>
        <w:pStyle w:val="T2"/>
      </w:pPr>
      <w:r>
        <w:t>Monitoring digital</w:t>
      </w:r>
      <w:r w:rsidR="004F1A13">
        <w:t xml:space="preserve"> et modélisation</w:t>
      </w:r>
    </w:p>
    <w:p w:rsidRPr="00EE72AF" w:rsidR="007F1201" w:rsidP="004F1A13" w:rsidRDefault="007F1201" w14:paraId="687C2ECF" w14:textId="77777777">
      <w:pPr>
        <w:rPr>
          <w:lang w:val="fr-CH"/>
        </w:rPr>
      </w:pPr>
    </w:p>
    <w:p w:rsidRPr="003E4ABE" w:rsidR="003E4ABE" w:rsidP="004F1A13" w:rsidRDefault="003E4ABE" w14:paraId="7F1CADFC" w14:textId="43965EC8">
      <w:pPr>
        <w:rPr>
          <w:lang w:val="fr-CH"/>
        </w:rPr>
      </w:pPr>
      <w:r w:rsidRPr="003E4ABE">
        <w:rPr>
          <w:lang w:val="fr-CH"/>
        </w:rPr>
        <w:t>Les approches manuelles pour reconnaître les maladies sont souvent chronophages, laborieuses et subjectives.</w:t>
      </w:r>
      <w:r>
        <w:rPr>
          <w:lang w:val="fr-CH"/>
        </w:rPr>
        <w:t xml:space="preserve"> Une détection objective, rapide et demandant peu de main d’œuvre serait un atout certains pour les producteurs. Parmi les méthodes possibles,</w:t>
      </w:r>
      <w:r w:rsidR="00154F31">
        <w:rPr>
          <w:lang w:val="fr-CH"/>
        </w:rPr>
        <w:t xml:space="preserve"> on notera</w:t>
      </w:r>
      <w:r>
        <w:rPr>
          <w:lang w:val="fr-CH"/>
        </w:rPr>
        <w:t xml:space="preserve"> la modélisation du risque d’occurrence de la maladie </w:t>
      </w:r>
      <w:r w:rsidRPr="00154F31">
        <w:rPr>
          <w:i/>
          <w:lang w:val="fr-CH"/>
        </w:rPr>
        <w:t>via</w:t>
      </w:r>
      <w:r>
        <w:rPr>
          <w:lang w:val="fr-CH"/>
        </w:rPr>
        <w:t xml:space="preserve"> les données climatiques enregistrées en </w:t>
      </w:r>
      <w:r w:rsidR="00D86528">
        <w:rPr>
          <w:lang w:val="fr-CH"/>
        </w:rPr>
        <w:t>continue</w:t>
      </w:r>
      <w:r>
        <w:rPr>
          <w:lang w:val="fr-CH"/>
        </w:rPr>
        <w:t xml:space="preserve"> par les ordinateurs climatiques des serres ou encore l’utilisation de technologies digitales comme la vision par caméra et l’interprétation d’images. </w:t>
      </w:r>
    </w:p>
    <w:p w:rsidRPr="003E4ABE" w:rsidR="003E4ABE" w:rsidP="004F1A13" w:rsidRDefault="003E4ABE" w14:paraId="0A4BA73E" w14:textId="77777777">
      <w:pPr>
        <w:rPr>
          <w:lang w:val="fr-CH"/>
        </w:rPr>
      </w:pPr>
    </w:p>
    <w:p w:rsidR="00F63F3F" w:rsidP="004F1A13" w:rsidRDefault="003E4ABE" w14:paraId="1BC276AE" w14:textId="73CB1887">
      <w:pPr>
        <w:rPr>
          <w:lang w:val="fr-CH"/>
        </w:rPr>
      </w:pPr>
      <w:r>
        <w:rPr>
          <w:b/>
          <w:i/>
          <w:lang w:val="fr-CH"/>
        </w:rPr>
        <w:t>Modélisation des données climatiques</w:t>
      </w:r>
      <w:r w:rsidRPr="00BC4F07" w:rsidR="00BC4F07">
        <w:rPr>
          <w:b/>
          <w:i/>
          <w:lang w:val="fr-CH"/>
        </w:rPr>
        <w:t>.</w:t>
      </w:r>
      <w:r w:rsidR="00BC4F07">
        <w:rPr>
          <w:lang w:val="fr-CH"/>
        </w:rPr>
        <w:t xml:space="preserve"> </w:t>
      </w:r>
      <w:r w:rsidRPr="004F1A13" w:rsidR="004F1A13">
        <w:rPr>
          <w:lang w:val="fr-CH"/>
        </w:rPr>
        <w:t xml:space="preserve">Le risque qu’une infection au </w:t>
      </w:r>
      <w:r w:rsidR="00333AF1">
        <w:rPr>
          <w:lang w:val="fr-CH"/>
        </w:rPr>
        <w:t>Botrytis cinerea</w:t>
      </w:r>
      <w:r w:rsidRPr="004F1A13" w:rsidR="004F1A13">
        <w:rPr>
          <w:lang w:val="fr-CH"/>
        </w:rPr>
        <w:t xml:space="preserve"> survienne </w:t>
      </w:r>
      <w:r w:rsidR="004F1A13">
        <w:rPr>
          <w:lang w:val="fr-CH"/>
        </w:rPr>
        <w:t xml:space="preserve">est intimement lié à la conjonction de paramètres climatiques pendant une certaine durée. En particulier, une forte humidité relative associée à une certaine durée de températures </w:t>
      </w:r>
      <w:r w:rsidR="00333AF1">
        <w:rPr>
          <w:lang w:val="fr-CH"/>
        </w:rPr>
        <w:t xml:space="preserve">modérées </w:t>
      </w:r>
      <w:r w:rsidR="004F1A13">
        <w:rPr>
          <w:lang w:val="fr-CH"/>
        </w:rPr>
        <w:t xml:space="preserve">sont particulièrement favorables. </w:t>
      </w:r>
      <w:r w:rsidR="00106E55">
        <w:rPr>
          <w:lang w:val="fr-CH"/>
        </w:rPr>
        <w:t xml:space="preserve">Il n’existe pas de modèles prédictifs </w:t>
      </w:r>
      <w:r w:rsidR="000F414D">
        <w:rPr>
          <w:lang w:val="fr-CH"/>
        </w:rPr>
        <w:t xml:space="preserve">du risque de contamination sur le chanvre, à notre connaissance. </w:t>
      </w:r>
      <w:r w:rsidR="006B55F8">
        <w:rPr>
          <w:lang w:val="fr-CH"/>
        </w:rPr>
        <w:t>Cependant</w:t>
      </w:r>
      <w:r w:rsidR="000F414D">
        <w:rPr>
          <w:lang w:val="fr-CH"/>
        </w:rPr>
        <w:t>, des modèles ont été développés, en particulier pour la vigne et la culture de fraise.</w:t>
      </w:r>
    </w:p>
    <w:p w:rsidR="006035E0" w:rsidP="004F1A13" w:rsidRDefault="006035E0" w14:paraId="115CA381" w14:textId="3025DC98">
      <w:pPr>
        <w:rPr>
          <w:lang w:val="fr-CH"/>
        </w:rPr>
      </w:pPr>
      <w:r>
        <w:rPr>
          <w:lang w:val="fr-CH"/>
        </w:rPr>
        <w:t>D</w:t>
      </w:r>
      <w:r w:rsidR="006B55F8">
        <w:rPr>
          <w:lang w:val="fr-CH"/>
        </w:rPr>
        <w:t>ifférents modèles ont été proposés pour prédire le risque d’apparition de pourriture grise sur les</w:t>
      </w:r>
      <w:r w:rsidR="00F9691E">
        <w:rPr>
          <w:lang w:val="fr-CH"/>
        </w:rPr>
        <w:t xml:space="preserve"> raisins</w:t>
      </w:r>
      <w:r w:rsidR="00D47ED3">
        <w:rPr>
          <w:lang w:val="fr-CH"/>
        </w:rPr>
        <w:t>.</w:t>
      </w:r>
      <w:r w:rsidR="00D54E39">
        <w:rPr>
          <w:lang w:val="fr-CH"/>
        </w:rPr>
        <w:t xml:space="preserve"> Broome</w:t>
      </w:r>
      <w:r w:rsidR="00402B45">
        <w:rPr>
          <w:lang w:val="fr-CH"/>
        </w:rPr>
        <w:t xml:space="preserve"> et al. (1995)</w:t>
      </w:r>
      <w:r w:rsidR="00D54E39">
        <w:rPr>
          <w:lang w:val="fr-CH"/>
        </w:rPr>
        <w:t xml:space="preserve"> a développé</w:t>
      </w:r>
      <w:r w:rsidR="00832832">
        <w:rPr>
          <w:lang w:val="fr-CH"/>
        </w:rPr>
        <w:t xml:space="preserve"> un modèle en incubant des raisins arrivés à maturités dans une chambre climatique où l’humidité et la température ont été </w:t>
      </w:r>
      <w:r w:rsidR="00A348FA">
        <w:rPr>
          <w:lang w:val="fr-CH"/>
        </w:rPr>
        <w:t>contrôlées (humidité</w:t>
      </w:r>
      <w:r w:rsidR="00DE6F93">
        <w:rPr>
          <w:lang w:val="fr-CH"/>
        </w:rPr>
        <w:t xml:space="preserve"> des raisins pendant 4, 8, 12, 16</w:t>
      </w:r>
      <w:r w:rsidR="00402B45">
        <w:rPr>
          <w:lang w:val="fr-CH"/>
        </w:rPr>
        <w:t xml:space="preserve"> ou</w:t>
      </w:r>
      <w:r w:rsidR="00DE6F93">
        <w:rPr>
          <w:lang w:val="fr-CH"/>
        </w:rPr>
        <w:t xml:space="preserve"> 20 heures ; </w:t>
      </w:r>
      <w:r w:rsidR="00A348FA">
        <w:rPr>
          <w:lang w:val="fr-CH"/>
        </w:rPr>
        <w:t>températures entre 12°C et 30°C)</w:t>
      </w:r>
      <w:r w:rsidR="00402B45">
        <w:rPr>
          <w:lang w:val="fr-CH"/>
        </w:rPr>
        <w:t xml:space="preserve">. Il </w:t>
      </w:r>
      <w:r w:rsidR="00864512">
        <w:rPr>
          <w:lang w:val="fr-CH"/>
        </w:rPr>
        <w:t>propose de calculer l’indice d’infection de la manière suivante</w:t>
      </w:r>
      <w:r w:rsidR="00736FDE">
        <w:rPr>
          <w:lang w:val="fr-CH"/>
        </w:rPr>
        <w:t xml:space="preserve"> dès qu</w:t>
      </w:r>
      <w:r w:rsidR="00F1531D">
        <w:rPr>
          <w:lang w:val="fr-CH"/>
        </w:rPr>
        <w:t>’une humidité sur la feuille est détectée</w:t>
      </w:r>
      <w:r w:rsidR="00864512">
        <w:rPr>
          <w:lang w:val="fr-CH"/>
        </w:rPr>
        <w:t> :</w:t>
      </w:r>
    </w:p>
    <w:p w:rsidR="00BF59C3" w:rsidP="004F1A13" w:rsidRDefault="00BF59C3" w14:paraId="3FB12830" w14:textId="77777777">
      <w:pPr>
        <w:rPr>
          <w:lang w:val="fr-CH"/>
        </w:rPr>
      </w:pPr>
    </w:p>
    <w:p w:rsidRPr="002F063E" w:rsidR="002F063E" w:rsidP="00954660" w:rsidRDefault="00BF59C3" w14:paraId="5DC33A8C" w14:textId="77777777">
      <w:pPr>
        <w:jc w:val="left"/>
        <w:rPr>
          <w:rFonts w:eastAsiaTheme="minorEastAsia"/>
        </w:rPr>
      </w:pPr>
      <m:oMathPara>
        <m:oMath>
          <m:r>
            <w:rPr>
              <w:rFonts w:ascii="Cambria Math" w:hAnsi="Cambria Math"/>
              <w:lang w:val="fr-CH"/>
            </w:rPr>
            <m:t>Infection</m:t>
          </m:r>
          <m:r>
            <w:rPr>
              <w:rFonts w:ascii="Cambria Math" w:hAnsi="Cambria Math"/>
            </w:rPr>
            <m:t xml:space="preserve"> </m:t>
          </m:r>
          <m:r>
            <w:rPr>
              <w:rFonts w:ascii="Cambria Math" w:hAnsi="Cambria Math"/>
              <w:lang w:val="fr-CH"/>
            </w:rPr>
            <m:t>index</m:t>
          </m:r>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Y</m:t>
                  </m:r>
                </m:num>
                <m:den>
                  <m:r>
                    <w:rPr>
                      <w:rFonts w:ascii="Cambria Math" w:hAnsi="Cambria Math"/>
                    </w:rPr>
                    <m:t>1-Y</m:t>
                  </m:r>
                </m:den>
              </m:f>
            </m:e>
          </m:func>
          <m:r>
            <w:rPr>
              <w:rFonts w:ascii="Cambria Math" w:hAnsi="Cambria Math"/>
            </w:rPr>
            <m:t xml:space="preserve"> </m:t>
          </m:r>
        </m:oMath>
      </m:oMathPara>
    </w:p>
    <w:p w:rsidR="00195081" w:rsidP="00954660" w:rsidRDefault="000E1ACA" w14:paraId="0F629F50" w14:textId="5C301D35">
      <w:pPr>
        <w:jc w:val="left"/>
        <w:rPr>
          <w:rFonts w:eastAsiaTheme="minorEastAsia"/>
        </w:rPr>
      </w:pPr>
      <m:oMathPara>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Y</m:t>
                  </m:r>
                </m:num>
                <m:den>
                  <m:r>
                    <w:rPr>
                      <w:rFonts w:ascii="Cambria Math" w:hAnsi="Cambria Math"/>
                    </w:rPr>
                    <m:t>1-Y</m:t>
                  </m:r>
                </m:den>
              </m:f>
            </m:e>
          </m:func>
          <m:r>
            <w:rPr>
              <w:rFonts w:ascii="Cambria Math" w:hAnsi="Cambria Math"/>
            </w:rPr>
            <m:t>=-2.647866-0.374927</m:t>
          </m:r>
          <m:r>
            <w:rPr>
              <w:rFonts w:ascii="Cambria Math" w:hAnsi="Cambria Math"/>
              <w:lang w:val="fr-CH"/>
            </w:rPr>
            <m:t>W</m:t>
          </m:r>
          <m:r>
            <w:rPr>
              <w:rFonts w:ascii="Cambria Math" w:hAnsi="Cambria Math"/>
            </w:rPr>
            <m:t>+0.061601</m:t>
          </m:r>
          <m:r>
            <w:rPr>
              <w:rFonts w:ascii="Cambria Math" w:hAnsi="Cambria Math"/>
              <w:lang w:val="fr-CH"/>
            </w:rPr>
            <m:t>WT</m:t>
          </m:r>
          <m:r>
            <w:rPr>
              <w:rFonts w:ascii="Cambria Math" w:hAnsi="Cambria Math"/>
            </w:rPr>
            <m:t>-0.00151</m:t>
          </m:r>
          <m:sSup>
            <m:sSupPr>
              <m:ctrlPr>
                <w:rPr>
                  <w:rFonts w:ascii="Cambria Math" w:hAnsi="Cambria Math"/>
                  <w:i/>
                </w:rPr>
              </m:ctrlPr>
            </m:sSupPr>
            <m:e>
              <m:r>
                <w:rPr>
                  <w:rFonts w:ascii="Cambria Math" w:hAnsi="Cambria Math"/>
                </w:rPr>
                <m:t>WT</m:t>
              </m:r>
            </m:e>
            <m:sup>
              <m:r>
                <w:rPr>
                  <w:rFonts w:ascii="Cambria Math" w:hAnsi="Cambria Math"/>
                </w:rPr>
                <m:t>2</m:t>
              </m:r>
            </m:sup>
          </m:sSup>
        </m:oMath>
      </m:oMathPara>
    </w:p>
    <w:p w:rsidRPr="00FB52FF" w:rsidR="00BF59C3" w:rsidP="00954660" w:rsidRDefault="007E1176" w14:paraId="0EBB8D98" w14:textId="6F5BBFB0">
      <w:pPr>
        <w:pStyle w:val="Sansinterligne"/>
        <w:jc w:val="left"/>
        <w:rPr>
          <w:i/>
          <w:lang w:val="fr-CH"/>
        </w:rPr>
      </w:pPr>
      <w:r w:rsidRPr="007E1176">
        <w:rPr>
          <w:i/>
          <w:lang w:val="fr-CH"/>
        </w:rPr>
        <w:t>ln</w:t>
      </w:r>
      <w:r>
        <w:rPr>
          <w:i/>
          <w:lang w:val="fr-CH"/>
        </w:rPr>
        <w:t>(Y/(Y-1)) : fonction logit</w:t>
      </w:r>
      <w:r w:rsidR="00CE2E21">
        <w:rPr>
          <w:i/>
          <w:lang w:val="fr-CH"/>
        </w:rPr>
        <w:t xml:space="preserve"> d’infection des raisins où Y est la proportion de raisin</w:t>
      </w:r>
      <w:r w:rsidR="00F77705">
        <w:rPr>
          <w:i/>
          <w:lang w:val="fr-CH"/>
        </w:rPr>
        <w:t>s infectés</w:t>
      </w:r>
      <w:r>
        <w:rPr>
          <w:i/>
          <w:lang w:val="fr-CH"/>
        </w:rPr>
        <w:t xml:space="preserve"> ; </w:t>
      </w:r>
      <w:r w:rsidRPr="00FB52FF" w:rsidR="00917EA9">
        <w:rPr>
          <w:i/>
          <w:lang w:val="fr-CH"/>
        </w:rPr>
        <w:t>W</w:t>
      </w:r>
      <w:r>
        <w:rPr>
          <w:i/>
          <w:lang w:val="fr-CH"/>
        </w:rPr>
        <w:t> :</w:t>
      </w:r>
      <w:r w:rsidRPr="00FB52FF" w:rsidR="00917EA9">
        <w:rPr>
          <w:i/>
          <w:lang w:val="fr-CH"/>
        </w:rPr>
        <w:t xml:space="preserve"> </w:t>
      </w:r>
      <w:r w:rsidR="00F77705">
        <w:rPr>
          <w:i/>
          <w:lang w:val="fr-CH"/>
        </w:rPr>
        <w:t xml:space="preserve">la </w:t>
      </w:r>
      <w:r w:rsidRPr="00FB52FF" w:rsidR="00917EA9">
        <w:rPr>
          <w:i/>
          <w:lang w:val="fr-CH"/>
        </w:rPr>
        <w:t>durée de l’humidité de la feuille</w:t>
      </w:r>
      <w:r w:rsidR="00FB52FF">
        <w:rPr>
          <w:i/>
          <w:lang w:val="fr-CH"/>
        </w:rPr>
        <w:t xml:space="preserve"> en heures</w:t>
      </w:r>
      <w:r w:rsidR="00F77705">
        <w:rPr>
          <w:i/>
          <w:lang w:val="fr-CH"/>
        </w:rPr>
        <w:t> ;</w:t>
      </w:r>
      <w:r w:rsidR="00FB52FF">
        <w:rPr>
          <w:i/>
          <w:lang w:val="fr-CH"/>
        </w:rPr>
        <w:t xml:space="preserve"> T</w:t>
      </w:r>
      <w:r w:rsidR="00F77705">
        <w:rPr>
          <w:i/>
          <w:lang w:val="fr-CH"/>
        </w:rPr>
        <w:t xml:space="preserve"> : la </w:t>
      </w:r>
      <w:r w:rsidR="00FB52FF">
        <w:rPr>
          <w:i/>
          <w:lang w:val="fr-CH"/>
        </w:rPr>
        <w:t>température en degrés Celsius</w:t>
      </w:r>
      <w:r w:rsidRPr="00FB52FF" w:rsidR="00BF59C3">
        <w:rPr>
          <w:i/>
          <w:lang w:val="fr-CH"/>
        </w:rPr>
        <w:t>.</w:t>
      </w:r>
    </w:p>
    <w:p w:rsidR="009D4E66" w:rsidP="004F1A13" w:rsidRDefault="009D4E66" w14:paraId="26FF67AC" w14:textId="77777777">
      <w:pPr>
        <w:rPr>
          <w:b/>
          <w:i/>
          <w:lang w:val="fr-CH"/>
        </w:rPr>
      </w:pPr>
    </w:p>
    <w:p w:rsidR="009D4E66" w:rsidP="004F1A13" w:rsidRDefault="009D4E66" w14:paraId="05455FE2" w14:textId="11585E94">
      <w:pPr>
        <w:rPr>
          <w:bCs/>
          <w:iCs/>
          <w:lang w:val="fr-CH"/>
        </w:rPr>
      </w:pPr>
    </w:p>
    <w:p w:rsidR="007E137E" w:rsidP="004F1A13" w:rsidRDefault="00F77278" w14:paraId="48328FF2" w14:textId="38F25C50">
      <w:pPr>
        <w:rPr>
          <w:bCs/>
          <w:iCs/>
          <w:lang w:val="fr-CH"/>
        </w:rPr>
      </w:pPr>
      <w:r>
        <w:rPr>
          <w:bCs/>
          <w:iCs/>
          <w:lang w:val="fr-CH"/>
        </w:rPr>
        <w:t>Pour être valide, c</w:t>
      </w:r>
      <w:r w:rsidR="009D4E66">
        <w:rPr>
          <w:bCs/>
          <w:iCs/>
          <w:lang w:val="fr-CH"/>
        </w:rPr>
        <w:t xml:space="preserve">e modèle </w:t>
      </w:r>
      <w:r>
        <w:rPr>
          <w:bCs/>
          <w:iCs/>
          <w:lang w:val="fr-CH"/>
        </w:rPr>
        <w:t xml:space="preserve">considère les </w:t>
      </w:r>
      <w:r w:rsidR="00203DD7">
        <w:rPr>
          <w:bCs/>
          <w:iCs/>
          <w:lang w:val="fr-CH"/>
        </w:rPr>
        <w:t>hypothèses comme étant vrai :</w:t>
      </w:r>
    </w:p>
    <w:p w:rsidR="00E97080" w:rsidP="003830FB" w:rsidRDefault="006F1131" w14:paraId="181278FB" w14:textId="7D7190D2">
      <w:pPr>
        <w:pStyle w:val="Paragraphedeliste"/>
        <w:numPr>
          <w:ilvl w:val="0"/>
          <w:numId w:val="13"/>
        </w:numPr>
        <w:rPr>
          <w:iCs/>
          <w:lang w:val="fr-CH"/>
        </w:rPr>
      </w:pPr>
      <w:r w:rsidRPr="003830FB">
        <w:rPr>
          <w:iCs/>
          <w:lang w:val="fr-CH"/>
        </w:rPr>
        <w:t xml:space="preserve">Si le capteur d’humidité </w:t>
      </w:r>
      <w:r w:rsidR="00C738D5">
        <w:rPr>
          <w:iCs/>
          <w:lang w:val="fr-CH"/>
        </w:rPr>
        <w:t xml:space="preserve">de la feuille </w:t>
      </w:r>
      <w:r w:rsidRPr="003830FB" w:rsidR="00905081">
        <w:rPr>
          <w:iCs/>
          <w:lang w:val="fr-CH"/>
        </w:rPr>
        <w:t xml:space="preserve">est sec pendant plus de 4 heures, alors le modèle </w:t>
      </w:r>
      <w:r w:rsidRPr="003830FB" w:rsidR="00882A27">
        <w:rPr>
          <w:iCs/>
          <w:lang w:val="fr-CH"/>
        </w:rPr>
        <w:t xml:space="preserve">considère le temps d’humidité comme étant nul et </w:t>
      </w:r>
      <w:r w:rsidRPr="003830FB" w:rsidR="00905081">
        <w:rPr>
          <w:iCs/>
          <w:lang w:val="fr-CH"/>
        </w:rPr>
        <w:t>l’accumulation de temps d’humidité</w:t>
      </w:r>
      <w:r w:rsidRPr="003830FB" w:rsidR="00882A27">
        <w:rPr>
          <w:iCs/>
          <w:lang w:val="fr-CH"/>
        </w:rPr>
        <w:t xml:space="preserve"> reprend lors de la prochaine détection d’humidité</w:t>
      </w:r>
      <w:r w:rsidRPr="003830FB" w:rsidR="00905081">
        <w:rPr>
          <w:iCs/>
          <w:lang w:val="fr-CH"/>
        </w:rPr>
        <w:t>.</w:t>
      </w:r>
      <w:r w:rsidRPr="003830FB" w:rsidR="00676D10">
        <w:rPr>
          <w:iCs/>
          <w:lang w:val="fr-CH"/>
        </w:rPr>
        <w:t xml:space="preserve"> </w:t>
      </w:r>
      <w:r w:rsidR="003830FB">
        <w:rPr>
          <w:iCs/>
          <w:lang w:val="fr-CH"/>
        </w:rPr>
        <w:t xml:space="preserve">Autrement, le modèle combine le temps d’humidité et </w:t>
      </w:r>
      <w:r w:rsidRPr="003830FB" w:rsidR="00676D10">
        <w:rPr>
          <w:iCs/>
          <w:lang w:val="fr-CH"/>
        </w:rPr>
        <w:t xml:space="preserve">enregistre </w:t>
      </w:r>
      <w:r w:rsidR="003830FB">
        <w:rPr>
          <w:iCs/>
          <w:lang w:val="fr-CH"/>
        </w:rPr>
        <w:t>qu’une</w:t>
      </w:r>
      <w:r w:rsidRPr="003830FB" w:rsidR="00676D10">
        <w:rPr>
          <w:iCs/>
          <w:lang w:val="fr-CH"/>
        </w:rPr>
        <w:t xml:space="preserve"> interruption de temps d’humidité</w:t>
      </w:r>
      <w:r w:rsidR="003830FB">
        <w:rPr>
          <w:iCs/>
          <w:lang w:val="fr-CH"/>
        </w:rPr>
        <w:t xml:space="preserve"> a eu lieu</w:t>
      </w:r>
      <w:r w:rsidRPr="003830FB" w:rsidR="00676D10">
        <w:rPr>
          <w:iCs/>
          <w:lang w:val="fr-CH"/>
        </w:rPr>
        <w:t>.</w:t>
      </w:r>
    </w:p>
    <w:p w:rsidR="009D4E66" w:rsidP="003830FB" w:rsidRDefault="00E97080" w14:paraId="69BB499E" w14:textId="586F3BE2">
      <w:pPr>
        <w:pStyle w:val="Paragraphedeliste"/>
        <w:numPr>
          <w:ilvl w:val="0"/>
          <w:numId w:val="13"/>
        </w:numPr>
        <w:rPr>
          <w:iCs/>
          <w:lang w:val="fr-CH"/>
        </w:rPr>
      </w:pPr>
      <w:r>
        <w:rPr>
          <w:iCs/>
          <w:lang w:val="fr-CH"/>
        </w:rPr>
        <w:t>Si la température est inférieure à 12°C, le modèle utilise la valeur de minimal avec laquelle il a été calibré</w:t>
      </w:r>
      <w:r w:rsidR="00143D7C">
        <w:rPr>
          <w:iCs/>
          <w:lang w:val="fr-CH"/>
        </w:rPr>
        <w:t xml:space="preserve"> (</w:t>
      </w:r>
      <w:r>
        <w:rPr>
          <w:iCs/>
          <w:lang w:val="fr-CH"/>
        </w:rPr>
        <w:t>12</w:t>
      </w:r>
      <w:r w:rsidR="00143D7C">
        <w:rPr>
          <w:iCs/>
          <w:lang w:val="fr-CH"/>
        </w:rPr>
        <w:t>°C).</w:t>
      </w:r>
    </w:p>
    <w:p w:rsidR="00962815" w:rsidP="00962815" w:rsidRDefault="00143D7C" w14:paraId="68B39F88" w14:textId="73CE1A82">
      <w:pPr>
        <w:pStyle w:val="Paragraphedeliste"/>
        <w:numPr>
          <w:ilvl w:val="0"/>
          <w:numId w:val="13"/>
        </w:numPr>
        <w:rPr>
          <w:iCs/>
          <w:lang w:val="fr-CH"/>
        </w:rPr>
      </w:pPr>
      <w:r>
        <w:rPr>
          <w:iCs/>
          <w:lang w:val="fr-CH"/>
        </w:rPr>
        <w:t xml:space="preserve">Si la température est comprise entre 32°C et 40°C, </w:t>
      </w:r>
      <w:r w:rsidR="00962815">
        <w:rPr>
          <w:iCs/>
          <w:lang w:val="fr-CH"/>
        </w:rPr>
        <w:t>le modèle utilise la valeur de minimal avec laquelle il a été calibré (32°C).</w:t>
      </w:r>
    </w:p>
    <w:p w:rsidR="00143D7C" w:rsidP="003830FB" w:rsidRDefault="00962815" w14:paraId="35948883" w14:textId="4116A5B5">
      <w:pPr>
        <w:pStyle w:val="Paragraphedeliste"/>
        <w:numPr>
          <w:ilvl w:val="0"/>
          <w:numId w:val="13"/>
        </w:numPr>
        <w:rPr>
          <w:iCs/>
          <w:lang w:val="fr-CH"/>
        </w:rPr>
      </w:pPr>
      <w:r>
        <w:rPr>
          <w:iCs/>
          <w:lang w:val="fr-CH"/>
        </w:rPr>
        <w:t>Si la température est supérieure à 40°C,</w:t>
      </w:r>
      <w:r w:rsidR="00DB7E8C">
        <w:rPr>
          <w:iCs/>
          <w:lang w:val="fr-CH"/>
        </w:rPr>
        <w:t xml:space="preserve"> alors celle-ci ne permet pas une infection.</w:t>
      </w:r>
    </w:p>
    <w:p w:rsidR="00DB7E8C" w:rsidP="003830FB" w:rsidRDefault="00665A80" w14:paraId="1CDFE919" w14:textId="1D46D798">
      <w:pPr>
        <w:pStyle w:val="Paragraphedeliste"/>
        <w:numPr>
          <w:ilvl w:val="0"/>
          <w:numId w:val="13"/>
        </w:numPr>
        <w:rPr>
          <w:iCs/>
          <w:lang w:val="fr-CH"/>
        </w:rPr>
      </w:pPr>
      <w:r>
        <w:rPr>
          <w:iCs/>
          <w:lang w:val="fr-CH"/>
        </w:rPr>
        <w:t xml:space="preserve">Si l’humidité relative est supérieure ou égale à 95%, </w:t>
      </w:r>
      <w:r w:rsidR="00C738D5">
        <w:rPr>
          <w:iCs/>
          <w:lang w:val="fr-CH"/>
        </w:rPr>
        <w:t>il faut supposer qu’une période d’humidité de la feuille a lieu même si le capteur d’humidité de la feuille ne détecte pas d’humidité.</w:t>
      </w:r>
    </w:p>
    <w:p w:rsidR="00172CA3" w:rsidP="003830FB" w:rsidRDefault="00172CA3" w14:paraId="41C9965E" w14:textId="5F4DAD4A">
      <w:pPr>
        <w:pStyle w:val="Paragraphedeliste"/>
        <w:numPr>
          <w:ilvl w:val="0"/>
          <w:numId w:val="13"/>
        </w:numPr>
        <w:rPr>
          <w:iCs/>
          <w:lang w:val="fr-CH"/>
        </w:rPr>
      </w:pPr>
      <w:r>
        <w:rPr>
          <w:iCs/>
          <w:lang w:val="fr-CH"/>
        </w:rPr>
        <w:t xml:space="preserve">Si une période d’humidité dure plus de 16 heures, </w:t>
      </w:r>
      <w:r w:rsidR="00736FDE">
        <w:rPr>
          <w:iCs/>
          <w:lang w:val="fr-CH"/>
        </w:rPr>
        <w:t>celle-ci est considérée comme sévère.</w:t>
      </w:r>
    </w:p>
    <w:p w:rsidR="00C3124D" w:rsidP="002C1548" w:rsidRDefault="002C1548" w14:paraId="237D0CDE" w14:textId="65567D96">
      <w:pPr>
        <w:rPr>
          <w:iCs/>
          <w:lang w:val="fr-CH"/>
        </w:rPr>
      </w:pPr>
      <w:r>
        <w:rPr>
          <w:iCs/>
          <w:lang w:val="fr-CH"/>
        </w:rPr>
        <w:t>L’interprétation des valeurs prédites par le modèle se fait selon la Table 1 ci-dessous.</w:t>
      </w:r>
    </w:p>
    <w:p w:rsidR="00C3124D" w:rsidRDefault="00C3124D" w14:paraId="421CD78E" w14:textId="77777777">
      <w:pPr>
        <w:spacing w:after="160" w:line="259" w:lineRule="auto"/>
        <w:jc w:val="left"/>
        <w:rPr>
          <w:iCs/>
          <w:lang w:val="fr-CH"/>
        </w:rPr>
      </w:pPr>
      <w:r>
        <w:rPr>
          <w:iCs/>
          <w:lang w:val="fr-CH"/>
        </w:rPr>
        <w:br w:type="page"/>
      </w:r>
    </w:p>
    <w:p w:rsidR="00C3124D" w:rsidP="002C1548" w:rsidRDefault="00C3124D" w14:paraId="6BBDA457" w14:textId="77777777">
      <w:pPr>
        <w:rPr>
          <w:iCs/>
          <w:lang w:val="fr-CH"/>
        </w:rPr>
      </w:pPr>
    </w:p>
    <w:p w:rsidRPr="00E06706" w:rsidR="00E06706" w:rsidP="00E06706" w:rsidRDefault="00E06706" w14:paraId="10A9DCF6" w14:textId="27E75BB2">
      <w:pPr>
        <w:pStyle w:val="Lgende"/>
        <w:keepNext/>
        <w:rPr>
          <w:lang w:val="fr-CH"/>
        </w:rPr>
      </w:pPr>
      <w:r w:rsidRPr="00E06706">
        <w:rPr>
          <w:lang w:val="fr-CH"/>
        </w:rPr>
        <w:t xml:space="preserve">Tableau </w:t>
      </w:r>
      <w:r>
        <w:fldChar w:fldCharType="begin"/>
      </w:r>
      <w:r w:rsidRPr="00E06706">
        <w:rPr>
          <w:lang w:val="fr-CH"/>
        </w:rPr>
        <w:instrText xml:space="preserve"> SEQ Tableau \* ARABIC </w:instrText>
      </w:r>
      <w:r>
        <w:fldChar w:fldCharType="separate"/>
      </w:r>
      <w:r w:rsidRPr="00E06706">
        <w:rPr>
          <w:noProof/>
          <w:lang w:val="fr-CH"/>
        </w:rPr>
        <w:t>1</w:t>
      </w:r>
      <w:r>
        <w:fldChar w:fldCharType="end"/>
      </w:r>
      <w:r w:rsidRPr="00E06706">
        <w:rPr>
          <w:lang w:val="fr-CH"/>
        </w:rPr>
        <w:t xml:space="preserve"> Interprétation de l'indice d'infection prédit par le modèle.</w:t>
      </w:r>
    </w:p>
    <w:tbl>
      <w:tblPr>
        <w:tblStyle w:val="TableauGrille1Clair"/>
        <w:tblW w:w="0" w:type="auto"/>
        <w:tblLook w:val="04A0" w:firstRow="1" w:lastRow="0" w:firstColumn="1" w:lastColumn="0" w:noHBand="0" w:noVBand="1"/>
      </w:tblPr>
      <w:tblGrid>
        <w:gridCol w:w="4106"/>
        <w:gridCol w:w="4678"/>
      </w:tblGrid>
      <w:tr w:rsidR="00C3124D" w:rsidTr="00C3124D" w14:paraId="60E367A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124D" w:rsidP="002C1548" w:rsidRDefault="00C3124D" w14:paraId="7CF07D93" w14:textId="66DC9124">
            <w:pPr>
              <w:rPr>
                <w:iCs/>
                <w:lang w:val="fr-CH"/>
              </w:rPr>
            </w:pPr>
            <w:r>
              <w:rPr>
                <w:iCs/>
                <w:lang w:val="fr-CH"/>
              </w:rPr>
              <w:t>Valeurs de l’ind</w:t>
            </w:r>
            <w:r w:rsidR="00E06706">
              <w:rPr>
                <w:iCs/>
                <w:lang w:val="fr-CH"/>
              </w:rPr>
              <w:t>ice</w:t>
            </w:r>
            <w:r>
              <w:rPr>
                <w:iCs/>
                <w:lang w:val="fr-CH"/>
              </w:rPr>
              <w:t xml:space="preserve"> d’infection (infection index)</w:t>
            </w:r>
          </w:p>
        </w:tc>
        <w:tc>
          <w:tcPr>
            <w:tcW w:w="4678" w:type="dxa"/>
          </w:tcPr>
          <w:p w:rsidR="00C3124D" w:rsidP="002C1548" w:rsidRDefault="00C3124D" w14:paraId="310E6824" w14:textId="1CDACFCC">
            <w:pPr>
              <w:cnfStyle w:val="100000000000" w:firstRow="1" w:lastRow="0" w:firstColumn="0" w:lastColumn="0" w:oddVBand="0" w:evenVBand="0" w:oddHBand="0" w:evenHBand="0" w:firstRowFirstColumn="0" w:firstRowLastColumn="0" w:lastRowFirstColumn="0" w:lastRowLastColumn="0"/>
              <w:rPr>
                <w:iCs/>
                <w:lang w:val="fr-CH"/>
              </w:rPr>
            </w:pPr>
            <w:r>
              <w:rPr>
                <w:iCs/>
                <w:lang w:val="fr-CH"/>
              </w:rPr>
              <w:t>Niveaux de risques</w:t>
            </w:r>
          </w:p>
        </w:tc>
      </w:tr>
      <w:tr w:rsidR="00C3124D" w:rsidTr="00C3124D" w14:paraId="72E4ABD0" w14:textId="77777777">
        <w:tc>
          <w:tcPr>
            <w:cnfStyle w:val="001000000000" w:firstRow="0" w:lastRow="0" w:firstColumn="1" w:lastColumn="0" w:oddVBand="0" w:evenVBand="0" w:oddHBand="0" w:evenHBand="0" w:firstRowFirstColumn="0" w:firstRowLastColumn="0" w:lastRowFirstColumn="0" w:lastRowLastColumn="0"/>
            <w:tcW w:w="4106" w:type="dxa"/>
          </w:tcPr>
          <w:p w:rsidRPr="00B3203E" w:rsidR="00C3124D" w:rsidP="00C1548A" w:rsidRDefault="00B3203E" w14:paraId="0F0CF380" w14:textId="7EE7B9CE">
            <w:pPr>
              <w:jc w:val="left"/>
              <w:rPr>
                <w:b w:val="0"/>
                <w:bCs w:val="0"/>
                <w:iCs/>
                <w:lang w:val="fr-CH"/>
              </w:rPr>
            </w:pPr>
            <w:r w:rsidRPr="00B3203E">
              <w:rPr>
                <w:b w:val="0"/>
                <w:bCs w:val="0"/>
                <w:iCs/>
                <w:lang w:val="fr-CH"/>
              </w:rPr>
              <w:t>Infection index &lt;= 0</w:t>
            </w:r>
            <w:r w:rsidR="00C1548A">
              <w:rPr>
                <w:b w:val="0"/>
                <w:bCs w:val="0"/>
                <w:iCs/>
                <w:lang w:val="fr-CH"/>
              </w:rPr>
              <w:t>.00</w:t>
            </w:r>
          </w:p>
        </w:tc>
        <w:tc>
          <w:tcPr>
            <w:tcW w:w="4678" w:type="dxa"/>
          </w:tcPr>
          <w:p w:rsidRPr="00B3203E" w:rsidR="00C3124D" w:rsidP="002C1548" w:rsidRDefault="00125B2E" w14:paraId="7EE629F2" w14:textId="01CF9039">
            <w:pPr>
              <w:cnfStyle w:val="000000000000" w:firstRow="0" w:lastRow="0" w:firstColumn="0" w:lastColumn="0" w:oddVBand="0" w:evenVBand="0" w:oddHBand="0" w:evenHBand="0" w:firstRowFirstColumn="0" w:firstRowLastColumn="0" w:lastRowFirstColumn="0" w:lastRowLastColumn="0"/>
              <w:rPr>
                <w:iCs/>
                <w:lang w:val="fr-CH"/>
              </w:rPr>
            </w:pPr>
            <w:r>
              <w:rPr>
                <w:iCs/>
                <w:lang w:val="fr-CH"/>
              </w:rPr>
              <w:t>Pas de risque d’infection</w:t>
            </w:r>
          </w:p>
        </w:tc>
      </w:tr>
      <w:tr w:rsidR="00C3124D" w:rsidTr="00C3124D" w14:paraId="36B595D2" w14:textId="77777777">
        <w:tc>
          <w:tcPr>
            <w:cnfStyle w:val="001000000000" w:firstRow="0" w:lastRow="0" w:firstColumn="1" w:lastColumn="0" w:oddVBand="0" w:evenVBand="0" w:oddHBand="0" w:evenHBand="0" w:firstRowFirstColumn="0" w:firstRowLastColumn="0" w:lastRowFirstColumn="0" w:lastRowLastColumn="0"/>
            <w:tcW w:w="4106" w:type="dxa"/>
          </w:tcPr>
          <w:p w:rsidRPr="00B3203E" w:rsidR="00C3124D" w:rsidP="00C1548A" w:rsidRDefault="00B3203E" w14:paraId="49A04AFD" w14:textId="017604D2">
            <w:pPr>
              <w:jc w:val="left"/>
              <w:rPr>
                <w:b w:val="0"/>
                <w:bCs w:val="0"/>
                <w:iCs/>
                <w:lang w:val="fr-CH"/>
              </w:rPr>
            </w:pPr>
            <w:r w:rsidRPr="00125B2E">
              <w:rPr>
                <w:b w:val="0"/>
                <w:bCs w:val="0"/>
                <w:iCs/>
                <w:lang w:val="fr-CH"/>
              </w:rPr>
              <w:t>0 &lt; Infection Index &lt; 0.50</w:t>
            </w:r>
            <w:r w:rsidRPr="00125B2E" w:rsidR="00125B2E">
              <w:rPr>
                <w:b w:val="0"/>
                <w:bCs w:val="0"/>
                <w:iCs/>
                <w:lang w:val="fr-CH"/>
              </w:rPr>
              <w:t xml:space="preserve"> </w:t>
            </w:r>
          </w:p>
        </w:tc>
        <w:tc>
          <w:tcPr>
            <w:tcW w:w="4678" w:type="dxa"/>
          </w:tcPr>
          <w:p w:rsidRPr="00B3203E" w:rsidR="00C3124D" w:rsidP="002C1548" w:rsidRDefault="00125B2E" w14:paraId="2569B2A4" w14:textId="1074F40C">
            <w:pPr>
              <w:cnfStyle w:val="000000000000" w:firstRow="0" w:lastRow="0" w:firstColumn="0" w:lastColumn="0" w:oddVBand="0" w:evenVBand="0" w:oddHBand="0" w:evenHBand="0" w:firstRowFirstColumn="0" w:firstRowLastColumn="0" w:lastRowFirstColumn="0" w:lastRowLastColumn="0"/>
              <w:rPr>
                <w:iCs/>
                <w:lang w:val="fr-CH"/>
              </w:rPr>
            </w:pPr>
            <w:r>
              <w:rPr>
                <w:iCs/>
                <w:lang w:val="fr-CH"/>
              </w:rPr>
              <w:t>Risque d’infection bas</w:t>
            </w:r>
          </w:p>
        </w:tc>
      </w:tr>
      <w:tr w:rsidR="00C3124D" w:rsidTr="00C3124D" w14:paraId="7884326E" w14:textId="77777777">
        <w:tc>
          <w:tcPr>
            <w:cnfStyle w:val="001000000000" w:firstRow="0" w:lastRow="0" w:firstColumn="1" w:lastColumn="0" w:oddVBand="0" w:evenVBand="0" w:oddHBand="0" w:evenHBand="0" w:firstRowFirstColumn="0" w:firstRowLastColumn="0" w:lastRowFirstColumn="0" w:lastRowLastColumn="0"/>
            <w:tcW w:w="4106" w:type="dxa"/>
          </w:tcPr>
          <w:p w:rsidRPr="00B3203E" w:rsidR="00C3124D" w:rsidP="00C1548A" w:rsidRDefault="00125B2E" w14:paraId="6F415B39" w14:textId="014F50B1">
            <w:pPr>
              <w:jc w:val="left"/>
              <w:rPr>
                <w:b w:val="0"/>
                <w:bCs w:val="0"/>
                <w:iCs/>
                <w:lang w:val="fr-CH"/>
              </w:rPr>
            </w:pPr>
            <w:r w:rsidRPr="00125B2E">
              <w:rPr>
                <w:b w:val="0"/>
                <w:bCs w:val="0"/>
                <w:iCs/>
                <w:lang w:val="fr-CH"/>
              </w:rPr>
              <w:t>0.50 &lt; = Infection Index &lt; 1.00</w:t>
            </w:r>
          </w:p>
        </w:tc>
        <w:tc>
          <w:tcPr>
            <w:tcW w:w="4678" w:type="dxa"/>
          </w:tcPr>
          <w:p w:rsidRPr="00B3203E" w:rsidR="00C3124D" w:rsidP="002C1548" w:rsidRDefault="00125B2E" w14:paraId="395593EA" w14:textId="1F885C19">
            <w:pPr>
              <w:cnfStyle w:val="000000000000" w:firstRow="0" w:lastRow="0" w:firstColumn="0" w:lastColumn="0" w:oddVBand="0" w:evenVBand="0" w:oddHBand="0" w:evenHBand="0" w:firstRowFirstColumn="0" w:firstRowLastColumn="0" w:lastRowFirstColumn="0" w:lastRowLastColumn="0"/>
              <w:rPr>
                <w:iCs/>
                <w:lang w:val="fr-CH"/>
              </w:rPr>
            </w:pPr>
            <w:r>
              <w:rPr>
                <w:iCs/>
                <w:lang w:val="fr-CH"/>
              </w:rPr>
              <w:t>Risque d’infection modéré</w:t>
            </w:r>
          </w:p>
        </w:tc>
      </w:tr>
      <w:tr w:rsidR="00C3124D" w:rsidTr="00C3124D" w14:paraId="347A1772" w14:textId="77777777">
        <w:tc>
          <w:tcPr>
            <w:cnfStyle w:val="001000000000" w:firstRow="0" w:lastRow="0" w:firstColumn="1" w:lastColumn="0" w:oddVBand="0" w:evenVBand="0" w:oddHBand="0" w:evenHBand="0" w:firstRowFirstColumn="0" w:firstRowLastColumn="0" w:lastRowFirstColumn="0" w:lastRowLastColumn="0"/>
            <w:tcW w:w="4106" w:type="dxa"/>
          </w:tcPr>
          <w:p w:rsidRPr="00125B2E" w:rsidR="00C3124D" w:rsidP="00C1548A" w:rsidRDefault="00125B2E" w14:paraId="028F9ED3" w14:textId="3C680CA3">
            <w:pPr>
              <w:jc w:val="left"/>
              <w:rPr>
                <w:b w:val="0"/>
                <w:bCs w:val="0"/>
                <w:iCs/>
                <w:lang w:val="fr-CH"/>
              </w:rPr>
            </w:pPr>
            <w:r w:rsidRPr="00125B2E">
              <w:rPr>
                <w:b w:val="0"/>
                <w:bCs w:val="0"/>
                <w:iCs/>
                <w:lang w:val="fr-CH"/>
              </w:rPr>
              <w:t>1.00 &gt; Infection Index</w:t>
            </w:r>
          </w:p>
        </w:tc>
        <w:tc>
          <w:tcPr>
            <w:tcW w:w="4678" w:type="dxa"/>
          </w:tcPr>
          <w:p w:rsidRPr="00B3203E" w:rsidR="00C3124D" w:rsidP="002C1548" w:rsidRDefault="00125B2E" w14:paraId="5ACCB7AD" w14:textId="707E05D0">
            <w:pPr>
              <w:cnfStyle w:val="000000000000" w:firstRow="0" w:lastRow="0" w:firstColumn="0" w:lastColumn="0" w:oddVBand="0" w:evenVBand="0" w:oddHBand="0" w:evenHBand="0" w:firstRowFirstColumn="0" w:firstRowLastColumn="0" w:lastRowFirstColumn="0" w:lastRowLastColumn="0"/>
              <w:rPr>
                <w:iCs/>
                <w:lang w:val="fr-CH"/>
              </w:rPr>
            </w:pPr>
            <w:r>
              <w:rPr>
                <w:iCs/>
                <w:lang w:val="fr-CH"/>
              </w:rPr>
              <w:t>Risque d’infection élevé</w:t>
            </w:r>
          </w:p>
        </w:tc>
      </w:tr>
    </w:tbl>
    <w:p w:rsidR="00101D18" w:rsidP="002C1548" w:rsidRDefault="00101D18" w14:paraId="67CAB1A3" w14:textId="77777777">
      <w:pPr>
        <w:rPr>
          <w:iCs/>
          <w:lang w:val="fr-CH"/>
        </w:rPr>
      </w:pPr>
    </w:p>
    <w:p w:rsidRPr="002C1548" w:rsidR="002C1548" w:rsidP="002C1548" w:rsidRDefault="00101D18" w14:paraId="28AFD96B" w14:textId="47A12F93">
      <w:pPr>
        <w:rPr>
          <w:iCs/>
          <w:lang w:val="fr-CH"/>
        </w:rPr>
      </w:pPr>
      <w:r>
        <w:rPr>
          <w:iCs/>
          <w:lang w:val="fr-CH"/>
        </w:rPr>
        <w:t xml:space="preserve">La validation du modèle a eu lieu </w:t>
      </w:r>
      <w:r w:rsidR="001E7008">
        <w:rPr>
          <w:iCs/>
          <w:lang w:val="fr-CH"/>
        </w:rPr>
        <w:t xml:space="preserve">en utilisant des données collectées </w:t>
      </w:r>
      <w:r>
        <w:rPr>
          <w:iCs/>
          <w:lang w:val="fr-CH"/>
        </w:rPr>
        <w:t xml:space="preserve">dans </w:t>
      </w:r>
      <w:r w:rsidR="000A44B0">
        <w:rPr>
          <w:iCs/>
          <w:lang w:val="fr-CH"/>
        </w:rPr>
        <w:t xml:space="preserve">culture de raisins de table du </w:t>
      </w:r>
      <w:r>
        <w:rPr>
          <w:iCs/>
          <w:lang w:val="fr-CH"/>
        </w:rPr>
        <w:t>Chili, pendant deux ans</w:t>
      </w:r>
      <w:r w:rsidR="001E7008">
        <w:rPr>
          <w:iCs/>
          <w:lang w:val="fr-CH"/>
        </w:rPr>
        <w:t xml:space="preserve">. </w:t>
      </w:r>
      <w:r w:rsidR="000A44B0">
        <w:rPr>
          <w:iCs/>
          <w:lang w:val="fr-CH"/>
        </w:rPr>
        <w:t xml:space="preserve">Le modèle a permis de réduire l’utilisation de fongicide de 50% comparé à </w:t>
      </w:r>
      <w:r w:rsidR="00E41871">
        <w:rPr>
          <w:iCs/>
          <w:lang w:val="fr-CH"/>
        </w:rPr>
        <w:t>un système de contrôle de maladie habituellement appliqué.</w:t>
      </w:r>
    </w:p>
    <w:p w:rsidR="00023946" w:rsidP="00023946" w:rsidRDefault="00023946" w14:paraId="1D928DD3" w14:textId="77777777">
      <w:pPr>
        <w:rPr>
          <w:iCs/>
          <w:lang w:val="fr-CH"/>
        </w:rPr>
      </w:pPr>
    </w:p>
    <w:p w:rsidR="00023946" w:rsidP="00023946" w:rsidRDefault="00023946" w14:paraId="48ECE785" w14:textId="14DC3804">
      <w:pPr>
        <w:rPr>
          <w:iCs/>
          <w:lang w:val="fr-CH"/>
        </w:rPr>
      </w:pPr>
      <w:r>
        <w:rPr>
          <w:iCs/>
          <w:lang w:val="fr-CH"/>
        </w:rPr>
        <w:t>Nair et al. (1993) ont proposé un modèle</w:t>
      </w:r>
      <w:r w:rsidR="00E96B92">
        <w:rPr>
          <w:iCs/>
          <w:lang w:val="fr-CH"/>
        </w:rPr>
        <w:t xml:space="preserve"> statistique décrivant le risque d’infection des raisins et de leurs fleurs</w:t>
      </w:r>
      <w:r w:rsidR="00A56E7A">
        <w:rPr>
          <w:iCs/>
          <w:lang w:val="fr-CH"/>
        </w:rPr>
        <w:t xml:space="preserve">. Le risque d’infection est modélisé sur la base de données </w:t>
      </w:r>
      <w:r w:rsidR="008C22FB">
        <w:rPr>
          <w:iCs/>
          <w:lang w:val="fr-CH"/>
        </w:rPr>
        <w:t xml:space="preserve">de période </w:t>
      </w:r>
      <w:r w:rsidR="00A56E7A">
        <w:rPr>
          <w:iCs/>
          <w:lang w:val="fr-CH"/>
        </w:rPr>
        <w:t xml:space="preserve">d’humidité de feuille et </w:t>
      </w:r>
      <w:r w:rsidR="008C22FB">
        <w:rPr>
          <w:iCs/>
          <w:lang w:val="fr-CH"/>
        </w:rPr>
        <w:t>de température d’incubation. Le modèle a été développé</w:t>
      </w:r>
      <w:r w:rsidR="00026F0A">
        <w:rPr>
          <w:iCs/>
          <w:lang w:val="fr-CH"/>
        </w:rPr>
        <w:t xml:space="preserve"> expérimentalement</w:t>
      </w:r>
      <w:r w:rsidR="00BE109C">
        <w:rPr>
          <w:iCs/>
          <w:lang w:val="fr-CH"/>
        </w:rPr>
        <w:t>, en incubant des fleurs et des fruits à différentes températures pendant des périodes d’humidité différentes dans une chambre</w:t>
      </w:r>
      <w:r w:rsidR="00D370B4">
        <w:rPr>
          <w:iCs/>
          <w:lang w:val="fr-CH"/>
        </w:rPr>
        <w:t xml:space="preserve"> climatique</w:t>
      </w:r>
      <w:r w:rsidR="00026F0A">
        <w:rPr>
          <w:iCs/>
          <w:lang w:val="fr-CH"/>
        </w:rPr>
        <w:t>.</w:t>
      </w:r>
    </w:p>
    <w:p w:rsidRPr="00395888" w:rsidR="00A53665" w:rsidP="00A53665" w:rsidRDefault="00A53665" w14:paraId="2A5004CF" w14:textId="5EC1C6A9">
      <w:pPr>
        <w:jc w:val="left"/>
        <w:rPr>
          <w:rFonts w:eastAsiaTheme="minorEastAsia"/>
          <w:lang w:val="fr-CH"/>
        </w:rPr>
      </w:pPr>
      <m:oMathPara>
        <m:oMath>
          <m:r>
            <w:rPr>
              <w:rFonts w:ascii="Cambria Math" w:hAnsi="Cambria Math"/>
              <w:lang w:val="fr-CH"/>
            </w:rPr>
            <m:t>Infection</m:t>
          </m:r>
          <m:r>
            <w:rPr>
              <w:rFonts w:ascii="Cambria Math" w:hAnsi="Cambria Math"/>
            </w:rPr>
            <m:t xml:space="preserve"> = </m:t>
          </m:r>
          <m:r>
            <m:rPr>
              <m:sty m:val="p"/>
            </m:rPr>
            <w:rPr>
              <w:rFonts w:ascii="Cambria Math" w:hAnsi="Cambria Math"/>
              <w:color w:val="000000"/>
              <w:sz w:val="18"/>
              <w:szCs w:val="18"/>
              <w:shd w:val="clear" w:color="auto" w:fill="FFFFFF"/>
            </w:rPr>
            <m:t>I</m:t>
          </m:r>
          <m:r>
            <m:rPr>
              <m:sty m:val="p"/>
            </m:rPr>
            <w:rPr>
              <w:rFonts w:ascii="Cambria Math" w:hAnsi="Cambria Math"/>
              <w:color w:val="000000"/>
              <w:shd w:val="clear" w:color="auto" w:fill="FFFFFF"/>
              <w:vertAlign w:val="subscript"/>
            </w:rPr>
            <m:t>max*</m:t>
          </m:r>
          <m:r>
            <m:rPr>
              <m:sty m:val="p"/>
            </m:rPr>
            <w:rPr>
              <w:rFonts w:ascii="Cambria Math" w:hAnsi="Cambria Math"/>
              <w:color w:val="000000"/>
              <w:sz w:val="18"/>
              <w:szCs w:val="18"/>
              <w:shd w:val="clear" w:color="auto" w:fill="FFFFFF"/>
            </w:rPr>
            <m:t>(1 -</m:t>
          </m:r>
          <m:func>
            <m:funcPr>
              <m:ctrlPr>
                <w:rPr>
                  <w:rFonts w:ascii="Cambria Math" w:hAnsi="Cambria Math"/>
                  <w:color w:val="000000"/>
                  <w:sz w:val="18"/>
                  <w:szCs w:val="18"/>
                  <w:shd w:val="clear" w:color="auto" w:fill="FFFFFF"/>
                </w:rPr>
              </m:ctrlPr>
            </m:funcPr>
            <m:fName>
              <m:r>
                <m:rPr>
                  <m:sty m:val="p"/>
                </m:rPr>
                <w:rPr>
                  <w:rFonts w:ascii="Cambria Math" w:hAnsi="Cambria Math"/>
                  <w:color w:val="000000"/>
                  <w:sz w:val="18"/>
                  <w:szCs w:val="18"/>
                  <w:shd w:val="clear" w:color="auto" w:fill="FFFFFF"/>
                </w:rPr>
                <m:t>exp</m:t>
              </m:r>
            </m:fName>
            <m:e>
              <m:d>
                <m:dPr>
                  <m:ctrlPr>
                    <w:rPr>
                      <w:rFonts w:ascii="Cambria Math" w:hAnsi="Cambria Math"/>
                      <w:color w:val="000000"/>
                      <w:sz w:val="18"/>
                      <w:szCs w:val="18"/>
                      <w:shd w:val="clear" w:color="auto" w:fill="FFFFFF"/>
                    </w:rPr>
                  </m:ctrlPr>
                </m:dPr>
                <m:e>
                  <m:r>
                    <m:rPr>
                      <m:sty m:val="p"/>
                    </m:rPr>
                    <w:rPr>
                      <w:rFonts w:ascii="Cambria Math" w:hAnsi="Cambria Math"/>
                      <w:color w:val="000000"/>
                      <w:sz w:val="18"/>
                      <w:szCs w:val="18"/>
                      <w:shd w:val="clear" w:color="auto" w:fill="FFFFFF"/>
                    </w:rPr>
                    <m:t xml:space="preserve"> -</m:t>
                  </m:r>
                  <m:sSup>
                    <m:sSupPr>
                      <m:ctrlPr>
                        <w:rPr>
                          <w:rFonts w:ascii="Cambria Math" w:hAnsi="Cambria Math"/>
                          <w:color w:val="000000"/>
                          <w:sz w:val="18"/>
                          <w:szCs w:val="18"/>
                          <w:shd w:val="clear" w:color="auto" w:fill="FFFFFF"/>
                        </w:rPr>
                      </m:ctrlPr>
                    </m:sSupPr>
                    <m:e>
                      <m:d>
                        <m:dPr>
                          <m:ctrlPr>
                            <w:rPr>
                              <w:rFonts w:ascii="Cambria Math" w:hAnsi="Cambria Math"/>
                              <w:color w:val="000000"/>
                              <w:sz w:val="18"/>
                              <w:szCs w:val="18"/>
                              <w:shd w:val="clear" w:color="auto" w:fill="FFFFFF"/>
                            </w:rPr>
                          </m:ctrlPr>
                        </m:dPr>
                        <m:e>
                          <m:f>
                            <m:fPr>
                              <m:ctrlPr>
                                <w:rPr>
                                  <w:rFonts w:ascii="Cambria Math" w:hAnsi="Cambria Math"/>
                                  <w:color w:val="000000"/>
                                  <w:sz w:val="18"/>
                                  <w:szCs w:val="18"/>
                                  <w:shd w:val="clear" w:color="auto" w:fill="FFFFFF"/>
                                </w:rPr>
                              </m:ctrlPr>
                            </m:fPr>
                            <m:num>
                              <m:r>
                                <m:rPr>
                                  <m:sty m:val="p"/>
                                </m:rPr>
                                <w:rPr>
                                  <w:rFonts w:ascii="Cambria Math" w:hAnsi="Cambria Math"/>
                                  <w:color w:val="000000"/>
                                  <w:sz w:val="18"/>
                                  <w:szCs w:val="18"/>
                                  <w:shd w:val="clear" w:color="auto" w:fill="FFFFFF"/>
                                </w:rPr>
                                <m:t>Qt</m:t>
                              </m:r>
                            </m:num>
                            <m:den>
                              <m:r>
                                <m:rPr>
                                  <m:sty m:val="p"/>
                                </m:rPr>
                                <w:rPr>
                                  <w:rFonts w:ascii="Cambria Math" w:hAnsi="Cambria Math"/>
                                  <w:color w:val="000000"/>
                                  <w:sz w:val="18"/>
                                  <w:szCs w:val="18"/>
                                  <w:shd w:val="clear" w:color="auto" w:fill="FFFFFF"/>
                                </w:rPr>
                                <m:t>K</m:t>
                              </m:r>
                              <m:r>
                                <m:rPr>
                                  <m:sty m:val="p"/>
                                </m:rPr>
                                <w:rPr>
                                  <w:rFonts w:ascii="Cambria Math" w:hAnsi="Cambria Math"/>
                                  <w:color w:val="000000"/>
                                  <w:shd w:val="clear" w:color="auto" w:fill="FFFFFF"/>
                                  <w:vertAlign w:val="subscript"/>
                                </w:rPr>
                                <m:t>time</m:t>
                              </m:r>
                            </m:den>
                          </m:f>
                        </m:e>
                      </m:d>
                    </m:e>
                    <m:sup>
                      <m:r>
                        <m:rPr>
                          <m:sty m:val="p"/>
                        </m:rPr>
                        <w:rPr>
                          <w:rFonts w:ascii="Cambria Math" w:hAnsi="Cambria Math"/>
                          <w:color w:val="000000"/>
                          <w:shd w:val="clear" w:color="auto" w:fill="FFFFFF"/>
                          <w:vertAlign w:val="superscript"/>
                        </w:rPr>
                        <m:t>2 </m:t>
                      </m:r>
                    </m:sup>
                  </m:sSup>
                </m:e>
              </m:d>
            </m:e>
          </m:func>
          <m:r>
            <m:rPr>
              <m:sty m:val="p"/>
            </m:rPr>
            <w:rPr>
              <w:rFonts w:ascii="Cambria Math" w:hAnsi="Cambria Math"/>
              <w:color w:val="000000"/>
              <w:sz w:val="18"/>
              <w:szCs w:val="18"/>
              <w:shd w:val="clear" w:color="auto" w:fill="FFFFFF"/>
            </w:rPr>
            <m:t>)</m:t>
          </m:r>
        </m:oMath>
      </m:oMathPara>
    </w:p>
    <w:p w:rsidR="00A53665" w:rsidP="00A53665" w:rsidRDefault="00D3049C" w14:paraId="5AD5531D" w14:textId="04555707">
      <w:pPr>
        <w:jc w:val="left"/>
        <w:rPr>
          <w:rFonts w:eastAsiaTheme="minorEastAsia"/>
        </w:rPr>
      </w:pPr>
      <m:oMathPara>
        <m:oMath>
          <m:r>
            <w:rPr>
              <w:rFonts w:ascii="Cambria Math" w:hAnsi="Cambria Math"/>
            </w:rPr>
            <m:t>où Q=</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T-Topt</m:t>
                                  </m:r>
                                </m:e>
                              </m:d>
                            </m:num>
                            <m:den>
                              <m:r>
                                <w:rPr>
                                  <w:rFonts w:ascii="Cambria Math" w:hAnsi="Cambria Math"/>
                                </w:rPr>
                                <m:t>Ktemp</m:t>
                              </m:r>
                            </m:den>
                          </m:f>
                        </m:e>
                      </m:d>
                    </m:e>
                    <m:sup>
                      <m:r>
                        <w:rPr>
                          <w:rFonts w:ascii="Cambria Math" w:hAnsi="Cambria Math"/>
                        </w:rPr>
                        <m:t>2</m:t>
                      </m:r>
                    </m:sup>
                  </m:sSup>
                </m:e>
              </m:d>
            </m:e>
          </m:func>
        </m:oMath>
      </m:oMathPara>
    </w:p>
    <w:p w:rsidR="00A53665" w:rsidP="00A53665" w:rsidRDefault="004529F4" w14:paraId="44E2582D" w14:textId="26CED651">
      <w:pPr>
        <w:pStyle w:val="Sansinterligne"/>
        <w:jc w:val="left"/>
        <w:rPr>
          <w:i/>
          <w:lang w:val="fr-CH"/>
        </w:rPr>
      </w:pPr>
      <w:r>
        <w:rPr>
          <w:i/>
          <w:lang w:val="fr-CH"/>
        </w:rPr>
        <w:t>Imax</w:t>
      </w:r>
      <w:r w:rsidR="00A53665">
        <w:rPr>
          <w:i/>
          <w:lang w:val="fr-CH"/>
        </w:rPr>
        <w:t xml:space="preserve"> : la proportion </w:t>
      </w:r>
      <w:r w:rsidR="00223F7B">
        <w:rPr>
          <w:i/>
          <w:lang w:val="fr-CH"/>
        </w:rPr>
        <w:t>maximum d’</w:t>
      </w:r>
      <w:r w:rsidR="00A53665">
        <w:rPr>
          <w:i/>
          <w:lang w:val="fr-CH"/>
        </w:rPr>
        <w:t>infect</w:t>
      </w:r>
      <w:r w:rsidR="00223F7B">
        <w:rPr>
          <w:i/>
          <w:lang w:val="fr-CH"/>
        </w:rPr>
        <w:t>ion</w:t>
      </w:r>
      <w:r w:rsidR="00A53665">
        <w:rPr>
          <w:i/>
          <w:lang w:val="fr-CH"/>
        </w:rPr>
        <w:t xml:space="preserve"> ; </w:t>
      </w:r>
      <w:r w:rsidR="00223F7B">
        <w:rPr>
          <w:i/>
          <w:lang w:val="fr-CH"/>
        </w:rPr>
        <w:t>Ktime</w:t>
      </w:r>
      <w:r w:rsidR="00A53665">
        <w:rPr>
          <w:i/>
          <w:lang w:val="fr-CH"/>
        </w:rPr>
        <w:t> :</w:t>
      </w:r>
      <w:r w:rsidR="00223F7B">
        <w:rPr>
          <w:i/>
          <w:lang w:val="fr-CH"/>
        </w:rPr>
        <w:t xml:space="preserve"> temps pour atteindre</w:t>
      </w:r>
      <w:r w:rsidR="000935CB">
        <w:rPr>
          <w:i/>
          <w:lang w:val="fr-CH"/>
        </w:rPr>
        <w:t xml:space="preserve"> 63% d’Imax à Topt quand exposé à l’humidité</w:t>
      </w:r>
      <w:r w:rsidR="00223F7B">
        <w:rPr>
          <w:i/>
          <w:lang w:val="fr-CH"/>
        </w:rPr>
        <w:t xml:space="preserve"> </w:t>
      </w:r>
      <w:r w:rsidR="00A53665">
        <w:rPr>
          <w:i/>
          <w:lang w:val="fr-CH"/>
        </w:rPr>
        <w:t>; T</w:t>
      </w:r>
      <w:r w:rsidR="00D23A18">
        <w:rPr>
          <w:i/>
          <w:lang w:val="fr-CH"/>
        </w:rPr>
        <w:t>opt</w:t>
      </w:r>
      <w:r w:rsidR="00A53665">
        <w:rPr>
          <w:i/>
          <w:lang w:val="fr-CH"/>
        </w:rPr>
        <w:t> :</w:t>
      </w:r>
      <w:r w:rsidR="00D23A18">
        <w:rPr>
          <w:i/>
          <w:lang w:val="fr-CH"/>
        </w:rPr>
        <w:t xml:space="preserve"> température optimale d’infection ; Ktemp : </w:t>
      </w:r>
      <w:r w:rsidR="00CC1DB3">
        <w:rPr>
          <w:i/>
          <w:lang w:val="fr-CH"/>
        </w:rPr>
        <w:t>gamme de température parmi lesquelles une infection peut avoir lieu</w:t>
      </w:r>
      <w:r w:rsidR="00DE640F">
        <w:rPr>
          <w:i/>
          <w:lang w:val="fr-CH"/>
        </w:rPr>
        <w:t> ; T : température en degré Celsius ; t : temps en heures</w:t>
      </w:r>
      <w:r w:rsidRPr="00FB52FF" w:rsidR="00A53665">
        <w:rPr>
          <w:i/>
          <w:lang w:val="fr-CH"/>
        </w:rPr>
        <w:t>.</w:t>
      </w:r>
    </w:p>
    <w:p w:rsidR="00DE640F" w:rsidP="00A53665" w:rsidRDefault="00DE640F" w14:paraId="68009619" w14:textId="798B3184">
      <w:pPr>
        <w:pStyle w:val="Sansinterligne"/>
        <w:jc w:val="left"/>
        <w:rPr>
          <w:i/>
          <w:lang w:val="fr-CH"/>
        </w:rPr>
      </w:pPr>
    </w:p>
    <w:p w:rsidR="00E06706" w:rsidP="00A53665" w:rsidRDefault="00DE640F" w14:paraId="09D24C6C" w14:textId="7B8812D3">
      <w:pPr>
        <w:pStyle w:val="Sansinterligne"/>
        <w:jc w:val="left"/>
        <w:rPr>
          <w:iCs/>
          <w:lang w:val="fr-CH"/>
        </w:rPr>
      </w:pPr>
      <w:r>
        <w:rPr>
          <w:iCs/>
          <w:lang w:val="fr-CH"/>
        </w:rPr>
        <w:t>Les paramètres</w:t>
      </w:r>
      <w:r w:rsidR="00D964D6">
        <w:rPr>
          <w:iCs/>
          <w:lang w:val="fr-CH"/>
        </w:rPr>
        <w:t xml:space="preserve"> constants du modèle varient s’ils ont utilisé dans le cas d’une modélisation d’infection de la fleur ou du fruit. La table … </w:t>
      </w:r>
      <w:r w:rsidR="00E06706">
        <w:rPr>
          <w:iCs/>
          <w:lang w:val="fr-CH"/>
        </w:rPr>
        <w:t>donne leurs valeurs.</w:t>
      </w:r>
    </w:p>
    <w:tbl>
      <w:tblPr>
        <w:tblStyle w:val="TableauGrille1Clair"/>
        <w:tblW w:w="0" w:type="auto"/>
        <w:tblLook w:val="04A0" w:firstRow="1" w:lastRow="0" w:firstColumn="1" w:lastColumn="0" w:noHBand="0" w:noVBand="1"/>
      </w:tblPr>
      <w:tblGrid>
        <w:gridCol w:w="3245"/>
        <w:gridCol w:w="3246"/>
        <w:gridCol w:w="3246"/>
      </w:tblGrid>
      <w:tr w:rsidR="00E06706" w:rsidTr="00F010EE" w14:paraId="1ECA56AD" w14:textId="776FD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rsidR="00E06706" w:rsidP="00F010EE" w:rsidRDefault="00CE108F" w14:paraId="45084690" w14:textId="699276A0">
            <w:pPr>
              <w:rPr>
                <w:iCs/>
                <w:lang w:val="fr-CH"/>
              </w:rPr>
            </w:pPr>
            <w:r>
              <w:rPr>
                <w:iCs/>
                <w:lang w:val="fr-CH"/>
              </w:rPr>
              <w:t>Paramètres</w:t>
            </w:r>
          </w:p>
        </w:tc>
        <w:tc>
          <w:tcPr>
            <w:tcW w:w="3246" w:type="dxa"/>
          </w:tcPr>
          <w:p w:rsidR="00E06706" w:rsidP="00F010EE" w:rsidRDefault="00E06706" w14:paraId="6987EE35" w14:textId="39034838">
            <w:pPr>
              <w:cnfStyle w:val="100000000000" w:firstRow="1" w:lastRow="0" w:firstColumn="0" w:lastColumn="0" w:oddVBand="0" w:evenVBand="0" w:oddHBand="0" w:evenHBand="0" w:firstRowFirstColumn="0" w:firstRowLastColumn="0" w:lastRowFirstColumn="0" w:lastRowLastColumn="0"/>
              <w:rPr>
                <w:iCs/>
                <w:lang w:val="fr-CH"/>
              </w:rPr>
            </w:pPr>
            <w:r>
              <w:rPr>
                <w:iCs/>
                <w:lang w:val="fr-CH"/>
              </w:rPr>
              <w:t>Fleurs</w:t>
            </w:r>
          </w:p>
        </w:tc>
        <w:tc>
          <w:tcPr>
            <w:tcW w:w="3246" w:type="dxa"/>
          </w:tcPr>
          <w:p w:rsidR="00E06706" w:rsidP="00F010EE" w:rsidRDefault="00E06706" w14:paraId="190F36D2" w14:textId="27BEFBD4">
            <w:pPr>
              <w:cnfStyle w:val="100000000000" w:firstRow="1" w:lastRow="0" w:firstColumn="0" w:lastColumn="0" w:oddVBand="0" w:evenVBand="0" w:oddHBand="0" w:evenHBand="0" w:firstRowFirstColumn="0" w:firstRowLastColumn="0" w:lastRowFirstColumn="0" w:lastRowLastColumn="0"/>
              <w:rPr>
                <w:iCs/>
                <w:lang w:val="fr-CH"/>
              </w:rPr>
            </w:pPr>
            <w:r>
              <w:rPr>
                <w:iCs/>
                <w:lang w:val="fr-CH"/>
              </w:rPr>
              <w:t>Fruits</w:t>
            </w:r>
          </w:p>
        </w:tc>
      </w:tr>
      <w:tr w:rsidR="00E06706" w:rsidTr="00F010EE" w14:paraId="6F9D7B77" w14:textId="2E0D203C">
        <w:tc>
          <w:tcPr>
            <w:cnfStyle w:val="001000000000" w:firstRow="0" w:lastRow="0" w:firstColumn="1" w:lastColumn="0" w:oddVBand="0" w:evenVBand="0" w:oddHBand="0" w:evenHBand="0" w:firstRowFirstColumn="0" w:firstRowLastColumn="0" w:lastRowFirstColumn="0" w:lastRowLastColumn="0"/>
            <w:tcW w:w="3245" w:type="dxa"/>
          </w:tcPr>
          <w:p w:rsidR="00E06706" w:rsidP="00F010EE" w:rsidRDefault="00CE108F" w14:paraId="536BE225" w14:textId="5C8C298F">
            <w:pPr>
              <w:rPr>
                <w:iCs/>
                <w:lang w:val="fr-CH"/>
              </w:rPr>
            </w:pPr>
            <w:r>
              <w:rPr>
                <w:iCs/>
                <w:lang w:val="fr-CH"/>
              </w:rPr>
              <w:t>Imax</w:t>
            </w:r>
            <w:r w:rsidR="00F010EE">
              <w:rPr>
                <w:iCs/>
                <w:lang w:val="fr-CH"/>
              </w:rPr>
              <w:t xml:space="preserve"> (%)</w:t>
            </w:r>
          </w:p>
        </w:tc>
        <w:tc>
          <w:tcPr>
            <w:tcW w:w="3246" w:type="dxa"/>
          </w:tcPr>
          <w:p w:rsidR="00E06706" w:rsidP="00F010EE" w:rsidRDefault="005F4C8B" w14:paraId="6CCF813A" w14:textId="3062F66A">
            <w:pPr>
              <w:cnfStyle w:val="000000000000" w:firstRow="0" w:lastRow="0" w:firstColumn="0" w:lastColumn="0" w:oddVBand="0" w:evenVBand="0" w:oddHBand="0" w:evenHBand="0" w:firstRowFirstColumn="0" w:firstRowLastColumn="0" w:lastRowFirstColumn="0" w:lastRowLastColumn="0"/>
              <w:rPr>
                <w:iCs/>
                <w:lang w:val="fr-CH"/>
              </w:rPr>
            </w:pPr>
            <w:r>
              <w:rPr>
                <w:iCs/>
                <w:lang w:val="fr-CH"/>
              </w:rPr>
              <w:t>95.6</w:t>
            </w:r>
            <w:r w:rsidR="00F010EE">
              <w:rPr>
                <w:iCs/>
                <w:lang w:val="fr-CH"/>
              </w:rPr>
              <w:t xml:space="preserve"> </w:t>
            </w:r>
            <w:r>
              <w:rPr>
                <w:iCs/>
                <w:lang w:val="fr-CH"/>
              </w:rPr>
              <w:t>+/- 1.4</w:t>
            </w:r>
          </w:p>
        </w:tc>
        <w:tc>
          <w:tcPr>
            <w:tcW w:w="3246" w:type="dxa"/>
          </w:tcPr>
          <w:p w:rsidR="00E06706" w:rsidP="00F010EE" w:rsidRDefault="00F010EE" w14:paraId="489A70AB" w14:textId="4B620F6E">
            <w:pPr>
              <w:cnfStyle w:val="000000000000" w:firstRow="0" w:lastRow="0" w:firstColumn="0" w:lastColumn="0" w:oddVBand="0" w:evenVBand="0" w:oddHBand="0" w:evenHBand="0" w:firstRowFirstColumn="0" w:firstRowLastColumn="0" w:lastRowFirstColumn="0" w:lastRowLastColumn="0"/>
              <w:rPr>
                <w:iCs/>
                <w:lang w:val="fr-CH"/>
              </w:rPr>
            </w:pPr>
            <w:r>
              <w:rPr>
                <w:iCs/>
                <w:lang w:val="fr-CH"/>
              </w:rPr>
              <w:t>100</w:t>
            </w:r>
          </w:p>
        </w:tc>
      </w:tr>
      <w:tr w:rsidR="00E06706" w:rsidTr="00F010EE" w14:paraId="6B49EFF1" w14:textId="7B48C6EC">
        <w:tc>
          <w:tcPr>
            <w:cnfStyle w:val="001000000000" w:firstRow="0" w:lastRow="0" w:firstColumn="1" w:lastColumn="0" w:oddVBand="0" w:evenVBand="0" w:oddHBand="0" w:evenHBand="0" w:firstRowFirstColumn="0" w:firstRowLastColumn="0" w:lastRowFirstColumn="0" w:lastRowLastColumn="0"/>
            <w:tcW w:w="3245" w:type="dxa"/>
          </w:tcPr>
          <w:p w:rsidR="00E06706" w:rsidP="00F010EE" w:rsidRDefault="008107B7" w14:paraId="07966591" w14:textId="65DFC2D8">
            <w:pPr>
              <w:rPr>
                <w:iCs/>
                <w:lang w:val="fr-CH"/>
              </w:rPr>
            </w:pPr>
            <w:r>
              <w:rPr>
                <w:iCs/>
                <w:lang w:val="fr-CH"/>
              </w:rPr>
              <w:t>K</w:t>
            </w:r>
            <w:r w:rsidR="006200FA">
              <w:rPr>
                <w:iCs/>
                <w:lang w:val="fr-CH"/>
              </w:rPr>
              <w:t>time</w:t>
            </w:r>
            <w:r w:rsidR="00F010EE">
              <w:rPr>
                <w:iCs/>
                <w:lang w:val="fr-CH"/>
              </w:rPr>
              <w:t xml:space="preserve"> (h)</w:t>
            </w:r>
          </w:p>
        </w:tc>
        <w:tc>
          <w:tcPr>
            <w:tcW w:w="3246" w:type="dxa"/>
          </w:tcPr>
          <w:p w:rsidR="00E06706" w:rsidP="00F010EE" w:rsidRDefault="00F010EE" w14:paraId="2FC31D5B" w14:textId="51B708A4">
            <w:pPr>
              <w:cnfStyle w:val="000000000000" w:firstRow="0" w:lastRow="0" w:firstColumn="0" w:lastColumn="0" w:oddVBand="0" w:evenVBand="0" w:oddHBand="0" w:evenHBand="0" w:firstRowFirstColumn="0" w:firstRowLastColumn="0" w:lastRowFirstColumn="0" w:lastRowLastColumn="0"/>
              <w:rPr>
                <w:iCs/>
                <w:lang w:val="fr-CH"/>
              </w:rPr>
            </w:pPr>
            <w:r>
              <w:rPr>
                <w:iCs/>
                <w:lang w:val="fr-CH"/>
              </w:rPr>
              <w:t>1.3 +/-  0.1</w:t>
            </w:r>
          </w:p>
        </w:tc>
        <w:tc>
          <w:tcPr>
            <w:tcW w:w="3246" w:type="dxa"/>
          </w:tcPr>
          <w:p w:rsidR="00E06706" w:rsidP="00F010EE" w:rsidRDefault="00F010EE" w14:paraId="32045275" w14:textId="368176E6">
            <w:pPr>
              <w:cnfStyle w:val="000000000000" w:firstRow="0" w:lastRow="0" w:firstColumn="0" w:lastColumn="0" w:oddVBand="0" w:evenVBand="0" w:oddHBand="0" w:evenHBand="0" w:firstRowFirstColumn="0" w:firstRowLastColumn="0" w:lastRowFirstColumn="0" w:lastRowLastColumn="0"/>
              <w:rPr>
                <w:iCs/>
                <w:lang w:val="fr-CH"/>
              </w:rPr>
            </w:pPr>
            <w:r>
              <w:rPr>
                <w:iCs/>
                <w:lang w:val="fr-CH"/>
              </w:rPr>
              <w:t>13.9 +/-  0.6</w:t>
            </w:r>
          </w:p>
        </w:tc>
      </w:tr>
      <w:tr w:rsidR="00E06706" w:rsidTr="00F010EE" w14:paraId="21781D8E" w14:textId="7DE24CDB">
        <w:tc>
          <w:tcPr>
            <w:cnfStyle w:val="001000000000" w:firstRow="0" w:lastRow="0" w:firstColumn="1" w:lastColumn="0" w:oddVBand="0" w:evenVBand="0" w:oddHBand="0" w:evenHBand="0" w:firstRowFirstColumn="0" w:firstRowLastColumn="0" w:lastRowFirstColumn="0" w:lastRowLastColumn="0"/>
            <w:tcW w:w="3245" w:type="dxa"/>
          </w:tcPr>
          <w:p w:rsidR="00E06706" w:rsidP="00F010EE" w:rsidRDefault="005F4C8B" w14:paraId="0E86E01F" w14:textId="74C56263">
            <w:pPr>
              <w:rPr>
                <w:iCs/>
                <w:lang w:val="fr-CH"/>
              </w:rPr>
            </w:pPr>
            <w:r>
              <w:rPr>
                <w:iCs/>
                <w:lang w:val="fr-CH"/>
              </w:rPr>
              <w:t>Topt</w:t>
            </w:r>
            <w:r w:rsidR="00F010EE">
              <w:rPr>
                <w:iCs/>
                <w:lang w:val="fr-CH"/>
              </w:rPr>
              <w:t xml:space="preserve"> (°C)</w:t>
            </w:r>
          </w:p>
        </w:tc>
        <w:tc>
          <w:tcPr>
            <w:tcW w:w="3246" w:type="dxa"/>
          </w:tcPr>
          <w:p w:rsidR="00E06706" w:rsidP="00F010EE" w:rsidRDefault="00F010EE" w14:paraId="6750CA91" w14:textId="4AB116D0">
            <w:pPr>
              <w:cnfStyle w:val="000000000000" w:firstRow="0" w:lastRow="0" w:firstColumn="0" w:lastColumn="0" w:oddVBand="0" w:evenVBand="0" w:oddHBand="0" w:evenHBand="0" w:firstRowFirstColumn="0" w:firstRowLastColumn="0" w:lastRowFirstColumn="0" w:lastRowLastColumn="0"/>
              <w:rPr>
                <w:iCs/>
                <w:lang w:val="fr-CH"/>
              </w:rPr>
            </w:pPr>
            <w:r>
              <w:rPr>
                <w:iCs/>
                <w:lang w:val="fr-CH"/>
              </w:rPr>
              <w:t>23.7 +/-  0.5</w:t>
            </w:r>
          </w:p>
        </w:tc>
        <w:tc>
          <w:tcPr>
            <w:tcW w:w="3246" w:type="dxa"/>
          </w:tcPr>
          <w:p w:rsidR="00E06706" w:rsidP="00F010EE" w:rsidRDefault="00F010EE" w14:paraId="6DAB6EE2" w14:textId="6A529028">
            <w:pPr>
              <w:cnfStyle w:val="000000000000" w:firstRow="0" w:lastRow="0" w:firstColumn="0" w:lastColumn="0" w:oddVBand="0" w:evenVBand="0" w:oddHBand="0" w:evenHBand="0" w:firstRowFirstColumn="0" w:firstRowLastColumn="0" w:lastRowFirstColumn="0" w:lastRowLastColumn="0"/>
              <w:rPr>
                <w:iCs/>
                <w:lang w:val="fr-CH"/>
              </w:rPr>
            </w:pPr>
            <w:r>
              <w:rPr>
                <w:iCs/>
                <w:lang w:val="fr-CH"/>
              </w:rPr>
              <w:t>20.8 +/-  0.2</w:t>
            </w:r>
          </w:p>
        </w:tc>
      </w:tr>
      <w:tr w:rsidR="00E06706" w:rsidTr="00F010EE" w14:paraId="4B3765D2" w14:textId="12081F1B">
        <w:tc>
          <w:tcPr>
            <w:cnfStyle w:val="001000000000" w:firstRow="0" w:lastRow="0" w:firstColumn="1" w:lastColumn="0" w:oddVBand="0" w:evenVBand="0" w:oddHBand="0" w:evenHBand="0" w:firstRowFirstColumn="0" w:firstRowLastColumn="0" w:lastRowFirstColumn="0" w:lastRowLastColumn="0"/>
            <w:tcW w:w="3245" w:type="dxa"/>
          </w:tcPr>
          <w:p w:rsidR="00E06706" w:rsidP="00F010EE" w:rsidRDefault="005F4C8B" w14:paraId="18129440" w14:textId="029C122B">
            <w:pPr>
              <w:rPr>
                <w:iCs/>
                <w:lang w:val="fr-CH"/>
              </w:rPr>
            </w:pPr>
            <w:r>
              <w:rPr>
                <w:iCs/>
                <w:lang w:val="fr-CH"/>
              </w:rPr>
              <w:t>Ktemp</w:t>
            </w:r>
            <w:r w:rsidR="00F010EE">
              <w:rPr>
                <w:iCs/>
                <w:lang w:val="fr-CH"/>
              </w:rPr>
              <w:t xml:space="preserve"> (°C)</w:t>
            </w:r>
          </w:p>
        </w:tc>
        <w:tc>
          <w:tcPr>
            <w:tcW w:w="3246" w:type="dxa"/>
          </w:tcPr>
          <w:p w:rsidR="00E06706" w:rsidP="00F010EE" w:rsidRDefault="00F010EE" w14:paraId="1BCE0F8D" w14:textId="54F13BDF">
            <w:pPr>
              <w:cnfStyle w:val="000000000000" w:firstRow="0" w:lastRow="0" w:firstColumn="0" w:lastColumn="0" w:oddVBand="0" w:evenVBand="0" w:oddHBand="0" w:evenHBand="0" w:firstRowFirstColumn="0" w:firstRowLastColumn="0" w:lastRowFirstColumn="0" w:lastRowLastColumn="0"/>
              <w:rPr>
                <w:iCs/>
                <w:lang w:val="fr-CH"/>
              </w:rPr>
            </w:pPr>
            <w:r>
              <w:rPr>
                <w:iCs/>
                <w:lang w:val="fr-CH"/>
              </w:rPr>
              <w:t>10.5 +/-  0.3</w:t>
            </w:r>
          </w:p>
        </w:tc>
        <w:tc>
          <w:tcPr>
            <w:tcW w:w="3246" w:type="dxa"/>
          </w:tcPr>
          <w:p w:rsidR="00E06706" w:rsidP="00F010EE" w:rsidRDefault="00F010EE" w14:paraId="5C9E08BA" w14:textId="1DD5C2C9">
            <w:pPr>
              <w:cnfStyle w:val="000000000000" w:firstRow="0" w:lastRow="0" w:firstColumn="0" w:lastColumn="0" w:oddVBand="0" w:evenVBand="0" w:oddHBand="0" w:evenHBand="0" w:firstRowFirstColumn="0" w:firstRowLastColumn="0" w:lastRowFirstColumn="0" w:lastRowLastColumn="0"/>
              <w:rPr>
                <w:iCs/>
                <w:lang w:val="fr-CH"/>
              </w:rPr>
            </w:pPr>
            <w:r>
              <w:rPr>
                <w:iCs/>
                <w:lang w:val="fr-CH"/>
              </w:rPr>
              <w:t>8.9 +/-  0.4</w:t>
            </w:r>
          </w:p>
        </w:tc>
      </w:tr>
    </w:tbl>
    <w:p w:rsidR="00E06706" w:rsidP="00A53665" w:rsidRDefault="00E06706" w14:paraId="2E471646" w14:textId="77777777">
      <w:pPr>
        <w:pStyle w:val="Sansinterligne"/>
        <w:jc w:val="left"/>
        <w:rPr>
          <w:iCs/>
          <w:lang w:val="fr-CH"/>
        </w:rPr>
      </w:pPr>
    </w:p>
    <w:p w:rsidRPr="00DE640F" w:rsidR="00E06706" w:rsidP="00A53665" w:rsidRDefault="00E06706" w14:paraId="649BFB2C" w14:textId="77777777">
      <w:pPr>
        <w:pStyle w:val="Sansinterligne"/>
        <w:jc w:val="left"/>
        <w:rPr>
          <w:iCs/>
          <w:lang w:val="fr-CH"/>
        </w:rPr>
      </w:pPr>
    </w:p>
    <w:p w:rsidRPr="00023946" w:rsidR="00A53665" w:rsidP="00023946" w:rsidRDefault="00A53665" w14:paraId="5F5DBE07" w14:textId="77777777">
      <w:pPr>
        <w:rPr>
          <w:iCs/>
          <w:lang w:val="fr-CH"/>
        </w:rPr>
      </w:pPr>
    </w:p>
    <w:p w:rsidRPr="003830FB" w:rsidR="00736FDE" w:rsidP="00736FDE" w:rsidRDefault="00736FDE" w14:paraId="59C204FE" w14:textId="77777777">
      <w:pPr>
        <w:pStyle w:val="Paragraphedeliste"/>
        <w:ind w:left="1080"/>
        <w:rPr>
          <w:iCs/>
          <w:lang w:val="fr-CH"/>
        </w:rPr>
      </w:pPr>
    </w:p>
    <w:p w:rsidR="00774208" w:rsidP="004F1A13" w:rsidRDefault="00C54883" w14:paraId="0D143A47" w14:textId="682BEBAE">
      <w:pPr>
        <w:rPr>
          <w:lang w:val="fr-CH"/>
        </w:rPr>
        <w:sectPr w:rsidR="00774208" w:rsidSect="00AF35F2">
          <w:pgSz w:w="11907" w:h="16839" w:orient="portrait"/>
          <w:pgMar w:top="1440" w:right="1080" w:bottom="1440" w:left="1080" w:header="708" w:footer="708" w:gutter="0"/>
          <w:cols w:space="708"/>
          <w:docGrid w:linePitch="360"/>
        </w:sectPr>
      </w:pPr>
      <w:r w:rsidRPr="00D86528">
        <w:rPr>
          <w:b/>
          <w:i/>
          <w:lang w:val="fr-CH"/>
        </w:rPr>
        <w:t>M</w:t>
      </w:r>
      <w:r w:rsidRPr="00D86528" w:rsidR="00D86528">
        <w:rPr>
          <w:b/>
          <w:i/>
          <w:lang w:val="fr-CH"/>
        </w:rPr>
        <w:t>od</w:t>
      </w:r>
      <w:r>
        <w:rPr>
          <w:b/>
          <w:i/>
          <w:lang w:val="fr-CH"/>
        </w:rPr>
        <w:t>èle mécanistique</w:t>
      </w:r>
      <w:r w:rsidRPr="00D86528" w:rsidR="00D86528">
        <w:rPr>
          <w:b/>
          <w:i/>
          <w:lang w:val="fr-CH"/>
        </w:rPr>
        <w:t>.</w:t>
      </w:r>
      <w:r w:rsidRPr="00D86528" w:rsidR="00D86528">
        <w:rPr>
          <w:lang w:val="fr-CH"/>
        </w:rPr>
        <w:t xml:space="preserve"> Un modèle visant à prédire</w:t>
      </w:r>
      <w:r w:rsidR="00C73666">
        <w:rPr>
          <w:lang w:val="fr-CH"/>
        </w:rPr>
        <w:t xml:space="preserve"> le risque d’infection de la pourriture grise sur le raisin</w:t>
      </w:r>
      <w:r w:rsidRPr="00D86528" w:rsidR="00D86528">
        <w:rPr>
          <w:lang w:val="fr-CH"/>
        </w:rPr>
        <w:t xml:space="preserve"> a été développé par</w:t>
      </w:r>
      <w:r w:rsidR="00E874CF">
        <w:rPr>
          <w:lang w:val="fr-CH"/>
        </w:rPr>
        <w:t xml:space="preserve"> </w:t>
      </w:r>
      <w:r w:rsidRPr="00484787" w:rsidR="00484787">
        <w:rPr>
          <w:lang w:val="fr-CH"/>
        </w:rPr>
        <w:t>González-Domínguez</w:t>
      </w:r>
      <w:r w:rsidR="00484787">
        <w:rPr>
          <w:lang w:val="fr-CH"/>
        </w:rPr>
        <w:t xml:space="preserve"> et al. (2015) </w:t>
      </w:r>
      <w:r w:rsidR="00C73666">
        <w:rPr>
          <w:lang w:val="fr-CH"/>
        </w:rPr>
        <w:t>en tenant compte de</w:t>
      </w:r>
      <w:r w:rsidR="00D06011">
        <w:rPr>
          <w:lang w:val="fr-CH"/>
        </w:rPr>
        <w:t xml:space="preserve"> la complexité du cycle de vie de ce pathogène</w:t>
      </w:r>
      <w:r w:rsidRPr="00D86528" w:rsidR="00D86528">
        <w:rPr>
          <w:lang w:val="fr-CH"/>
        </w:rPr>
        <w:t>.</w:t>
      </w:r>
      <w:r w:rsidR="00D86528">
        <w:rPr>
          <w:lang w:val="fr-CH"/>
        </w:rPr>
        <w:t xml:space="preserve"> </w:t>
      </w:r>
      <w:r w:rsidR="004D796C">
        <w:rPr>
          <w:lang w:val="fr-CH"/>
        </w:rPr>
        <w:t>Le modèle est décrit</w:t>
      </w:r>
      <w:r w:rsidR="001C2C78">
        <w:rPr>
          <w:lang w:val="fr-CH"/>
        </w:rPr>
        <w:t xml:space="preserve"> dans la figure …</w:t>
      </w:r>
      <w:r w:rsidR="004D796C">
        <w:rPr>
          <w:lang w:val="fr-CH"/>
        </w:rPr>
        <w:t xml:space="preserve"> sous</w:t>
      </w:r>
      <w:r w:rsidR="00DE4E0F">
        <w:rPr>
          <w:lang w:val="fr-CH"/>
        </w:rPr>
        <w:t xml:space="preserve"> forme d’un diagramme relationnel, qui décrit des changements d’état (</w:t>
      </w:r>
      <w:r w:rsidR="001C2C78">
        <w:rPr>
          <w:lang w:val="fr-CH"/>
        </w:rPr>
        <w:t>rectangles</w:t>
      </w:r>
      <w:r w:rsidR="00DE4E0F">
        <w:rPr>
          <w:lang w:val="fr-CH"/>
        </w:rPr>
        <w:t>) en fonction de facteurs externes</w:t>
      </w:r>
      <w:r w:rsidR="001C2C78">
        <w:rPr>
          <w:lang w:val="fr-CH"/>
        </w:rPr>
        <w:t xml:space="preserve"> (température</w:t>
      </w:r>
      <w:r w:rsidR="00D146F7">
        <w:rPr>
          <w:lang w:val="fr-CH"/>
        </w:rPr>
        <w:t xml:space="preserve"> de l’air</w:t>
      </w:r>
      <w:r w:rsidR="001C2C78">
        <w:rPr>
          <w:lang w:val="fr-CH"/>
        </w:rPr>
        <w:t>, durée d’humidité,</w:t>
      </w:r>
      <w:r w:rsidR="00D146F7">
        <w:rPr>
          <w:lang w:val="fr-CH"/>
        </w:rPr>
        <w:t xml:space="preserve"> pluviométrie, humidité de l’air</w:t>
      </w:r>
      <w:r w:rsidR="00092668">
        <w:rPr>
          <w:lang w:val="fr-CH"/>
        </w:rPr>
        <w:t>)</w:t>
      </w:r>
      <w:r w:rsidR="00BA2DCD">
        <w:rPr>
          <w:lang w:val="fr-CH"/>
        </w:rPr>
        <w:t xml:space="preserve"> et internes (cycle </w:t>
      </w:r>
      <w:r w:rsidR="002F0657">
        <w:rPr>
          <w:lang w:val="fr-CH"/>
        </w:rPr>
        <w:t xml:space="preserve">et développement </w:t>
      </w:r>
      <w:r w:rsidR="00BA2DCD">
        <w:rPr>
          <w:lang w:val="fr-CH"/>
        </w:rPr>
        <w:t>du pathogène)</w:t>
      </w:r>
      <w:r w:rsidR="000D4BC2">
        <w:rPr>
          <w:lang w:val="fr-CH"/>
        </w:rPr>
        <w:t xml:space="preserve"> impactant le taux de ces changements d’état</w:t>
      </w:r>
      <w:r w:rsidR="00353AEB">
        <w:rPr>
          <w:lang w:val="fr-CH"/>
        </w:rPr>
        <w:t xml:space="preserve">. Les paramètres du diagramme sont décrits dans la figure </w:t>
      </w:r>
      <w:r w:rsidR="00276969">
        <w:rPr>
          <w:lang w:val="fr-CH"/>
        </w:rPr>
        <w:t>….</w:t>
      </w:r>
      <w:r w:rsidR="000D4BC2">
        <w:rPr>
          <w:lang w:val="fr-CH"/>
        </w:rPr>
        <w:t xml:space="preserve"> </w:t>
      </w:r>
      <w:r w:rsidR="00A4636A">
        <w:rPr>
          <w:lang w:val="fr-CH"/>
        </w:rPr>
        <w:t xml:space="preserve"> </w:t>
      </w:r>
      <w:r w:rsidR="007E3DAC">
        <w:rPr>
          <w:lang w:val="fr-CH"/>
        </w:rPr>
        <w:t>Une description détaillée du modèle peut être trouvée dans l’article. En résumé, le modèle calcule l’abondance relative de sources de conidie (CISO) dans une culture en se basant sur le taux de croissance d</w:t>
      </w:r>
      <w:r w:rsidR="00F65C65">
        <w:rPr>
          <w:lang w:val="fr-CH"/>
        </w:rPr>
        <w:t>u mycélium (MYGR) et le taux de production de spores (SPO</w:t>
      </w:r>
      <w:r w:rsidR="00DA465B">
        <w:rPr>
          <w:lang w:val="fr-CH"/>
        </w:rPr>
        <w:t>R</w:t>
      </w:r>
      <w:r w:rsidR="00F65C65">
        <w:rPr>
          <w:lang w:val="fr-CH"/>
        </w:rPr>
        <w:t>).</w:t>
      </w:r>
      <w:r w:rsidR="00DA465B">
        <w:rPr>
          <w:lang w:val="fr-CH"/>
        </w:rPr>
        <w:t xml:space="preserve"> MYGR et SPOR sont calculés </w:t>
      </w:r>
      <w:r w:rsidR="00D82F62">
        <w:rPr>
          <w:lang w:val="fr-CH"/>
        </w:rPr>
        <w:t>sur la base de données environnementales (température,  humidité relative,  facteur de croissance en fonction du milieu).</w:t>
      </w:r>
      <w:r w:rsidR="00A32701">
        <w:rPr>
          <w:lang w:val="fr-CH"/>
        </w:rPr>
        <w:t xml:space="preserve"> Puis, le modèle considère que deux fe</w:t>
      </w:r>
      <w:r w:rsidR="003830DE">
        <w:rPr>
          <w:lang w:val="fr-CH"/>
        </w:rPr>
        <w:t>nêtres d’infection ont potentiellement lieu (</w:t>
      </w:r>
      <w:r w:rsidR="0010614B">
        <w:rPr>
          <w:lang w:val="fr-CH"/>
        </w:rPr>
        <w:t xml:space="preserve">taux d’infection ; </w:t>
      </w:r>
      <w:r w:rsidR="003830DE">
        <w:rPr>
          <w:lang w:val="fr-CH"/>
        </w:rPr>
        <w:t>INF1 et INF2).</w:t>
      </w:r>
      <w:r w:rsidR="005E2023">
        <w:rPr>
          <w:lang w:val="fr-CH"/>
        </w:rPr>
        <w:t xml:space="preserve"> Ces valeurs se calculent grâce à la température</w:t>
      </w:r>
      <w:r w:rsidR="00821823">
        <w:rPr>
          <w:lang w:val="fr-CH"/>
        </w:rPr>
        <w:t>, la durée d’humidité des feuilles, et la susceptibilité relative de la plante.</w:t>
      </w:r>
      <w:r w:rsidR="00A66F5A">
        <w:rPr>
          <w:lang w:val="fr-CH"/>
        </w:rPr>
        <w:t xml:space="preserve"> INF1 a lieu  quand les fleurs sont encore présentes et que les raisins </w:t>
      </w:r>
      <w:r w:rsidR="007F45C6">
        <w:rPr>
          <w:lang w:val="fr-CH"/>
        </w:rPr>
        <w:t xml:space="preserve"> commencent à pendre. INF2 a lieu quand les fruits se touchent  jusqu’à maturité des fruits.</w:t>
      </w:r>
      <w:r w:rsidR="00445BCD">
        <w:rPr>
          <w:lang w:val="fr-CH"/>
        </w:rPr>
        <w:t xml:space="preserve"> </w:t>
      </w:r>
      <w:r w:rsidR="005479A9">
        <w:rPr>
          <w:lang w:val="fr-CH"/>
        </w:rPr>
        <w:t xml:space="preserve">  La sévérité relative d’infection</w:t>
      </w:r>
      <w:r w:rsidR="007B32A2">
        <w:rPr>
          <w:lang w:val="fr-CH"/>
        </w:rPr>
        <w:t xml:space="preserve"> RIS1 ou RIS2</w:t>
      </w:r>
      <w:r w:rsidR="005479A9">
        <w:rPr>
          <w:lang w:val="fr-CH"/>
        </w:rPr>
        <w:t xml:space="preserve"> pour les deux fenêtres</w:t>
      </w:r>
      <w:r w:rsidR="0010614B">
        <w:rPr>
          <w:lang w:val="fr-CH"/>
        </w:rPr>
        <w:t xml:space="preserve"> </w:t>
      </w:r>
      <w:r w:rsidR="005479A9">
        <w:rPr>
          <w:lang w:val="fr-CH"/>
        </w:rPr>
        <w:t>peut</w:t>
      </w:r>
      <w:r w:rsidR="006754A8">
        <w:rPr>
          <w:lang w:val="fr-CH"/>
        </w:rPr>
        <w:t xml:space="preserve"> être calculé en </w:t>
      </w:r>
      <w:r w:rsidR="0010614B">
        <w:rPr>
          <w:lang w:val="fr-CH"/>
        </w:rPr>
        <w:t>multipliant l’abondance relative de conidie et le taux d’infection INF1 ou INF2</w:t>
      </w:r>
      <w:r w:rsidR="007B32A2">
        <w:rPr>
          <w:lang w:val="fr-CH"/>
        </w:rPr>
        <w:t>, respectivement</w:t>
      </w:r>
      <w:r w:rsidR="0010614B">
        <w:rPr>
          <w:lang w:val="fr-CH"/>
        </w:rPr>
        <w:t>.</w:t>
      </w:r>
      <w:r w:rsidR="002845AB">
        <w:rPr>
          <w:lang w:val="fr-CH"/>
        </w:rPr>
        <w:t xml:space="preserve"> Une troisième opportunité d’infection (taux d’infection ; INF3) a </w:t>
      </w:r>
      <w:r w:rsidR="005520F8">
        <w:rPr>
          <w:lang w:val="fr-CH"/>
        </w:rPr>
        <w:t>lieu de fruits à fruits durant la deuxième fenêtre d’infection.</w:t>
      </w:r>
      <w:r w:rsidR="00B54A2D">
        <w:rPr>
          <w:lang w:val="fr-CH"/>
        </w:rPr>
        <w:t xml:space="preserve">   La sévérité relative d’infection </w:t>
      </w:r>
      <w:r w:rsidR="007B32A2">
        <w:rPr>
          <w:lang w:val="fr-CH"/>
        </w:rPr>
        <w:t>entre fruits (RIS3) se calcule en multipliant le taux d’infection INF3 et le taux de croissance du mycélium (MYGR).</w:t>
      </w:r>
      <w:r w:rsidR="004B06CE">
        <w:rPr>
          <w:lang w:val="fr-CH"/>
        </w:rPr>
        <w:t xml:space="preserve"> Finalement, </w:t>
      </w:r>
      <w:r w:rsidR="00D326C2">
        <w:rPr>
          <w:lang w:val="fr-CH"/>
        </w:rPr>
        <w:t>le risque d’infection total</w:t>
      </w:r>
      <w:r w:rsidR="00610A05">
        <w:rPr>
          <w:lang w:val="fr-CH"/>
        </w:rPr>
        <w:t xml:space="preserve"> (SEV)</w:t>
      </w:r>
      <w:r w:rsidR="00D326C2">
        <w:rPr>
          <w:lang w:val="fr-CH"/>
        </w:rPr>
        <w:t>, pour chaque fenêtre d’infection</w:t>
      </w:r>
      <w:r w:rsidR="00610A05">
        <w:rPr>
          <w:lang w:val="fr-CH"/>
        </w:rPr>
        <w:t xml:space="preserve"> (SEV1, SEV2, SEV3)</w:t>
      </w:r>
      <w:r w:rsidR="00D326C2">
        <w:rPr>
          <w:lang w:val="fr-CH"/>
        </w:rPr>
        <w:t>, est calculé en accumulant les</w:t>
      </w:r>
      <w:r w:rsidR="00610A05">
        <w:rPr>
          <w:lang w:val="fr-CH"/>
        </w:rPr>
        <w:t xml:space="preserve"> valeurs de sévérités relatives d’infection</w:t>
      </w:r>
      <w:r w:rsidR="00386A38">
        <w:rPr>
          <w:lang w:val="fr-CH"/>
        </w:rPr>
        <w:t xml:space="preserve"> (RIS1, RIS2, RIS3) jour après jour.</w:t>
      </w:r>
      <w:r w:rsidR="002A4058">
        <w:rPr>
          <w:lang w:val="fr-CH"/>
        </w:rPr>
        <w:t xml:space="preserve"> Une analyse factorielle discriminante a permis </w:t>
      </w:r>
      <w:r w:rsidR="0071136C">
        <w:rPr>
          <w:lang w:val="fr-CH"/>
        </w:rPr>
        <w:t xml:space="preserve">de qualifier </w:t>
      </w:r>
      <w:r w:rsidR="00BC2E32">
        <w:rPr>
          <w:lang w:val="fr-CH"/>
        </w:rPr>
        <w:t xml:space="preserve">correctement </w:t>
      </w:r>
      <w:r w:rsidR="0071136C">
        <w:rPr>
          <w:lang w:val="fr-CH"/>
        </w:rPr>
        <w:t>la sévérité</w:t>
      </w:r>
      <w:r w:rsidR="00BC2E32">
        <w:rPr>
          <w:lang w:val="fr-CH"/>
        </w:rPr>
        <w:t xml:space="preserve"> (légère, intermédiaire et sévère)</w:t>
      </w:r>
      <w:r w:rsidR="0071136C">
        <w:rPr>
          <w:lang w:val="fr-CH"/>
        </w:rPr>
        <w:t xml:space="preserve"> de </w:t>
      </w:r>
      <w:r w:rsidR="00145B6D">
        <w:rPr>
          <w:lang w:val="fr-CH"/>
        </w:rPr>
        <w:t xml:space="preserve">80% des </w:t>
      </w:r>
      <w:r w:rsidR="0071136C">
        <w:rPr>
          <w:lang w:val="fr-CH"/>
        </w:rPr>
        <w:t>21 épidémies de Botrytis</w:t>
      </w:r>
      <w:r w:rsidR="00BC2E32">
        <w:rPr>
          <w:lang w:val="fr-CH"/>
        </w:rPr>
        <w:t xml:space="preserve"> analysées.</w:t>
      </w:r>
      <w:r w:rsidR="003041A2">
        <w:rPr>
          <w:lang w:val="fr-CH"/>
        </w:rPr>
        <w:t xml:space="preserve"> </w:t>
      </w:r>
    </w:p>
    <w:p w:rsidR="00774208" w:rsidP="004F1A13" w:rsidRDefault="00D94E66" w14:paraId="64883E38" w14:textId="7113B301">
      <w:pPr>
        <w:rPr>
          <w:lang w:val="fr-CH"/>
        </w:rPr>
        <w:sectPr w:rsidR="00774208" w:rsidSect="00774208">
          <w:pgSz w:w="16839" w:h="11907" w:orient="landscape"/>
          <w:pgMar w:top="1080" w:right="1440" w:bottom="1080" w:left="1440" w:header="708" w:footer="708" w:gutter="0"/>
          <w:cols w:space="708"/>
          <w:docGrid w:linePitch="360"/>
        </w:sectPr>
      </w:pPr>
      <w:r>
        <w:rPr>
          <w:noProof/>
        </w:rPr>
        <w:drawing>
          <wp:anchor distT="0" distB="0" distL="114300" distR="114300" simplePos="0" relativeHeight="251658240" behindDoc="0" locked="0" layoutInCell="1" allowOverlap="1" wp14:anchorId="73128DE6" wp14:editId="0C736C32">
            <wp:simplePos x="0" y="0"/>
            <wp:positionH relativeFrom="column">
              <wp:posOffset>4690110</wp:posOffset>
            </wp:positionH>
            <wp:positionV relativeFrom="paragraph">
              <wp:posOffset>0</wp:posOffset>
            </wp:positionV>
            <wp:extent cx="4592320" cy="4788535"/>
            <wp:effectExtent l="0" t="0" r="0" b="0"/>
            <wp:wrapThrough wrapText="bothSides">
              <wp:wrapPolygon edited="0">
                <wp:start x="0" y="0"/>
                <wp:lineTo x="0" y="21483"/>
                <wp:lineTo x="21504" y="21483"/>
                <wp:lineTo x="21504"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92320" cy="4788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5515">
        <w:rPr>
          <w:noProof/>
        </w:rPr>
        <w:drawing>
          <wp:inline distT="0" distB="0" distL="0" distR="0" wp14:anchorId="20EC7C57" wp14:editId="7632668B">
            <wp:extent cx="4536831" cy="455451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62239" cy="4580026"/>
                    </a:xfrm>
                    <a:prstGeom prst="rect">
                      <a:avLst/>
                    </a:prstGeom>
                    <a:noFill/>
                    <a:ln>
                      <a:noFill/>
                    </a:ln>
                  </pic:spPr>
                </pic:pic>
              </a:graphicData>
            </a:graphic>
          </wp:inline>
        </w:drawing>
      </w:r>
      <w:r w:rsidRPr="00F448F2">
        <w:rPr>
          <w:lang w:val="fr-CH"/>
        </w:rPr>
        <w:t xml:space="preserve"> </w:t>
      </w:r>
    </w:p>
    <w:p w:rsidR="00CE66C0" w:rsidP="00CE66C0" w:rsidRDefault="00CE66C0" w14:paraId="2E334E76" w14:textId="77777777">
      <w:pPr>
        <w:rPr>
          <w:lang w:val="fr-CH"/>
        </w:rPr>
      </w:pPr>
      <w:r w:rsidRPr="005C4081">
        <w:rPr>
          <w:b/>
          <w:i/>
          <w:lang w:val="fr-CH"/>
        </w:rPr>
        <w:t>Modèles sur d’autres cultures</w:t>
      </w:r>
      <w:r>
        <w:rPr>
          <w:b/>
          <w:i/>
          <w:lang w:val="fr-CH"/>
        </w:rPr>
        <w:t xml:space="preserve">. </w:t>
      </w:r>
      <w:r>
        <w:rPr>
          <w:lang w:val="fr-CH"/>
        </w:rPr>
        <w:t xml:space="preserve">Une modèle d’évaluation des risques concernant </w:t>
      </w:r>
      <w:r w:rsidRPr="005C4081">
        <w:rPr>
          <w:i/>
          <w:lang w:val="fr-CH"/>
        </w:rPr>
        <w:t>Phytophthora infestans</w:t>
      </w:r>
      <w:r>
        <w:rPr>
          <w:i/>
          <w:lang w:val="fr-CH"/>
        </w:rPr>
        <w:t xml:space="preserve"> </w:t>
      </w:r>
      <w:r w:rsidRPr="004B356D">
        <w:rPr>
          <w:lang w:val="fr-CH"/>
        </w:rPr>
        <w:t>(NEGFRY)</w:t>
      </w:r>
      <w:r>
        <w:rPr>
          <w:lang w:val="fr-CH"/>
        </w:rPr>
        <w:t xml:space="preserve"> </w:t>
      </w:r>
      <w:r>
        <w:rPr>
          <w:lang w:val="fr-CH"/>
        </w:rPr>
        <w:fldChar w:fldCharType="begin"/>
      </w:r>
      <w:r>
        <w:rPr>
          <w:lang w:val="fr-CH"/>
        </w:rPr>
        <w:instrText xml:space="preserve"> ADDIN EN.CITE &lt;EndNote&gt;&lt;Cite&gt;&lt;Author&gt;Hansen&lt;/Author&gt;&lt;Year&gt;1995&lt;/Year&gt;&lt;RecNum&gt;47&lt;/RecNum&gt;&lt;DisplayText&gt;(Hansen et al., 1995)&lt;/DisplayText&gt;&lt;record&gt;&lt;rec-number&gt;47&lt;/rec-number&gt;&lt;foreign-keys&gt;&lt;key app="EN" db-id="ztsx2rzelztrs2ez5f9pwfswwsx0pxa92rdz" timestamp="1623659334"&gt;47&lt;/key&gt;&lt;/foreign-keys&gt;&lt;ref-type name="Journal Article"&gt;17&lt;/ref-type&gt;&lt;contributors&gt;&lt;authors&gt;&lt;author&gt;Hansen, J. G.&lt;/author&gt;&lt;author&gt;Andersson, B.&lt;/author&gt;&lt;author&gt;Hermansen, A.&lt;/author&gt;&lt;/authors&gt;&lt;/contributors&gt;&lt;titles&gt;&lt;title&gt;NEGFRY- A system for scheduling chemical control of late blight in potatoes&lt;/title&gt;&lt;secondary-title&gt;In: Phytophthora infestans 150: European Association for Potato Research (EAPR)&lt;/secondary-title&gt;&lt;/titles&gt;&lt;periodical&gt;&lt;full-title&gt;In: Phytophthora infestans 150: European Association for Potato Research (EAPR)&lt;/full-title&gt;&lt;/periodical&gt;&lt;pages&gt;201-208&lt;/pages&gt;&lt;dates&gt;&lt;year&gt;1995&lt;/year&gt;&lt;/dates&gt;&lt;urls&gt;&lt;/urls&gt;&lt;/record&gt;&lt;/Cite&gt;&lt;/EndNote&gt;</w:instrText>
      </w:r>
      <w:r>
        <w:rPr>
          <w:lang w:val="fr-CH"/>
        </w:rPr>
        <w:fldChar w:fldCharType="separate"/>
      </w:r>
      <w:r>
        <w:rPr>
          <w:noProof/>
          <w:lang w:val="fr-CH"/>
        </w:rPr>
        <w:t>(Hansen et al., 1995)</w:t>
      </w:r>
      <w:r>
        <w:rPr>
          <w:lang w:val="fr-CH"/>
        </w:rPr>
        <w:fldChar w:fldCharType="end"/>
      </w:r>
      <w:r>
        <w:rPr>
          <w:lang w:val="fr-CH"/>
        </w:rPr>
        <w:t xml:space="preserve">, responsable du mildiou de la pomme de terre, existe. Ce modèle pourrait être pertinent pour le mildiou du concombre car les conditions climatiques favorables aux deux maladies sont très semblables. Ce modèle est basé sur des enregistrements météorologiques relativement simples (température, humidité relative et pluies). Ce modèle comporte deux « évaluateurs » : un premier modèle élaboré par </w:t>
      </w:r>
      <w:r>
        <w:rPr>
          <w:lang w:val="fr-CH"/>
        </w:rPr>
        <w:fldChar w:fldCharType="begin"/>
      </w:r>
      <w:r>
        <w:rPr>
          <w:lang w:val="fr-CH"/>
        </w:rPr>
        <w:instrText xml:space="preserve"> ADDIN EN.CITE &lt;EndNote&gt;&lt;Cite AuthorYear="1"&gt;&lt;Author&gt;Fry&lt;/Author&gt;&lt;Year&gt;1983&lt;/Year&gt;&lt;RecNum&gt;48&lt;/RecNum&gt;&lt;DisplayText&gt;Fry et al. (1983)&lt;/DisplayText&gt;&lt;record&gt;&lt;rec-number&gt;48&lt;/rec-number&gt;&lt;foreign-keys&gt;&lt;key app="EN" db-id="ztsx2rzelztrs2ez5f9pwfswwsx0pxa92rdz" timestamp="1623660644"&gt;48&lt;/key&gt;&lt;/foreign-keys&gt;&lt;ref-type name="Journal Article"&gt;17&lt;/ref-type&gt;&lt;contributors&gt;&lt;authors&gt;&lt;author&gt;Fry, W. E.&lt;/author&gt;&lt;author&gt;Apple, A. E.&lt;/author&gt;&lt;author&gt;Bruhn, J. A.&lt;/author&gt;&lt;/authors&gt;&lt;/contributors&gt;&lt;titles&gt;&lt;title&gt;Evaluation of potato late blight forecasts modified to incorporate host resistance and fungicide weathering&lt;/title&gt;&lt;secondary-title&gt;Phytopathology &lt;/secondary-title&gt;&lt;/titles&gt;&lt;pages&gt;1054-1059&lt;/pages&gt;&lt;volume&gt;73&lt;/volume&gt;&lt;dates&gt;&lt;year&gt;1983&lt;/year&gt;&lt;/dates&gt;&lt;urls&gt;&lt;/urls&gt;&lt;/record&gt;&lt;/Cite&gt;&lt;/EndNote&gt;</w:instrText>
      </w:r>
      <w:r>
        <w:rPr>
          <w:lang w:val="fr-CH"/>
        </w:rPr>
        <w:fldChar w:fldCharType="separate"/>
      </w:r>
      <w:r>
        <w:rPr>
          <w:noProof/>
          <w:lang w:val="fr-CH"/>
        </w:rPr>
        <w:t>Fry et al. (1983)</w:t>
      </w:r>
      <w:r>
        <w:rPr>
          <w:lang w:val="fr-CH"/>
        </w:rPr>
        <w:fldChar w:fldCharType="end"/>
      </w:r>
      <w:r>
        <w:rPr>
          <w:lang w:val="fr-CH"/>
        </w:rPr>
        <w:t xml:space="preserve"> et qui prédit la mise en œuvre des traitements phytosanitaires après un certain seuil et un deuxième modèle élaboré par </w:t>
      </w:r>
      <w:r>
        <w:rPr>
          <w:lang w:val="fr-CH"/>
        </w:rPr>
        <w:fldChar w:fldCharType="begin"/>
      </w:r>
      <w:r>
        <w:rPr>
          <w:lang w:val="fr-CH"/>
        </w:rPr>
        <w:instrText xml:space="preserve"> ADDIN EN.CITE &lt;EndNote&gt;&lt;Cite AuthorYear="1"&gt;&lt;Author&gt;Ullrich&lt;/Author&gt;&lt;Year&gt;1966&lt;/Year&gt;&lt;RecNum&gt;49&lt;/RecNum&gt;&lt;DisplayText&gt;Ullrich and Schrodter (1966)&lt;/DisplayText&gt;&lt;record&gt;&lt;rec-number&gt;49&lt;/rec-number&gt;&lt;foreign-keys&gt;&lt;key app="EN" db-id="ztsx2rzelztrs2ez5f9pwfswwsx0pxa92rdz" timestamp="1623660711"&gt;49&lt;/key&gt;&lt;/foreign-keys&gt;&lt;ref-type name="Journal Article"&gt;17&lt;/ref-type&gt;&lt;contributors&gt;&lt;authors&gt;&lt;author&gt;Ullrich, J.&lt;/author&gt;&lt;author&gt;Schrodter, H.&lt;/author&gt;&lt;/authors&gt;&lt;/contributors&gt;&lt;titles&gt;&lt;title&gt;Das problem der vorhersage des aufretens der kartoffelkrautfaule ((Phytophthorainfestans) und die moglichkeit seiner losung durch eine negativprognose&lt;/title&gt;&lt;secondary-title&gt;Nachrichtenblatt Dt. Pflanzenschutzdienst (Braunschweig) &lt;/secondary-title&gt;&lt;/titles&gt;&lt;pages&gt;33-40&lt;/pages&gt;&lt;volume&gt;18&lt;/volume&gt;&lt;dates&gt;&lt;year&gt;1966&lt;/year&gt;&lt;/dates&gt;&lt;urls&gt;&lt;/urls&gt;&lt;/record&gt;&lt;/Cite&gt;&lt;/EndNote&gt;</w:instrText>
      </w:r>
      <w:r>
        <w:rPr>
          <w:lang w:val="fr-CH"/>
        </w:rPr>
        <w:fldChar w:fldCharType="separate"/>
      </w:r>
      <w:r>
        <w:rPr>
          <w:noProof/>
          <w:lang w:val="fr-CH"/>
        </w:rPr>
        <w:t>Ullrich and Schrodter (1966)</w:t>
      </w:r>
      <w:r>
        <w:rPr>
          <w:lang w:val="fr-CH"/>
        </w:rPr>
        <w:fldChar w:fldCharType="end"/>
      </w:r>
      <w:r>
        <w:rPr>
          <w:lang w:val="fr-CH"/>
        </w:rPr>
        <w:t xml:space="preserve"> qui permet de prédire l’occurrence d’une infestation par le mildiou. Pour calculer le risque selon </w:t>
      </w:r>
      <w:r>
        <w:rPr>
          <w:lang w:val="fr-CH"/>
        </w:rPr>
        <w:fldChar w:fldCharType="begin"/>
      </w:r>
      <w:r>
        <w:rPr>
          <w:lang w:val="fr-CH"/>
        </w:rPr>
        <w:instrText xml:space="preserve"> ADDIN EN.CITE &lt;EndNote&gt;&lt;Cite AuthorYear="1"&gt;&lt;Author&gt;Ullrich&lt;/Author&gt;&lt;Year&gt;1966&lt;/Year&gt;&lt;RecNum&gt;49&lt;/RecNum&gt;&lt;DisplayText&gt;Ullrich and Schrodter (1966)&lt;/DisplayText&gt;&lt;record&gt;&lt;rec-number&gt;49&lt;/rec-number&gt;&lt;foreign-keys&gt;&lt;key app="EN" db-id="ztsx2rzelztrs2ez5f9pwfswwsx0pxa92rdz" timestamp="1623660711"&gt;49&lt;/key&gt;&lt;/foreign-keys&gt;&lt;ref-type name="Journal Article"&gt;17&lt;/ref-type&gt;&lt;contributors&gt;&lt;authors&gt;&lt;author&gt;Ullrich, J.&lt;/author&gt;&lt;author&gt;Schrodter, H.&lt;/author&gt;&lt;/authors&gt;&lt;/contributors&gt;&lt;titles&gt;&lt;title&gt;Das problem der vorhersage des aufretens der kartoffelkrautfaule ((Phytophthorainfestans) und die moglichkeit seiner losung durch eine negativprognose&lt;/title&gt;&lt;secondary-title&gt;Nachrichtenblatt Dt. Pflanzenschutzdienst (Braunschweig) &lt;/secondary-title&gt;&lt;/titles&gt;&lt;pages&gt;33-40&lt;/pages&gt;&lt;volume&gt;18&lt;/volume&gt;&lt;dates&gt;&lt;year&gt;1966&lt;/year&gt;&lt;/dates&gt;&lt;urls&gt;&lt;/urls&gt;&lt;/record&gt;&lt;/Cite&gt;&lt;/EndNote&gt;</w:instrText>
      </w:r>
      <w:r>
        <w:rPr>
          <w:lang w:val="fr-CH"/>
        </w:rPr>
        <w:fldChar w:fldCharType="separate"/>
      </w:r>
      <w:r>
        <w:rPr>
          <w:noProof/>
          <w:lang w:val="fr-CH"/>
        </w:rPr>
        <w:t>Ullrich and Schrodter (1966)</w:t>
      </w:r>
      <w:r>
        <w:rPr>
          <w:lang w:val="fr-CH"/>
        </w:rPr>
        <w:fldChar w:fldCharType="end"/>
      </w:r>
      <w:r>
        <w:rPr>
          <w:lang w:val="fr-CH"/>
        </w:rPr>
        <w:t>, il faut comme données : le nombres d’heures pendant lesquelles la température est comprise dans une certaine gamme de valeurs (h), le nombre d’heures pendant lesquelles l’humidité relative est supérieure à 90% (RH) ou les précipitations sont supérieures ou égales à 0.1mm/h. Pour chaque gamme de température, un facteur multiplicatif existe (r) (</w:t>
      </w:r>
      <w:r>
        <w:rPr>
          <w:lang w:val="fr-CH"/>
        </w:rPr>
        <w:fldChar w:fldCharType="begin"/>
      </w:r>
      <w:r>
        <w:rPr>
          <w:lang w:val="fr-CH"/>
        </w:rPr>
        <w:instrText xml:space="preserve"> REF _Ref74650763 \h </w:instrText>
      </w:r>
      <w:r>
        <w:rPr>
          <w:lang w:val="fr-CH"/>
        </w:rPr>
      </w:r>
      <w:r>
        <w:rPr>
          <w:lang w:val="fr-CH"/>
        </w:rPr>
        <w:fldChar w:fldCharType="separate"/>
      </w:r>
      <w:r w:rsidRPr="00497C44" w:rsidR="008F23E5">
        <w:rPr>
          <w:lang w:val="fr-CH"/>
        </w:rPr>
        <w:t xml:space="preserve">Table </w:t>
      </w:r>
      <w:r w:rsidR="008F23E5">
        <w:rPr>
          <w:noProof/>
          <w:lang w:val="fr-CH"/>
        </w:rPr>
        <w:t>3</w:t>
      </w:r>
      <w:r>
        <w:rPr>
          <w:lang w:val="fr-CH"/>
        </w:rPr>
        <w:fldChar w:fldCharType="end"/>
      </w:r>
      <w:r>
        <w:rPr>
          <w:lang w:val="fr-CH"/>
        </w:rPr>
        <w:t>). Enfin, il ne faut considérer les conditions que si un certains nombres d’heures cumulées ont été atteintes pour une gamme de température et d’HR. Concrètement, il faut que plus de 4h ou 10h d’une gamme de température cumulées dans des conditions d’HR&gt;90% pour que les heures soient prises en compte dans le calcul du risque.</w:t>
      </w:r>
      <w:r w:rsidRPr="00923844">
        <w:rPr>
          <w:lang w:val="fr-CH"/>
        </w:rPr>
        <w:t xml:space="preserve"> </w:t>
      </w:r>
      <w:r>
        <w:rPr>
          <w:lang w:val="fr-CH"/>
        </w:rPr>
        <w:t xml:space="preserve">Le calcul permettant </w:t>
      </w:r>
      <w:r w:rsidR="00502F42">
        <w:rPr>
          <w:lang w:val="fr-CH"/>
        </w:rPr>
        <w:t>ainsi</w:t>
      </w:r>
      <w:r>
        <w:rPr>
          <w:lang w:val="fr-CH"/>
        </w:rPr>
        <w:t xml:space="preserve"> d’évaluer le risque de mildiou est le suivant :</w:t>
      </w:r>
    </w:p>
    <w:p w:rsidRPr="00497C44" w:rsidR="00CE66C0" w:rsidP="00CE66C0" w:rsidRDefault="00CE66C0" w14:paraId="0155E3E1" w14:textId="77777777">
      <w:pPr>
        <w:rPr>
          <w:lang w:val="fr-CH"/>
        </w:rPr>
      </w:pPr>
    </w:p>
    <w:p w:rsidRPr="00395888" w:rsidR="00CE66C0" w:rsidP="00CE66C0" w:rsidRDefault="00CE66C0" w14:paraId="5713EE80" w14:textId="3D15FBD5">
      <w:pPr>
        <w:rPr>
          <w:lang w:val="fr-CH"/>
        </w:rPr>
      </w:pPr>
      <w:r w:rsidRPr="00497C44">
        <w:rPr>
          <w:lang w:val="fr-CH"/>
        </w:rPr>
        <w:t xml:space="preserve">     </w:t>
      </w:r>
      <m:oMath>
        <m:r>
          <w:rPr>
            <w:rFonts w:ascii="Cambria Math" w:hAnsi="Cambria Math"/>
            <w:lang w:val="fr-CH"/>
          </w:rPr>
          <m:t xml:space="preserve">Valeur Risque mildiou </m:t>
        </m:r>
        <m:d>
          <m:dPr>
            <m:ctrlPr>
              <w:rPr>
                <w:rFonts w:ascii="Cambria Math" w:hAnsi="Cambria Math"/>
                <w:i/>
                <w:lang w:val="fr-CH"/>
              </w:rPr>
            </m:ctrlPr>
          </m:dPr>
          <m:e>
            <m:r>
              <w:rPr>
                <w:rFonts w:ascii="Cambria Math" w:hAnsi="Cambria Math"/>
                <w:lang w:val="fr-CH"/>
              </w:rPr>
              <m:t>VRM</m:t>
            </m:r>
          </m:e>
        </m:d>
        <m:r>
          <w:rPr>
            <w:rFonts w:ascii="Cambria Math" w:hAnsi="Cambria Math"/>
            <w:lang w:val="fr-CH"/>
          </w:rPr>
          <m:t xml:space="preserve">= </m:t>
        </m:r>
        <m:nary>
          <m:naryPr>
            <m:chr m:val="∑"/>
            <m:limLoc m:val="undOvr"/>
            <m:ctrlPr>
              <w:rPr>
                <w:rFonts w:ascii="Cambria Math" w:hAnsi="Cambria Math"/>
                <w:i/>
                <w:lang w:val="fr-CH"/>
              </w:rPr>
            </m:ctrlPr>
          </m:naryPr>
          <m:sub>
            <m:r>
              <w:rPr>
                <w:rFonts w:ascii="Cambria Math" w:hAnsi="Cambria Math"/>
                <w:lang w:val="fr-CH"/>
              </w:rPr>
              <m:t>i=12</m:t>
            </m:r>
          </m:sub>
          <m:sup>
            <m:r>
              <w:rPr>
                <w:rFonts w:ascii="Cambria Math" w:hAnsi="Cambria Math"/>
                <w:lang w:val="fr-CH"/>
              </w:rPr>
              <m:t>i=1</m:t>
            </m:r>
          </m:sup>
          <m:e>
            <m:d>
              <m:dPr>
                <m:begChr m:val="{"/>
                <m:endChr m:val="}"/>
                <m:ctrlPr>
                  <w:rPr>
                    <w:rFonts w:ascii="Cambria Math" w:hAnsi="Cambria Math"/>
                    <w:i/>
                    <w:lang w:val="fr-CH"/>
                  </w:rPr>
                </m:ctrlPr>
              </m:dPr>
              <m:e>
                <m:sSub>
                  <m:sSubPr>
                    <m:ctrlPr>
                      <w:rPr>
                        <w:rFonts w:ascii="Cambria Math" w:hAnsi="Cambria Math"/>
                        <w:i/>
                        <w:lang w:val="fr-CH"/>
                      </w:rPr>
                    </m:ctrlPr>
                  </m:sSubPr>
                  <m:e>
                    <m:r>
                      <w:rPr>
                        <w:rFonts w:ascii="Cambria Math" w:hAnsi="Cambria Math"/>
                        <w:lang w:val="fr-CH"/>
                      </w:rPr>
                      <m:t>r</m:t>
                    </m:r>
                  </m:e>
                  <m:sub>
                    <m:r>
                      <w:rPr>
                        <w:rFonts w:ascii="Cambria Math" w:hAnsi="Cambria Math"/>
                        <w:lang w:val="fr-CH"/>
                      </w:rPr>
                      <m:t>i</m:t>
                    </m:r>
                  </m:sub>
                </m:sSub>
                <m:r>
                  <w:rPr>
                    <w:rFonts w:ascii="Cambria Math" w:hAnsi="Cambria Math"/>
                    <w:lang w:val="fr-CH"/>
                  </w:rPr>
                  <m:t>*</m:t>
                </m:r>
                <m:sSub>
                  <m:sSubPr>
                    <m:ctrlPr>
                      <w:rPr>
                        <w:rFonts w:ascii="Cambria Math" w:hAnsi="Cambria Math"/>
                        <w:i/>
                      </w:rPr>
                    </m:ctrlPr>
                  </m:sSubPr>
                  <m:e>
                    <m:r>
                      <w:rPr>
                        <w:rFonts w:ascii="Cambria Math" w:hAnsi="Cambria Math"/>
                        <w:lang w:val="fr-CH"/>
                      </w:rPr>
                      <m:t>h</m:t>
                    </m:r>
                  </m:e>
                  <m:sub>
                    <m:r>
                      <w:rPr>
                        <w:rFonts w:ascii="Cambria Math" w:hAnsi="Cambria Math"/>
                      </w:rPr>
                      <m:t>i</m:t>
                    </m:r>
                  </m:sub>
                </m:sSub>
              </m:e>
            </m:d>
            <m:r>
              <w:rPr>
                <w:rFonts w:ascii="Cambria Math" w:hAnsi="Cambria Math"/>
                <w:lang w:val="fr-CH"/>
              </w:rPr>
              <m:t>+</m:t>
            </m:r>
            <m:d>
              <m:dPr>
                <m:begChr m:val="["/>
                <m:endChr m:val="]"/>
                <m:ctrlPr>
                  <w:rPr>
                    <w:rFonts w:ascii="Cambria Math" w:hAnsi="Cambria Math"/>
                    <w:i/>
                    <w:lang w:val="fr-CH"/>
                  </w:rPr>
                </m:ctrlPr>
              </m:dPr>
              <m:e>
                <m:d>
                  <m:dPr>
                    <m:begChr m:val="{"/>
                    <m:endChr m:val="}"/>
                    <m:ctrlPr>
                      <w:rPr>
                        <w:rFonts w:ascii="Cambria Math" w:hAnsi="Cambria Math"/>
                        <w:i/>
                        <w:lang w:val="fr-CH"/>
                      </w:rPr>
                    </m:ctrlPr>
                  </m:dPr>
                  <m:e>
                    <m:sSub>
                      <m:sSubPr>
                        <m:ctrlPr>
                          <w:rPr>
                            <w:rFonts w:ascii="Cambria Math" w:hAnsi="Cambria Math"/>
                            <w:i/>
                            <w:lang w:val="fr-CH"/>
                          </w:rPr>
                        </m:ctrlPr>
                      </m:sSubPr>
                      <m:e>
                        <m:r>
                          <w:rPr>
                            <w:rFonts w:ascii="Cambria Math" w:hAnsi="Cambria Math"/>
                            <w:lang w:val="fr-CH"/>
                          </w:rPr>
                          <m:t>r</m:t>
                        </m:r>
                      </m:e>
                      <m:sub>
                        <m:r>
                          <w:rPr>
                            <w:rFonts w:ascii="Cambria Math" w:hAnsi="Cambria Math"/>
                            <w:lang w:val="fr-CH"/>
                          </w:rPr>
                          <m:t>13</m:t>
                        </m:r>
                      </m:sub>
                    </m:sSub>
                    <m:r>
                      <w:rPr>
                        <w:rFonts w:ascii="Cambria Math" w:hAnsi="Cambria Math"/>
                        <w:lang w:val="fr-CH"/>
                      </w:rPr>
                      <m:t>*</m:t>
                    </m:r>
                    <m:sSub>
                      <m:sSubPr>
                        <m:ctrlPr>
                          <w:rPr>
                            <w:rFonts w:ascii="Cambria Math" w:hAnsi="Cambria Math"/>
                            <w:i/>
                          </w:rPr>
                        </m:ctrlPr>
                      </m:sSubPr>
                      <m:e>
                        <m:r>
                          <w:rPr>
                            <w:rFonts w:ascii="Cambria Math" w:hAnsi="Cambria Math"/>
                            <w:lang w:val="fr-CH"/>
                          </w:rPr>
                          <m:t>h</m:t>
                        </m:r>
                      </m:e>
                      <m:sub>
                        <m:r>
                          <w:rPr>
                            <w:rFonts w:ascii="Cambria Math" w:hAnsi="Cambria Math"/>
                            <w:lang w:val="fr-CH"/>
                          </w:rPr>
                          <m:t>13</m:t>
                        </m:r>
                      </m:sub>
                    </m:sSub>
                  </m:e>
                </m:d>
                <m:r>
                  <w:rPr>
                    <w:rFonts w:ascii="Cambria Math" w:hAnsi="Cambria Math"/>
                    <w:lang w:val="fr-CH"/>
                  </w:rPr>
                  <m:t>+cste</m:t>
                </m:r>
              </m:e>
            </m:d>
            <m:r>
              <w:rPr>
                <w:rFonts w:ascii="Cambria Math" w:hAnsi="Cambria Math"/>
                <w:lang w:val="fr-CH"/>
              </w:rPr>
              <m:t>+</m:t>
            </m:r>
            <m:d>
              <m:dPr>
                <m:begChr m:val="["/>
                <m:endChr m:val="]"/>
                <m:ctrlPr>
                  <w:rPr>
                    <w:rFonts w:ascii="Cambria Math" w:hAnsi="Cambria Math"/>
                    <w:i/>
                    <w:lang w:val="fr-CH"/>
                  </w:rPr>
                </m:ctrlPr>
              </m:dPr>
              <m:e>
                <m:d>
                  <m:dPr>
                    <m:begChr m:val="{"/>
                    <m:endChr m:val="}"/>
                    <m:ctrlPr>
                      <w:rPr>
                        <w:rFonts w:ascii="Cambria Math" w:hAnsi="Cambria Math"/>
                        <w:i/>
                        <w:lang w:val="fr-CH"/>
                      </w:rPr>
                    </m:ctrlPr>
                  </m:dPr>
                  <m:e>
                    <m:sSub>
                      <m:sSubPr>
                        <m:ctrlPr>
                          <w:rPr>
                            <w:rFonts w:ascii="Cambria Math" w:hAnsi="Cambria Math"/>
                            <w:i/>
                            <w:lang w:val="fr-CH"/>
                          </w:rPr>
                        </m:ctrlPr>
                      </m:sSubPr>
                      <m:e>
                        <m:r>
                          <w:rPr>
                            <w:rFonts w:ascii="Cambria Math" w:hAnsi="Cambria Math"/>
                            <w:lang w:val="fr-CH"/>
                          </w:rPr>
                          <m:t>r</m:t>
                        </m:r>
                      </m:e>
                      <m:sub>
                        <m:r>
                          <w:rPr>
                            <w:rFonts w:ascii="Cambria Math" w:hAnsi="Cambria Math"/>
                            <w:lang w:val="fr-CH"/>
                          </w:rPr>
                          <m:t>14</m:t>
                        </m:r>
                      </m:sub>
                    </m:sSub>
                    <m:r>
                      <w:rPr>
                        <w:rFonts w:ascii="Cambria Math" w:hAnsi="Cambria Math"/>
                        <w:lang w:val="fr-CH"/>
                      </w:rPr>
                      <m:t>*</m:t>
                    </m:r>
                    <m:sSub>
                      <m:sSubPr>
                        <m:ctrlPr>
                          <w:rPr>
                            <w:rFonts w:ascii="Cambria Math" w:hAnsi="Cambria Math"/>
                            <w:i/>
                          </w:rPr>
                        </m:ctrlPr>
                      </m:sSubPr>
                      <m:e>
                        <m:r>
                          <w:rPr>
                            <w:rFonts w:ascii="Cambria Math" w:hAnsi="Cambria Math"/>
                            <w:lang w:val="fr-CH"/>
                          </w:rPr>
                          <m:t>h</m:t>
                        </m:r>
                      </m:e>
                      <m:sub>
                        <m:r>
                          <w:rPr>
                            <w:rFonts w:ascii="Cambria Math" w:hAnsi="Cambria Math"/>
                            <w:lang w:val="fr-CH"/>
                          </w:rPr>
                          <m:t>14</m:t>
                        </m:r>
                      </m:sub>
                    </m:sSub>
                  </m:e>
                </m:d>
                <m:r>
                  <w:rPr>
                    <w:rFonts w:ascii="Cambria Math" w:hAnsi="Cambria Math"/>
                    <w:lang w:val="fr-CH"/>
                  </w:rPr>
                  <m:t>-cste</m:t>
                </m:r>
              </m:e>
            </m:d>
          </m:e>
        </m:nary>
      </m:oMath>
    </w:p>
    <w:p w:rsidRPr="00395888" w:rsidR="00CE66C0" w:rsidP="00CE66C0" w:rsidRDefault="00CE66C0" w14:paraId="153B1605" w14:textId="77777777">
      <w:pPr>
        <w:rPr>
          <w:lang w:val="fr-CH"/>
        </w:rPr>
      </w:pPr>
    </w:p>
    <w:p w:rsidRPr="00074865" w:rsidR="00CE66C0" w:rsidP="00CE66C0" w:rsidRDefault="00CE66C0" w14:paraId="16C8738B" w14:textId="77777777">
      <w:pPr>
        <w:pStyle w:val="Sansinterligne"/>
        <w:jc w:val="center"/>
        <w:rPr>
          <w:i/>
          <w:lang w:val="fr-CH"/>
        </w:rPr>
      </w:pPr>
      <w:r w:rsidRPr="00074865">
        <w:rPr>
          <w:b/>
          <w:i/>
          <w:lang w:val="fr-CH"/>
        </w:rPr>
        <w:t>i</w:t>
      </w:r>
      <w:r w:rsidRPr="00074865">
        <w:rPr>
          <w:i/>
          <w:lang w:val="fr-CH"/>
        </w:rPr>
        <w:t xml:space="preserve"> : incrémentation des conditions requises dans la </w:t>
      </w:r>
      <w:r>
        <w:rPr>
          <w:i/>
          <w:lang w:val="fr-CH"/>
        </w:rPr>
        <w:fldChar w:fldCharType="begin"/>
      </w:r>
      <w:r>
        <w:rPr>
          <w:i/>
          <w:lang w:val="fr-CH"/>
        </w:rPr>
        <w:instrText xml:space="preserve"> REF _Ref74650763 \h </w:instrText>
      </w:r>
      <w:r>
        <w:rPr>
          <w:i/>
          <w:lang w:val="fr-CH"/>
        </w:rPr>
      </w:r>
      <w:r>
        <w:rPr>
          <w:i/>
          <w:lang w:val="fr-CH"/>
        </w:rPr>
        <w:fldChar w:fldCharType="separate"/>
      </w:r>
      <w:r w:rsidRPr="00497C44" w:rsidR="008F23E5">
        <w:rPr>
          <w:lang w:val="fr-CH"/>
        </w:rPr>
        <w:t xml:space="preserve">Table </w:t>
      </w:r>
      <w:r w:rsidR="008F23E5">
        <w:rPr>
          <w:noProof/>
          <w:lang w:val="fr-CH"/>
        </w:rPr>
        <w:t>3</w:t>
      </w:r>
      <w:r>
        <w:rPr>
          <w:i/>
          <w:lang w:val="fr-CH"/>
        </w:rPr>
        <w:fldChar w:fldCharType="end"/>
      </w:r>
      <w:r w:rsidRPr="00074865">
        <w:rPr>
          <w:i/>
          <w:lang w:val="fr-CH"/>
        </w:rPr>
        <w:t xml:space="preserve">. </w:t>
      </w:r>
      <w:r w:rsidRPr="00074865">
        <w:rPr>
          <w:b/>
          <w:i/>
          <w:lang w:val="fr-CH"/>
        </w:rPr>
        <w:t>r</w:t>
      </w:r>
      <w:r w:rsidRPr="00074865">
        <w:rPr>
          <w:i/>
          <w:lang w:val="fr-CH"/>
        </w:rPr>
        <w:t xml:space="preserve"> : facteur de multiplication correspondant aux différentes gammes de températures. </w:t>
      </w:r>
      <w:r w:rsidRPr="00074865">
        <w:rPr>
          <w:b/>
          <w:i/>
          <w:lang w:val="fr-CH"/>
        </w:rPr>
        <w:t>h</w:t>
      </w:r>
      <w:r w:rsidRPr="00074865">
        <w:rPr>
          <w:i/>
          <w:lang w:val="fr-CH"/>
        </w:rPr>
        <w:t xml:space="preserve"> : </w:t>
      </w:r>
      <w:r w:rsidRPr="00074865">
        <w:rPr>
          <w:rFonts w:ascii="Calibri" w:hAnsi="Calibri" w:eastAsia="Times New Roman"/>
          <w:i/>
          <w:color w:val="000000"/>
          <w:szCs w:val="18"/>
          <w:lang w:val="fr-CH"/>
        </w:rPr>
        <w:t xml:space="preserve">Nombre d'heures où les températures moyennes horaires se situent dans cette plage de températures et où d'autres conditions (RH&gt;90% ou pluie ≥ 0.1mm/h) doivent être remplies pour les index 1 à12. Pour </w:t>
      </w:r>
      <w:r w:rsidRPr="00074865">
        <w:rPr>
          <w:rFonts w:ascii="Calibri" w:hAnsi="Calibri" w:eastAsia="Times New Roman"/>
          <w:b/>
          <w:i/>
          <w:color w:val="000000"/>
          <w:szCs w:val="18"/>
          <w:lang w:val="fr-CH"/>
        </w:rPr>
        <w:t>h</w:t>
      </w:r>
      <w:r w:rsidRPr="00074865">
        <w:rPr>
          <w:rFonts w:ascii="Calibri" w:hAnsi="Calibri" w:eastAsia="Times New Roman"/>
          <w:b/>
          <w:i/>
          <w:color w:val="000000"/>
          <w:szCs w:val="18"/>
          <w:vertAlign w:val="subscript"/>
          <w:lang w:val="fr-CH"/>
        </w:rPr>
        <w:t>13</w:t>
      </w:r>
      <w:r w:rsidRPr="00074865">
        <w:rPr>
          <w:rFonts w:ascii="Calibri" w:hAnsi="Calibri" w:eastAsia="Times New Roman"/>
          <w:i/>
          <w:color w:val="000000"/>
          <w:szCs w:val="18"/>
          <w:lang w:val="fr-CH"/>
        </w:rPr>
        <w:t xml:space="preserve"> et </w:t>
      </w:r>
      <w:r w:rsidRPr="00074865">
        <w:rPr>
          <w:rFonts w:ascii="Calibri" w:hAnsi="Calibri" w:eastAsia="Times New Roman"/>
          <w:b/>
          <w:i/>
          <w:color w:val="000000"/>
          <w:szCs w:val="18"/>
          <w:lang w:val="fr-CH"/>
        </w:rPr>
        <w:t>h</w:t>
      </w:r>
      <w:r w:rsidRPr="00074865">
        <w:rPr>
          <w:rFonts w:ascii="Calibri" w:hAnsi="Calibri" w:eastAsia="Times New Roman"/>
          <w:b/>
          <w:i/>
          <w:color w:val="000000"/>
          <w:szCs w:val="18"/>
          <w:vertAlign w:val="subscript"/>
          <w:lang w:val="fr-CH"/>
        </w:rPr>
        <w:t>14</w:t>
      </w:r>
      <w:r w:rsidRPr="00074865">
        <w:rPr>
          <w:rFonts w:ascii="Calibri" w:hAnsi="Calibri" w:eastAsia="Times New Roman"/>
          <w:i/>
          <w:color w:val="000000"/>
          <w:szCs w:val="18"/>
          <w:lang w:val="fr-CH"/>
        </w:rPr>
        <w:t xml:space="preserve">, aucune conditions d’HR n’est exigée, il convient d’ajouter une valeur constante (cste = 7.8624) au produit </w:t>
      </w:r>
      <m:oMath>
        <m:d>
          <m:dPr>
            <m:begChr m:val="{"/>
            <m:endChr m:val="}"/>
            <m:ctrlPr>
              <w:rPr>
                <w:rFonts w:ascii="Cambria Math" w:hAnsi="Cambria Math"/>
                <w:i/>
                <w:sz w:val="20"/>
                <w:lang w:val="fr-CH"/>
              </w:rPr>
            </m:ctrlPr>
          </m:dPr>
          <m:e>
            <m:sSub>
              <m:sSubPr>
                <m:ctrlPr>
                  <w:rPr>
                    <w:rFonts w:ascii="Cambria Math" w:hAnsi="Cambria Math"/>
                    <w:i/>
                    <w:sz w:val="20"/>
                    <w:lang w:val="fr-CH"/>
                  </w:rPr>
                </m:ctrlPr>
              </m:sSubPr>
              <m:e>
                <m:r>
                  <w:rPr>
                    <w:rFonts w:ascii="Cambria Math" w:hAnsi="Cambria Math"/>
                    <w:lang w:val="fr-CH"/>
                  </w:rPr>
                  <m:t>r</m:t>
                </m:r>
              </m:e>
              <m:sub>
                <m:r>
                  <w:rPr>
                    <w:rFonts w:ascii="Cambria Math" w:hAnsi="Cambria Math"/>
                    <w:lang w:val="fr-CH"/>
                  </w:rPr>
                  <m:t>13</m:t>
                </m:r>
              </m:sub>
            </m:sSub>
            <m:r>
              <w:rPr>
                <w:rFonts w:ascii="Cambria Math" w:hAnsi="Cambria Math"/>
                <w:lang w:val="fr-CH"/>
              </w:rPr>
              <m:t>*</m:t>
            </m:r>
            <m:sSub>
              <m:sSubPr>
                <m:ctrlPr>
                  <w:rPr>
                    <w:rFonts w:ascii="Cambria Math" w:hAnsi="Cambria Math"/>
                    <w:i/>
                    <w:sz w:val="20"/>
                  </w:rPr>
                </m:ctrlPr>
              </m:sSubPr>
              <m:e>
                <m:r>
                  <w:rPr>
                    <w:rFonts w:ascii="Cambria Math" w:hAnsi="Cambria Math"/>
                    <w:lang w:val="fr-CH"/>
                  </w:rPr>
                  <m:t>h</m:t>
                </m:r>
              </m:e>
              <m:sub>
                <m:r>
                  <w:rPr>
                    <w:rFonts w:ascii="Cambria Math" w:hAnsi="Cambria Math"/>
                    <w:lang w:val="fr-CH"/>
                  </w:rPr>
                  <m:t>13</m:t>
                </m:r>
              </m:sub>
            </m:sSub>
          </m:e>
        </m:d>
      </m:oMath>
      <w:r w:rsidRPr="00074865">
        <w:rPr>
          <w:rFonts w:ascii="Calibri" w:hAnsi="Calibri" w:eastAsia="Times New Roman"/>
          <w:i/>
          <w:color w:val="000000"/>
          <w:szCs w:val="18"/>
          <w:lang w:val="fr-CH"/>
        </w:rPr>
        <w:t xml:space="preserve"> ou de la soustraire au produit </w:t>
      </w:r>
      <m:oMath>
        <m:d>
          <m:dPr>
            <m:begChr m:val="{"/>
            <m:endChr m:val="}"/>
            <m:ctrlPr>
              <w:rPr>
                <w:rFonts w:ascii="Cambria Math" w:hAnsi="Cambria Math"/>
                <w:i/>
                <w:sz w:val="20"/>
                <w:lang w:val="fr-CH"/>
              </w:rPr>
            </m:ctrlPr>
          </m:dPr>
          <m:e>
            <m:sSub>
              <m:sSubPr>
                <m:ctrlPr>
                  <w:rPr>
                    <w:rFonts w:ascii="Cambria Math" w:hAnsi="Cambria Math"/>
                    <w:i/>
                    <w:sz w:val="20"/>
                    <w:lang w:val="fr-CH"/>
                  </w:rPr>
                </m:ctrlPr>
              </m:sSubPr>
              <m:e>
                <m:r>
                  <w:rPr>
                    <w:rFonts w:ascii="Cambria Math" w:hAnsi="Cambria Math"/>
                    <w:lang w:val="fr-CH"/>
                  </w:rPr>
                  <m:t>r</m:t>
                </m:r>
              </m:e>
              <m:sub>
                <m:r>
                  <w:rPr>
                    <w:rFonts w:ascii="Cambria Math" w:hAnsi="Cambria Math"/>
                    <w:lang w:val="fr-CH"/>
                  </w:rPr>
                  <m:t>14</m:t>
                </m:r>
              </m:sub>
            </m:sSub>
            <m:r>
              <w:rPr>
                <w:rFonts w:ascii="Cambria Math" w:hAnsi="Cambria Math"/>
                <w:lang w:val="fr-CH"/>
              </w:rPr>
              <m:t>*</m:t>
            </m:r>
            <m:sSub>
              <m:sSubPr>
                <m:ctrlPr>
                  <w:rPr>
                    <w:rFonts w:ascii="Cambria Math" w:hAnsi="Cambria Math"/>
                    <w:i/>
                    <w:sz w:val="20"/>
                  </w:rPr>
                </m:ctrlPr>
              </m:sSubPr>
              <m:e>
                <m:r>
                  <w:rPr>
                    <w:rFonts w:ascii="Cambria Math" w:hAnsi="Cambria Math"/>
                    <w:lang w:val="fr-CH"/>
                  </w:rPr>
                  <m:t>h</m:t>
                </m:r>
              </m:e>
              <m:sub>
                <m:r>
                  <w:rPr>
                    <w:rFonts w:ascii="Cambria Math" w:hAnsi="Cambria Math"/>
                    <w:lang w:val="fr-CH"/>
                  </w:rPr>
                  <m:t>14</m:t>
                </m:r>
              </m:sub>
            </m:sSub>
          </m:e>
        </m:d>
        <m:r>
          <w:rPr>
            <w:rFonts w:ascii="Cambria Math" w:hAnsi="Cambria Math"/>
            <w:lang w:val="fr-CH"/>
          </w:rPr>
          <m:t>.</m:t>
        </m:r>
      </m:oMath>
    </w:p>
    <w:p w:rsidRPr="00497C44" w:rsidR="00CE66C0" w:rsidP="00CE66C0" w:rsidRDefault="00CE66C0" w14:paraId="49914BD7" w14:textId="77777777">
      <w:pPr>
        <w:rPr>
          <w:lang w:val="fr-CH"/>
        </w:rPr>
      </w:pPr>
    </w:p>
    <w:p w:rsidRPr="00733B5A" w:rsidR="00CE66C0" w:rsidP="00CE66C0" w:rsidRDefault="00CE66C0" w14:paraId="66175284" w14:textId="77777777">
      <w:pPr>
        <w:pStyle w:val="Sansinterligne"/>
        <w:rPr>
          <w:lang w:val="fr-CH"/>
        </w:rPr>
      </w:pPr>
      <w:bookmarkStart w:name="_Ref74650763" w:id="0"/>
      <w:bookmarkStart w:name="_Toc75426423" w:id="1"/>
      <w:r w:rsidRPr="00497C44">
        <w:rPr>
          <w:lang w:val="fr-CH"/>
        </w:rPr>
        <w:t xml:space="preserve">Table </w:t>
      </w:r>
      <w:r>
        <w:fldChar w:fldCharType="begin"/>
      </w:r>
      <w:r w:rsidRPr="00497C44">
        <w:rPr>
          <w:lang w:val="fr-CH"/>
        </w:rPr>
        <w:instrText xml:space="preserve"> SEQ Table \* ARABIC </w:instrText>
      </w:r>
      <w:r>
        <w:fldChar w:fldCharType="separate"/>
      </w:r>
      <w:r w:rsidR="008F23E5">
        <w:rPr>
          <w:noProof/>
          <w:lang w:val="fr-CH"/>
        </w:rPr>
        <w:t>3</w:t>
      </w:r>
      <w:r>
        <w:fldChar w:fldCharType="end"/>
      </w:r>
      <w:bookmarkEnd w:id="0"/>
      <w:r w:rsidRPr="00497C44">
        <w:rPr>
          <w:lang w:val="fr-CH"/>
        </w:rPr>
        <w:t xml:space="preserve">. </w:t>
      </w:r>
      <w:r w:rsidRPr="00733B5A">
        <w:rPr>
          <w:lang w:val="fr-CH"/>
        </w:rPr>
        <w:t>Valeur du risqu</w:t>
      </w:r>
      <w:r>
        <w:rPr>
          <w:lang w:val="fr-CH"/>
        </w:rPr>
        <w:t>e d’occurrence</w:t>
      </w:r>
      <w:r w:rsidRPr="00733B5A">
        <w:rPr>
          <w:lang w:val="fr-CH"/>
        </w:rPr>
        <w:t xml:space="preserve"> du mildiou. </w:t>
      </w:r>
      <w:r>
        <w:rPr>
          <w:lang w:val="fr-CH"/>
        </w:rPr>
        <w:t>Index (i) : incrémentation des conditions requises dans le tableau. r : facteur de multiplication correspondant aux différentes gammes de températures. Gamme de T°C : gammes de températures pour lesquelles il convient de compter le cumul des heures si les conditions requises d’HR sont remplies.</w:t>
      </w:r>
      <w:bookmarkEnd w:id="1"/>
      <w:r>
        <w:rPr>
          <w:lang w:val="fr-CH"/>
        </w:rPr>
        <w:t xml:space="preserve">   </w:t>
      </w:r>
    </w:p>
    <w:tbl>
      <w:tblPr>
        <w:tblW w:w="9912" w:type="dxa"/>
        <w:tblInd w:w="-5" w:type="dxa"/>
        <w:tblLook w:val="04A0" w:firstRow="1" w:lastRow="0" w:firstColumn="1" w:lastColumn="0" w:noHBand="0" w:noVBand="1"/>
      </w:tblPr>
      <w:tblGrid>
        <w:gridCol w:w="851"/>
        <w:gridCol w:w="142"/>
        <w:gridCol w:w="1096"/>
        <w:gridCol w:w="60"/>
        <w:gridCol w:w="1982"/>
        <w:gridCol w:w="952"/>
        <w:gridCol w:w="891"/>
        <w:gridCol w:w="3268"/>
        <w:gridCol w:w="670"/>
      </w:tblGrid>
      <w:tr w:rsidRPr="00D47ED3" w:rsidR="00CE66C0" w:rsidTr="00CE66C0" w14:paraId="4F1DAEA4" w14:textId="77777777">
        <w:trPr>
          <w:trHeight w:val="720"/>
        </w:trPr>
        <w:tc>
          <w:tcPr>
            <w:tcW w:w="851" w:type="dxa"/>
            <w:vMerge w:val="restart"/>
            <w:tcBorders>
              <w:top w:val="single" w:color="auto" w:sz="4" w:space="0"/>
              <w:left w:val="single" w:color="auto" w:sz="4" w:space="0"/>
              <w:right w:val="single" w:color="auto" w:sz="4" w:space="0"/>
            </w:tcBorders>
            <w:shd w:val="clear" w:color="000000" w:fill="FFFFFF"/>
            <w:vAlign w:val="center"/>
            <w:hideMark/>
          </w:tcPr>
          <w:p w:rsidRPr="00497C44" w:rsidR="00CE66C0" w:rsidP="00CE66C0" w:rsidRDefault="00CE66C0" w14:paraId="27C582DF" w14:textId="77777777">
            <w:pPr>
              <w:spacing w:line="240" w:lineRule="auto"/>
              <w:jc w:val="center"/>
              <w:rPr>
                <w:rFonts w:ascii="Calibri" w:hAnsi="Calibri" w:eastAsia="Times New Roman"/>
                <w:color w:val="000000"/>
                <w:sz w:val="18"/>
                <w:szCs w:val="18"/>
                <w:lang w:val="fr-CH"/>
              </w:rPr>
            </w:pPr>
            <w:r>
              <w:rPr>
                <w:rFonts w:ascii="Calibri" w:hAnsi="Calibri" w:eastAsia="Times New Roman"/>
                <w:color w:val="000000"/>
                <w:sz w:val="18"/>
                <w:szCs w:val="18"/>
                <w:lang w:val="fr-CH"/>
              </w:rPr>
              <w:t>Index (i)</w:t>
            </w:r>
          </w:p>
        </w:tc>
        <w:tc>
          <w:tcPr>
            <w:tcW w:w="1238" w:type="dxa"/>
            <w:gridSpan w:val="2"/>
            <w:vMerge w:val="restart"/>
            <w:tcBorders>
              <w:top w:val="single" w:color="auto" w:sz="4" w:space="0"/>
              <w:left w:val="single" w:color="auto" w:sz="4" w:space="0"/>
              <w:right w:val="single" w:color="auto" w:sz="4" w:space="0"/>
            </w:tcBorders>
            <w:shd w:val="clear" w:color="000000" w:fill="FFFFFF"/>
            <w:vAlign w:val="center"/>
          </w:tcPr>
          <w:p w:rsidRPr="00497C44" w:rsidR="00CE66C0" w:rsidP="00CE66C0" w:rsidRDefault="00CE66C0" w14:paraId="5F3A7496" w14:textId="77777777">
            <w:pPr>
              <w:spacing w:line="240" w:lineRule="auto"/>
              <w:rPr>
                <w:rFonts w:ascii="Calibri" w:hAnsi="Calibri" w:eastAsia="Times New Roman"/>
                <w:color w:val="000000"/>
                <w:sz w:val="18"/>
                <w:szCs w:val="18"/>
                <w:lang w:val="fr-CH"/>
              </w:rPr>
            </w:pPr>
            <w:r w:rsidRPr="00497C44">
              <w:rPr>
                <w:rFonts w:ascii="Calibri" w:hAnsi="Calibri" w:eastAsia="Times New Roman"/>
                <w:color w:val="000000"/>
                <w:sz w:val="18"/>
                <w:szCs w:val="18"/>
                <w:lang w:val="fr-CH"/>
              </w:rPr>
              <w:t>Multiplication factor (r)</w:t>
            </w:r>
          </w:p>
        </w:tc>
        <w:tc>
          <w:tcPr>
            <w:tcW w:w="3885" w:type="dxa"/>
            <w:gridSpan w:val="4"/>
            <w:tcBorders>
              <w:top w:val="single" w:color="auto" w:sz="4" w:space="0"/>
              <w:left w:val="single" w:color="auto" w:sz="4" w:space="0"/>
              <w:bottom w:val="single" w:color="auto" w:sz="4" w:space="0"/>
              <w:right w:val="single" w:color="auto" w:sz="4" w:space="0"/>
            </w:tcBorders>
            <w:shd w:val="clear" w:color="000000" w:fill="FFFFFF"/>
            <w:vAlign w:val="center"/>
            <w:hideMark/>
          </w:tcPr>
          <w:p w:rsidRPr="00733B5A" w:rsidR="00CE66C0" w:rsidP="00CE66C0" w:rsidRDefault="00CE66C0" w14:paraId="60977495" w14:textId="77777777">
            <w:pPr>
              <w:spacing w:line="240" w:lineRule="auto"/>
              <w:rPr>
                <w:rFonts w:ascii="Calibri" w:hAnsi="Calibri" w:eastAsia="Times New Roman"/>
                <w:color w:val="000000"/>
                <w:sz w:val="18"/>
                <w:szCs w:val="18"/>
                <w:lang w:val="fr-CH"/>
              </w:rPr>
            </w:pPr>
            <w:r w:rsidRPr="00733B5A">
              <w:rPr>
                <w:rFonts w:ascii="Calibri" w:hAnsi="Calibri" w:eastAsia="Times New Roman"/>
                <w:color w:val="000000"/>
                <w:sz w:val="18"/>
                <w:szCs w:val="18"/>
                <w:lang w:val="fr-CH"/>
              </w:rPr>
              <w:t>Nombre d'heures où les températures moyennes horaires se situent dans cette plage (h), o</w:t>
            </w:r>
            <w:r>
              <w:rPr>
                <w:rFonts w:ascii="Calibri" w:hAnsi="Calibri" w:eastAsia="Times New Roman"/>
                <w:color w:val="000000"/>
                <w:sz w:val="18"/>
                <w:szCs w:val="18"/>
                <w:lang w:val="fr-CH"/>
              </w:rPr>
              <w:t>ù</w:t>
            </w:r>
            <w:r w:rsidRPr="00733B5A">
              <w:rPr>
                <w:rFonts w:ascii="Calibri" w:hAnsi="Calibri" w:eastAsia="Times New Roman"/>
                <w:color w:val="000000"/>
                <w:sz w:val="18"/>
                <w:szCs w:val="18"/>
                <w:lang w:val="fr-CH"/>
              </w:rPr>
              <w:t xml:space="preserve"> d'autres conditions</w:t>
            </w:r>
            <w:r>
              <w:rPr>
                <w:rFonts w:ascii="Calibri" w:hAnsi="Calibri" w:eastAsia="Times New Roman"/>
                <w:color w:val="000000"/>
                <w:sz w:val="18"/>
                <w:szCs w:val="18"/>
                <w:lang w:val="fr-CH"/>
              </w:rPr>
              <w:t xml:space="preserve"> (RH&gt;90% ou pluie ≥ 0.1mm/h)</w:t>
            </w:r>
            <w:r w:rsidRPr="00733B5A">
              <w:rPr>
                <w:rFonts w:ascii="Calibri" w:hAnsi="Calibri" w:eastAsia="Times New Roman"/>
                <w:color w:val="000000"/>
                <w:sz w:val="18"/>
                <w:szCs w:val="18"/>
                <w:lang w:val="fr-CH"/>
              </w:rPr>
              <w:t xml:space="preserve"> doivent être remplies</w:t>
            </w:r>
            <w:r>
              <w:rPr>
                <w:rFonts w:ascii="Calibri" w:hAnsi="Calibri" w:eastAsia="Times New Roman"/>
                <w:color w:val="000000"/>
                <w:sz w:val="18"/>
                <w:szCs w:val="18"/>
                <w:lang w:val="fr-CH"/>
              </w:rPr>
              <w:t xml:space="preserve"> pour les index 1 à12.</w:t>
            </w:r>
            <w:r w:rsidRPr="00733B5A">
              <w:rPr>
                <w:rFonts w:ascii="Calibri" w:hAnsi="Calibri" w:eastAsia="Times New Roman"/>
                <w:color w:val="000000"/>
                <w:sz w:val="18"/>
                <w:szCs w:val="18"/>
                <w:lang w:val="fr-CH"/>
              </w:rPr>
              <w:t> </w:t>
            </w:r>
          </w:p>
        </w:tc>
        <w:tc>
          <w:tcPr>
            <w:tcW w:w="3268" w:type="dxa"/>
            <w:vMerge w:val="restart"/>
            <w:tcBorders>
              <w:top w:val="single" w:color="auto" w:sz="4" w:space="0"/>
              <w:left w:val="nil"/>
              <w:right w:val="single" w:color="auto" w:sz="4" w:space="0"/>
            </w:tcBorders>
            <w:shd w:val="clear" w:color="000000" w:fill="FFFFFF"/>
            <w:vAlign w:val="center"/>
            <w:hideMark/>
          </w:tcPr>
          <w:p w:rsidRPr="00733B5A" w:rsidR="00CE66C0" w:rsidP="00CE66C0" w:rsidRDefault="00CE66C0" w14:paraId="2D606D05" w14:textId="77777777">
            <w:pPr>
              <w:spacing w:line="240" w:lineRule="auto"/>
              <w:jc w:val="center"/>
              <w:rPr>
                <w:rFonts w:ascii="Calibri" w:hAnsi="Calibri" w:eastAsia="Times New Roman"/>
                <w:color w:val="000000"/>
                <w:sz w:val="18"/>
                <w:szCs w:val="18"/>
                <w:lang w:val="fr-CH"/>
              </w:rPr>
            </w:pPr>
            <w:r w:rsidRPr="00733B5A">
              <w:rPr>
                <w:rFonts w:ascii="Calibri" w:hAnsi="Calibri" w:eastAsia="Times New Roman"/>
                <w:color w:val="000000"/>
                <w:sz w:val="18"/>
                <w:szCs w:val="18"/>
                <w:lang w:val="fr-CH"/>
              </w:rPr>
              <w:t>Exigences relatives à l'HR ou aux précipitations, ou autres conditions à respecter </w:t>
            </w:r>
          </w:p>
        </w:tc>
        <w:tc>
          <w:tcPr>
            <w:tcW w:w="670" w:type="dxa"/>
            <w:vMerge w:val="restart"/>
            <w:tcBorders>
              <w:top w:val="single" w:color="auto" w:sz="4" w:space="0"/>
              <w:left w:val="nil"/>
              <w:right w:val="single" w:color="auto" w:sz="4" w:space="0"/>
            </w:tcBorders>
            <w:shd w:val="clear" w:color="000000" w:fill="FFFFFF"/>
            <w:vAlign w:val="center"/>
            <w:hideMark/>
          </w:tcPr>
          <w:p w:rsidRPr="007A474D" w:rsidR="00CE66C0" w:rsidP="00CE66C0" w:rsidRDefault="00CE66C0" w14:paraId="67431A14" w14:textId="77777777">
            <w:pPr>
              <w:spacing w:line="240" w:lineRule="auto"/>
              <w:rPr>
                <w:rFonts w:ascii="Calibri" w:hAnsi="Calibri" w:eastAsia="Times New Roman"/>
                <w:color w:val="000000"/>
                <w:sz w:val="18"/>
                <w:szCs w:val="18"/>
                <w:lang w:val="fr-CH"/>
              </w:rPr>
            </w:pPr>
            <w:r w:rsidRPr="007A474D">
              <w:rPr>
                <w:rFonts w:ascii="Calibri" w:hAnsi="Calibri" w:eastAsia="Times New Roman"/>
                <w:color w:val="000000"/>
                <w:sz w:val="18"/>
                <w:szCs w:val="18"/>
                <w:lang w:val="fr-CH"/>
              </w:rPr>
              <w:t>Calcul Index du risque selon l'ex.</w:t>
            </w:r>
          </w:p>
          <w:p w:rsidRPr="007A474D" w:rsidR="00CE66C0" w:rsidP="00CE66C0" w:rsidRDefault="00CE66C0" w14:paraId="144C5320" w14:textId="77777777">
            <w:pPr>
              <w:spacing w:line="240" w:lineRule="auto"/>
              <w:jc w:val="center"/>
              <w:rPr>
                <w:rFonts w:ascii="Calibri" w:hAnsi="Calibri" w:eastAsia="Times New Roman"/>
                <w:color w:val="000000"/>
                <w:sz w:val="18"/>
                <w:szCs w:val="18"/>
                <w:lang w:val="fr-CH"/>
              </w:rPr>
            </w:pPr>
            <w:r w:rsidRPr="007A474D">
              <w:rPr>
                <w:rFonts w:ascii="Calibri" w:hAnsi="Calibri" w:eastAsia="Times New Roman"/>
                <w:color w:val="000000"/>
                <w:sz w:val="18"/>
                <w:szCs w:val="18"/>
                <w:lang w:val="fr-CH"/>
              </w:rPr>
              <w:t> </w:t>
            </w:r>
          </w:p>
        </w:tc>
      </w:tr>
      <w:tr w:rsidRPr="00D47ED3" w:rsidR="00CE66C0" w:rsidTr="00CE66C0" w14:paraId="219BD4C6" w14:textId="77777777">
        <w:trPr>
          <w:trHeight w:val="480"/>
        </w:trPr>
        <w:tc>
          <w:tcPr>
            <w:tcW w:w="851" w:type="dxa"/>
            <w:vMerge/>
            <w:tcBorders>
              <w:left w:val="single" w:color="auto" w:sz="4" w:space="0"/>
              <w:bottom w:val="single" w:color="auto" w:sz="4" w:space="0"/>
              <w:right w:val="single" w:color="auto" w:sz="4" w:space="0"/>
            </w:tcBorders>
            <w:shd w:val="clear" w:color="000000" w:fill="FFFFFF"/>
            <w:vAlign w:val="center"/>
            <w:hideMark/>
          </w:tcPr>
          <w:p w:rsidRPr="007A474D" w:rsidR="00CE66C0" w:rsidP="00CE66C0" w:rsidRDefault="00CE66C0" w14:paraId="40C1B660" w14:textId="77777777">
            <w:pPr>
              <w:spacing w:line="240" w:lineRule="auto"/>
              <w:jc w:val="center"/>
              <w:rPr>
                <w:rFonts w:ascii="Calibri" w:hAnsi="Calibri" w:eastAsia="Times New Roman"/>
                <w:color w:val="000000"/>
                <w:sz w:val="18"/>
                <w:szCs w:val="18"/>
                <w:lang w:val="fr-CH"/>
              </w:rPr>
            </w:pPr>
          </w:p>
        </w:tc>
        <w:tc>
          <w:tcPr>
            <w:tcW w:w="1238" w:type="dxa"/>
            <w:gridSpan w:val="2"/>
            <w:vMerge/>
            <w:tcBorders>
              <w:left w:val="single" w:color="auto" w:sz="4" w:space="0"/>
              <w:bottom w:val="single" w:color="auto" w:sz="4" w:space="0"/>
              <w:right w:val="single" w:color="auto" w:sz="4" w:space="0"/>
            </w:tcBorders>
            <w:shd w:val="clear" w:color="000000" w:fill="FFFFFF"/>
          </w:tcPr>
          <w:p w:rsidRPr="001356C9" w:rsidR="00CE66C0" w:rsidP="00CE66C0" w:rsidRDefault="00CE66C0" w14:paraId="627E50D2" w14:textId="77777777">
            <w:pPr>
              <w:spacing w:line="240" w:lineRule="auto"/>
              <w:jc w:val="center"/>
              <w:rPr>
                <w:rFonts w:ascii="Calibri" w:hAnsi="Calibri" w:eastAsia="Times New Roman"/>
                <w:color w:val="000000"/>
                <w:sz w:val="18"/>
                <w:szCs w:val="18"/>
                <w:lang w:val="fr-CH"/>
              </w:rPr>
            </w:pPr>
          </w:p>
        </w:tc>
        <w:tc>
          <w:tcPr>
            <w:tcW w:w="2042" w:type="dxa"/>
            <w:gridSpan w:val="2"/>
            <w:tcBorders>
              <w:top w:val="nil"/>
              <w:left w:val="single" w:color="auto" w:sz="4" w:space="0"/>
              <w:bottom w:val="single" w:color="auto" w:sz="4" w:space="0"/>
              <w:right w:val="single" w:color="auto" w:sz="4" w:space="0"/>
            </w:tcBorders>
            <w:shd w:val="clear" w:color="000000" w:fill="FFFFFF"/>
            <w:vAlign w:val="center"/>
            <w:hideMark/>
          </w:tcPr>
          <w:p w:rsidRPr="00733B5A" w:rsidR="00CE66C0" w:rsidP="00CE66C0" w:rsidRDefault="00CE66C0" w14:paraId="22EF813A" w14:textId="77777777">
            <w:pPr>
              <w:spacing w:line="240" w:lineRule="auto"/>
              <w:jc w:val="center"/>
              <w:rPr>
                <w:rFonts w:ascii="Calibri" w:hAnsi="Calibri" w:eastAsia="Times New Roman"/>
                <w:color w:val="000000"/>
                <w:sz w:val="18"/>
                <w:szCs w:val="18"/>
                <w:lang w:val="fr-CH"/>
              </w:rPr>
            </w:pPr>
            <w:r w:rsidRPr="00733B5A">
              <w:rPr>
                <w:rFonts w:ascii="Calibri" w:hAnsi="Calibri" w:eastAsia="Times New Roman"/>
                <w:color w:val="000000"/>
                <w:sz w:val="18"/>
                <w:szCs w:val="18"/>
                <w:lang w:val="fr-CH"/>
              </w:rPr>
              <w:t>Gamme de T°C</w:t>
            </w:r>
          </w:p>
        </w:tc>
        <w:tc>
          <w:tcPr>
            <w:tcW w:w="1843" w:type="dxa"/>
            <w:gridSpan w:val="2"/>
            <w:tcBorders>
              <w:top w:val="nil"/>
              <w:left w:val="nil"/>
              <w:bottom w:val="single" w:color="auto" w:sz="4" w:space="0"/>
              <w:right w:val="single" w:color="auto" w:sz="4" w:space="0"/>
            </w:tcBorders>
            <w:shd w:val="clear" w:color="auto" w:fill="D9D9D9" w:themeFill="background1" w:themeFillShade="D9"/>
            <w:vAlign w:val="center"/>
            <w:hideMark/>
          </w:tcPr>
          <w:p w:rsidRPr="007A474D" w:rsidR="00CE66C0" w:rsidP="00CE66C0" w:rsidRDefault="00CE66C0" w14:paraId="593D47FD" w14:textId="77777777">
            <w:pPr>
              <w:spacing w:line="240" w:lineRule="auto"/>
              <w:jc w:val="center"/>
              <w:rPr>
                <w:rFonts w:ascii="Calibri" w:hAnsi="Calibri" w:eastAsia="Times New Roman"/>
                <w:color w:val="000000"/>
                <w:sz w:val="18"/>
                <w:szCs w:val="18"/>
                <w:lang w:val="fr-CH"/>
              </w:rPr>
            </w:pPr>
            <w:r w:rsidRPr="007A474D">
              <w:rPr>
                <w:rFonts w:ascii="Calibri" w:hAnsi="Calibri" w:eastAsia="Times New Roman"/>
                <w:color w:val="000000"/>
                <w:sz w:val="18"/>
                <w:szCs w:val="18"/>
                <w:lang w:val="fr-CH"/>
              </w:rPr>
              <w:t>Ex. de valeurs (nb d'heures)</w:t>
            </w:r>
          </w:p>
        </w:tc>
        <w:tc>
          <w:tcPr>
            <w:tcW w:w="3268" w:type="dxa"/>
            <w:vMerge/>
            <w:tcBorders>
              <w:left w:val="nil"/>
              <w:bottom w:val="single" w:color="auto" w:sz="4" w:space="0"/>
              <w:right w:val="single" w:color="auto" w:sz="4" w:space="0"/>
            </w:tcBorders>
            <w:shd w:val="clear" w:color="000000" w:fill="FFFFFF"/>
            <w:vAlign w:val="center"/>
            <w:hideMark/>
          </w:tcPr>
          <w:p w:rsidRPr="007A474D" w:rsidR="00CE66C0" w:rsidP="00CE66C0" w:rsidRDefault="00CE66C0" w14:paraId="1EFF9E69" w14:textId="77777777">
            <w:pPr>
              <w:spacing w:line="240" w:lineRule="auto"/>
              <w:jc w:val="center"/>
              <w:rPr>
                <w:rFonts w:ascii="Calibri" w:hAnsi="Calibri" w:eastAsia="Times New Roman"/>
                <w:color w:val="000000"/>
                <w:sz w:val="18"/>
                <w:szCs w:val="18"/>
                <w:lang w:val="fr-CH"/>
              </w:rPr>
            </w:pPr>
          </w:p>
        </w:tc>
        <w:tc>
          <w:tcPr>
            <w:tcW w:w="670" w:type="dxa"/>
            <w:vMerge/>
            <w:tcBorders>
              <w:left w:val="nil"/>
              <w:bottom w:val="single" w:color="auto" w:sz="4" w:space="0"/>
              <w:right w:val="single" w:color="auto" w:sz="4" w:space="0"/>
            </w:tcBorders>
            <w:shd w:val="clear" w:color="000000" w:fill="FFFFFF"/>
            <w:vAlign w:val="center"/>
            <w:hideMark/>
          </w:tcPr>
          <w:p w:rsidRPr="007A474D" w:rsidR="00CE66C0" w:rsidP="00CE66C0" w:rsidRDefault="00CE66C0" w14:paraId="4F6CF264" w14:textId="77777777">
            <w:pPr>
              <w:spacing w:line="240" w:lineRule="auto"/>
              <w:jc w:val="center"/>
              <w:rPr>
                <w:rFonts w:ascii="Calibri" w:hAnsi="Calibri" w:eastAsia="Times New Roman"/>
                <w:color w:val="000000"/>
                <w:sz w:val="18"/>
                <w:szCs w:val="18"/>
                <w:lang w:val="fr-CH"/>
              </w:rPr>
            </w:pPr>
          </w:p>
        </w:tc>
      </w:tr>
      <w:tr w:rsidRPr="007A474D" w:rsidR="00CE66C0" w:rsidTr="00CE66C0" w14:paraId="465DD7A8" w14:textId="77777777">
        <w:trPr>
          <w:trHeight w:val="285"/>
        </w:trPr>
        <w:tc>
          <w:tcPr>
            <w:tcW w:w="851" w:type="dxa"/>
            <w:tcBorders>
              <w:top w:val="nil"/>
              <w:left w:val="single" w:color="auto" w:sz="4" w:space="0"/>
              <w:bottom w:val="single" w:color="auto" w:sz="4" w:space="0"/>
              <w:right w:val="single" w:color="auto" w:sz="4" w:space="0"/>
            </w:tcBorders>
            <w:shd w:val="clear" w:color="000000" w:fill="FFFFFF"/>
            <w:vAlign w:val="center"/>
          </w:tcPr>
          <w:p w:rsidRPr="007A474D" w:rsidR="00CE66C0" w:rsidP="00CE66C0" w:rsidRDefault="00CE66C0" w14:paraId="723E7FBA" w14:textId="77777777">
            <w:pPr>
              <w:spacing w:line="240" w:lineRule="auto"/>
              <w:jc w:val="center"/>
              <w:rPr>
                <w:rFonts w:ascii="Calibri" w:hAnsi="Calibri" w:eastAsia="Times New Roman"/>
                <w:color w:val="000000"/>
                <w:sz w:val="18"/>
                <w:szCs w:val="18"/>
              </w:rPr>
            </w:pPr>
            <w:r>
              <w:rPr>
                <w:rFonts w:ascii="Calibri" w:hAnsi="Calibri" w:eastAsia="Times New Roman"/>
                <w:color w:val="000000"/>
                <w:sz w:val="18"/>
                <w:szCs w:val="18"/>
              </w:rPr>
              <w:t>1</w:t>
            </w:r>
          </w:p>
        </w:tc>
        <w:tc>
          <w:tcPr>
            <w:tcW w:w="1238" w:type="dxa"/>
            <w:gridSpan w:val="2"/>
            <w:tcBorders>
              <w:top w:val="single" w:color="auto" w:sz="4" w:space="0"/>
              <w:left w:val="nil"/>
              <w:bottom w:val="single" w:color="auto" w:sz="4" w:space="0"/>
              <w:right w:val="single" w:color="auto" w:sz="4" w:space="0"/>
            </w:tcBorders>
            <w:shd w:val="clear" w:color="000000" w:fill="FFFFFF"/>
            <w:vAlign w:val="center"/>
          </w:tcPr>
          <w:p w:rsidRPr="007A474D" w:rsidR="00CE66C0" w:rsidP="00CE66C0" w:rsidRDefault="00CE66C0" w14:paraId="62B6ED91"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0.899</w:t>
            </w:r>
          </w:p>
        </w:tc>
        <w:tc>
          <w:tcPr>
            <w:tcW w:w="2042" w:type="dxa"/>
            <w:gridSpan w:val="2"/>
            <w:tcBorders>
              <w:top w:val="nil"/>
              <w:left w:val="single" w:color="auto" w:sz="4" w:space="0"/>
              <w:bottom w:val="single" w:color="auto" w:sz="4" w:space="0"/>
              <w:right w:val="single" w:color="auto" w:sz="4" w:space="0"/>
            </w:tcBorders>
            <w:shd w:val="clear" w:color="000000" w:fill="FFFFFF"/>
            <w:vAlign w:val="center"/>
            <w:hideMark/>
          </w:tcPr>
          <w:p w:rsidRPr="007A474D" w:rsidR="00CE66C0" w:rsidP="00CE66C0" w:rsidRDefault="00CE66C0" w14:paraId="1EC4BC34"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10.0 - 11.9</w:t>
            </w:r>
          </w:p>
        </w:tc>
        <w:tc>
          <w:tcPr>
            <w:tcW w:w="1843" w:type="dxa"/>
            <w:gridSpan w:val="2"/>
            <w:tcBorders>
              <w:top w:val="nil"/>
              <w:left w:val="nil"/>
              <w:bottom w:val="single" w:color="auto" w:sz="4" w:space="0"/>
              <w:right w:val="single" w:color="auto" w:sz="4" w:space="0"/>
            </w:tcBorders>
            <w:shd w:val="clear" w:color="auto" w:fill="D9D9D9" w:themeFill="background1" w:themeFillShade="D9"/>
            <w:vAlign w:val="center"/>
            <w:hideMark/>
          </w:tcPr>
          <w:p w:rsidRPr="007A474D" w:rsidR="00CE66C0" w:rsidP="00CE66C0" w:rsidRDefault="00CE66C0" w14:paraId="7C74D946"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1</w:t>
            </w:r>
          </w:p>
        </w:tc>
        <w:tc>
          <w:tcPr>
            <w:tcW w:w="3268" w:type="dxa"/>
            <w:vMerge w:val="restart"/>
            <w:tcBorders>
              <w:top w:val="nil"/>
              <w:left w:val="single" w:color="auto" w:sz="4" w:space="0"/>
              <w:bottom w:val="single" w:color="auto" w:sz="4" w:space="0"/>
              <w:right w:val="single" w:color="auto" w:sz="4" w:space="0"/>
            </w:tcBorders>
            <w:shd w:val="clear" w:color="000000" w:fill="FFFFFF"/>
            <w:vAlign w:val="center"/>
            <w:hideMark/>
          </w:tcPr>
          <w:p w:rsidRPr="007A474D" w:rsidR="00CE66C0" w:rsidP="00CE66C0" w:rsidRDefault="00CE66C0" w14:paraId="29C05016"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Only count hours that co-occur with 4 or more consecutive hours at RH&gt;=90% or rain</w:t>
            </w:r>
            <w:r>
              <w:rPr>
                <w:rFonts w:ascii="Calibri" w:hAnsi="Calibri" w:eastAsia="Times New Roman"/>
                <w:color w:val="000000"/>
                <w:sz w:val="18"/>
                <w:szCs w:val="18"/>
              </w:rPr>
              <w:t>≥</w:t>
            </w:r>
            <w:r w:rsidRPr="007A474D">
              <w:rPr>
                <w:rFonts w:ascii="Calibri" w:hAnsi="Calibri" w:eastAsia="Times New Roman"/>
                <w:color w:val="000000"/>
                <w:sz w:val="18"/>
                <w:szCs w:val="18"/>
              </w:rPr>
              <w:t>0.1 mm/h</w:t>
            </w:r>
            <w:r>
              <w:rPr>
                <w:rFonts w:ascii="Calibri" w:hAnsi="Calibri" w:eastAsia="Times New Roman"/>
                <w:color w:val="000000"/>
                <w:sz w:val="18"/>
                <w:szCs w:val="18"/>
              </w:rPr>
              <w:t>eure</w:t>
            </w:r>
          </w:p>
        </w:tc>
        <w:tc>
          <w:tcPr>
            <w:tcW w:w="670" w:type="dxa"/>
            <w:tcBorders>
              <w:top w:val="nil"/>
              <w:left w:val="nil"/>
              <w:bottom w:val="single" w:color="auto" w:sz="4" w:space="0"/>
              <w:right w:val="single" w:color="auto" w:sz="4" w:space="0"/>
            </w:tcBorders>
            <w:shd w:val="clear" w:color="auto" w:fill="D9D9D9" w:themeFill="background1" w:themeFillShade="D9"/>
            <w:vAlign w:val="center"/>
            <w:hideMark/>
          </w:tcPr>
          <w:p w:rsidRPr="007A474D" w:rsidR="00CE66C0" w:rsidP="00CE66C0" w:rsidRDefault="00CE66C0" w14:paraId="51CD26FF"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0</w:t>
            </w:r>
          </w:p>
        </w:tc>
      </w:tr>
      <w:tr w:rsidRPr="007A474D" w:rsidR="00CE66C0" w:rsidTr="00CE66C0" w14:paraId="2FBB7B49" w14:textId="77777777">
        <w:trPr>
          <w:trHeight w:val="285"/>
        </w:trPr>
        <w:tc>
          <w:tcPr>
            <w:tcW w:w="851" w:type="dxa"/>
            <w:tcBorders>
              <w:top w:val="nil"/>
              <w:left w:val="single" w:color="auto" w:sz="4" w:space="0"/>
              <w:bottom w:val="single" w:color="auto" w:sz="4" w:space="0"/>
              <w:right w:val="single" w:color="auto" w:sz="4" w:space="0"/>
            </w:tcBorders>
            <w:shd w:val="clear" w:color="000000" w:fill="FFFFFF"/>
            <w:vAlign w:val="center"/>
          </w:tcPr>
          <w:p w:rsidRPr="007A474D" w:rsidR="00CE66C0" w:rsidP="00CE66C0" w:rsidRDefault="00CE66C0" w14:paraId="19272BC3" w14:textId="77777777">
            <w:pPr>
              <w:spacing w:line="240" w:lineRule="auto"/>
              <w:jc w:val="center"/>
              <w:rPr>
                <w:rFonts w:ascii="Calibri" w:hAnsi="Calibri" w:eastAsia="Times New Roman"/>
                <w:color w:val="000000"/>
                <w:sz w:val="18"/>
                <w:szCs w:val="18"/>
              </w:rPr>
            </w:pPr>
            <w:r>
              <w:rPr>
                <w:rFonts w:ascii="Calibri" w:hAnsi="Calibri" w:eastAsia="Times New Roman"/>
                <w:color w:val="000000"/>
                <w:sz w:val="18"/>
                <w:szCs w:val="18"/>
              </w:rPr>
              <w:t>2</w:t>
            </w:r>
          </w:p>
        </w:tc>
        <w:tc>
          <w:tcPr>
            <w:tcW w:w="1238" w:type="dxa"/>
            <w:gridSpan w:val="2"/>
            <w:tcBorders>
              <w:top w:val="single" w:color="auto" w:sz="4" w:space="0"/>
              <w:left w:val="nil"/>
              <w:bottom w:val="single" w:color="auto" w:sz="4" w:space="0"/>
              <w:right w:val="single" w:color="auto" w:sz="4" w:space="0"/>
            </w:tcBorders>
            <w:shd w:val="clear" w:color="000000" w:fill="FFFFFF"/>
            <w:vAlign w:val="center"/>
          </w:tcPr>
          <w:p w:rsidRPr="007A474D" w:rsidR="00CE66C0" w:rsidP="00CE66C0" w:rsidRDefault="00CE66C0" w14:paraId="0EC6A89E"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0.4118</w:t>
            </w:r>
          </w:p>
        </w:tc>
        <w:tc>
          <w:tcPr>
            <w:tcW w:w="2042" w:type="dxa"/>
            <w:gridSpan w:val="2"/>
            <w:tcBorders>
              <w:top w:val="nil"/>
              <w:left w:val="single" w:color="auto" w:sz="4" w:space="0"/>
              <w:bottom w:val="single" w:color="auto" w:sz="4" w:space="0"/>
              <w:right w:val="single" w:color="auto" w:sz="4" w:space="0"/>
            </w:tcBorders>
            <w:shd w:val="clear" w:color="000000" w:fill="FFFFFF"/>
            <w:vAlign w:val="center"/>
            <w:hideMark/>
          </w:tcPr>
          <w:p w:rsidRPr="007A474D" w:rsidR="00CE66C0" w:rsidP="00CE66C0" w:rsidRDefault="00CE66C0" w14:paraId="763F6187"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14.0 - 15.9</w:t>
            </w:r>
          </w:p>
        </w:tc>
        <w:tc>
          <w:tcPr>
            <w:tcW w:w="1843" w:type="dxa"/>
            <w:gridSpan w:val="2"/>
            <w:tcBorders>
              <w:top w:val="nil"/>
              <w:left w:val="nil"/>
              <w:bottom w:val="single" w:color="auto" w:sz="4" w:space="0"/>
              <w:right w:val="single" w:color="auto" w:sz="4" w:space="0"/>
            </w:tcBorders>
            <w:shd w:val="clear" w:color="auto" w:fill="D9D9D9" w:themeFill="background1" w:themeFillShade="D9"/>
            <w:vAlign w:val="center"/>
            <w:hideMark/>
          </w:tcPr>
          <w:p w:rsidRPr="007A474D" w:rsidR="00CE66C0" w:rsidP="00CE66C0" w:rsidRDefault="00CE66C0" w14:paraId="788D77B8"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5</w:t>
            </w:r>
          </w:p>
        </w:tc>
        <w:tc>
          <w:tcPr>
            <w:tcW w:w="3268" w:type="dxa"/>
            <w:vMerge/>
            <w:tcBorders>
              <w:top w:val="nil"/>
              <w:left w:val="single" w:color="auto" w:sz="4" w:space="0"/>
              <w:bottom w:val="single" w:color="auto" w:sz="4" w:space="0"/>
              <w:right w:val="single" w:color="auto" w:sz="4" w:space="0"/>
            </w:tcBorders>
            <w:vAlign w:val="center"/>
            <w:hideMark/>
          </w:tcPr>
          <w:p w:rsidRPr="007A474D" w:rsidR="00CE66C0" w:rsidP="00CE66C0" w:rsidRDefault="00CE66C0" w14:paraId="6636BB76" w14:textId="77777777">
            <w:pPr>
              <w:spacing w:line="240" w:lineRule="auto"/>
              <w:jc w:val="left"/>
              <w:rPr>
                <w:rFonts w:ascii="Calibri" w:hAnsi="Calibri" w:eastAsia="Times New Roman"/>
                <w:color w:val="000000"/>
                <w:sz w:val="18"/>
                <w:szCs w:val="18"/>
              </w:rPr>
            </w:pPr>
          </w:p>
        </w:tc>
        <w:tc>
          <w:tcPr>
            <w:tcW w:w="670" w:type="dxa"/>
            <w:tcBorders>
              <w:top w:val="nil"/>
              <w:left w:val="nil"/>
              <w:bottom w:val="single" w:color="auto" w:sz="4" w:space="0"/>
              <w:right w:val="single" w:color="auto" w:sz="4" w:space="0"/>
            </w:tcBorders>
            <w:shd w:val="clear" w:color="auto" w:fill="D9D9D9" w:themeFill="background1" w:themeFillShade="D9"/>
            <w:vAlign w:val="center"/>
            <w:hideMark/>
          </w:tcPr>
          <w:p w:rsidRPr="007A474D" w:rsidR="00CE66C0" w:rsidP="00CE66C0" w:rsidRDefault="00CE66C0" w14:paraId="5CC2942D"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2</w:t>
            </w:r>
          </w:p>
        </w:tc>
      </w:tr>
      <w:tr w:rsidRPr="007A474D" w:rsidR="00CE66C0" w:rsidTr="00CE66C0" w14:paraId="0C2AE06F" w14:textId="77777777">
        <w:trPr>
          <w:trHeight w:val="285"/>
        </w:trPr>
        <w:tc>
          <w:tcPr>
            <w:tcW w:w="851" w:type="dxa"/>
            <w:tcBorders>
              <w:top w:val="nil"/>
              <w:left w:val="single" w:color="auto" w:sz="4" w:space="0"/>
              <w:bottom w:val="single" w:color="auto" w:sz="4" w:space="0"/>
              <w:right w:val="single" w:color="auto" w:sz="4" w:space="0"/>
            </w:tcBorders>
            <w:shd w:val="clear" w:color="000000" w:fill="FFFFFF"/>
            <w:vAlign w:val="center"/>
          </w:tcPr>
          <w:p w:rsidRPr="007A474D" w:rsidR="00CE66C0" w:rsidP="00CE66C0" w:rsidRDefault="00CE66C0" w14:paraId="46755970" w14:textId="77777777">
            <w:pPr>
              <w:spacing w:line="240" w:lineRule="auto"/>
              <w:jc w:val="center"/>
              <w:rPr>
                <w:rFonts w:ascii="Calibri" w:hAnsi="Calibri" w:eastAsia="Times New Roman"/>
                <w:color w:val="000000"/>
                <w:sz w:val="18"/>
                <w:szCs w:val="18"/>
              </w:rPr>
            </w:pPr>
            <w:r>
              <w:rPr>
                <w:rFonts w:ascii="Calibri" w:hAnsi="Calibri" w:eastAsia="Times New Roman"/>
                <w:color w:val="000000"/>
                <w:sz w:val="18"/>
                <w:szCs w:val="18"/>
              </w:rPr>
              <w:t>3</w:t>
            </w:r>
          </w:p>
        </w:tc>
        <w:tc>
          <w:tcPr>
            <w:tcW w:w="1238" w:type="dxa"/>
            <w:gridSpan w:val="2"/>
            <w:tcBorders>
              <w:top w:val="single" w:color="auto" w:sz="4" w:space="0"/>
              <w:left w:val="nil"/>
              <w:bottom w:val="single" w:color="auto" w:sz="4" w:space="0"/>
              <w:right w:val="single" w:color="auto" w:sz="4" w:space="0"/>
            </w:tcBorders>
            <w:shd w:val="clear" w:color="000000" w:fill="FFFFFF"/>
            <w:vAlign w:val="center"/>
          </w:tcPr>
          <w:p w:rsidRPr="007A474D" w:rsidR="00CE66C0" w:rsidP="00CE66C0" w:rsidRDefault="00CE66C0" w14:paraId="1EF50730"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0.5336</w:t>
            </w:r>
          </w:p>
        </w:tc>
        <w:tc>
          <w:tcPr>
            <w:tcW w:w="2042" w:type="dxa"/>
            <w:gridSpan w:val="2"/>
            <w:tcBorders>
              <w:top w:val="nil"/>
              <w:left w:val="single" w:color="auto" w:sz="4" w:space="0"/>
              <w:bottom w:val="single" w:color="auto" w:sz="4" w:space="0"/>
              <w:right w:val="single" w:color="auto" w:sz="4" w:space="0"/>
            </w:tcBorders>
            <w:shd w:val="clear" w:color="000000" w:fill="FFFFFF"/>
            <w:vAlign w:val="center"/>
            <w:hideMark/>
          </w:tcPr>
          <w:p w:rsidRPr="007A474D" w:rsidR="00CE66C0" w:rsidP="00CE66C0" w:rsidRDefault="00CE66C0" w14:paraId="39218CB0"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16.0 - 17.9</w:t>
            </w:r>
          </w:p>
        </w:tc>
        <w:tc>
          <w:tcPr>
            <w:tcW w:w="1843" w:type="dxa"/>
            <w:gridSpan w:val="2"/>
            <w:tcBorders>
              <w:top w:val="nil"/>
              <w:left w:val="nil"/>
              <w:bottom w:val="single" w:color="auto" w:sz="4" w:space="0"/>
              <w:right w:val="single" w:color="auto" w:sz="4" w:space="0"/>
            </w:tcBorders>
            <w:shd w:val="clear" w:color="auto" w:fill="D9D9D9" w:themeFill="background1" w:themeFillShade="D9"/>
            <w:vAlign w:val="center"/>
            <w:hideMark/>
          </w:tcPr>
          <w:p w:rsidRPr="007A474D" w:rsidR="00CE66C0" w:rsidP="00CE66C0" w:rsidRDefault="00CE66C0" w14:paraId="571F0404"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2</w:t>
            </w:r>
          </w:p>
        </w:tc>
        <w:tc>
          <w:tcPr>
            <w:tcW w:w="3268" w:type="dxa"/>
            <w:vMerge/>
            <w:tcBorders>
              <w:top w:val="nil"/>
              <w:left w:val="single" w:color="auto" w:sz="4" w:space="0"/>
              <w:bottom w:val="single" w:color="auto" w:sz="4" w:space="0"/>
              <w:right w:val="single" w:color="auto" w:sz="4" w:space="0"/>
            </w:tcBorders>
            <w:vAlign w:val="center"/>
            <w:hideMark/>
          </w:tcPr>
          <w:p w:rsidRPr="007A474D" w:rsidR="00CE66C0" w:rsidP="00CE66C0" w:rsidRDefault="00CE66C0" w14:paraId="5BEA039D" w14:textId="77777777">
            <w:pPr>
              <w:spacing w:line="240" w:lineRule="auto"/>
              <w:jc w:val="left"/>
              <w:rPr>
                <w:rFonts w:ascii="Calibri" w:hAnsi="Calibri" w:eastAsia="Times New Roman"/>
                <w:color w:val="000000"/>
                <w:sz w:val="18"/>
                <w:szCs w:val="18"/>
              </w:rPr>
            </w:pPr>
          </w:p>
        </w:tc>
        <w:tc>
          <w:tcPr>
            <w:tcW w:w="670" w:type="dxa"/>
            <w:tcBorders>
              <w:top w:val="nil"/>
              <w:left w:val="nil"/>
              <w:bottom w:val="single" w:color="auto" w:sz="4" w:space="0"/>
              <w:right w:val="single" w:color="auto" w:sz="4" w:space="0"/>
            </w:tcBorders>
            <w:shd w:val="clear" w:color="auto" w:fill="D9D9D9" w:themeFill="background1" w:themeFillShade="D9"/>
            <w:vAlign w:val="center"/>
            <w:hideMark/>
          </w:tcPr>
          <w:p w:rsidRPr="007A474D" w:rsidR="00CE66C0" w:rsidP="00CE66C0" w:rsidRDefault="00CE66C0" w14:paraId="3B998909"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0</w:t>
            </w:r>
          </w:p>
        </w:tc>
      </w:tr>
      <w:tr w:rsidRPr="007A474D" w:rsidR="00CE66C0" w:rsidTr="00CE66C0" w14:paraId="7EADB800" w14:textId="77777777">
        <w:trPr>
          <w:trHeight w:val="285"/>
        </w:trPr>
        <w:tc>
          <w:tcPr>
            <w:tcW w:w="851" w:type="dxa"/>
            <w:tcBorders>
              <w:top w:val="nil"/>
              <w:left w:val="single" w:color="auto" w:sz="4" w:space="0"/>
              <w:bottom w:val="single" w:color="auto" w:sz="4" w:space="0"/>
              <w:right w:val="single" w:color="auto" w:sz="4" w:space="0"/>
            </w:tcBorders>
            <w:shd w:val="clear" w:color="000000" w:fill="FFFFFF"/>
            <w:vAlign w:val="center"/>
          </w:tcPr>
          <w:p w:rsidRPr="007A474D" w:rsidR="00CE66C0" w:rsidP="00CE66C0" w:rsidRDefault="00CE66C0" w14:paraId="63F0C4B5" w14:textId="77777777">
            <w:pPr>
              <w:spacing w:line="240" w:lineRule="auto"/>
              <w:jc w:val="center"/>
              <w:rPr>
                <w:rFonts w:ascii="Calibri" w:hAnsi="Calibri" w:eastAsia="Times New Roman"/>
                <w:color w:val="000000"/>
                <w:sz w:val="18"/>
                <w:szCs w:val="18"/>
              </w:rPr>
            </w:pPr>
            <w:r>
              <w:rPr>
                <w:rFonts w:ascii="Calibri" w:hAnsi="Calibri" w:eastAsia="Times New Roman"/>
                <w:color w:val="000000"/>
                <w:sz w:val="18"/>
                <w:szCs w:val="18"/>
              </w:rPr>
              <w:t>4</w:t>
            </w:r>
          </w:p>
        </w:tc>
        <w:tc>
          <w:tcPr>
            <w:tcW w:w="1238" w:type="dxa"/>
            <w:gridSpan w:val="2"/>
            <w:tcBorders>
              <w:top w:val="single" w:color="auto" w:sz="4" w:space="0"/>
              <w:left w:val="nil"/>
              <w:bottom w:val="single" w:color="auto" w:sz="4" w:space="0"/>
              <w:right w:val="single" w:color="auto" w:sz="4" w:space="0"/>
            </w:tcBorders>
            <w:shd w:val="clear" w:color="000000" w:fill="FFFFFF"/>
            <w:vAlign w:val="center"/>
          </w:tcPr>
          <w:p w:rsidRPr="007A474D" w:rsidR="00CE66C0" w:rsidP="00CE66C0" w:rsidRDefault="00CE66C0" w14:paraId="26B75169"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0.8816</w:t>
            </w:r>
          </w:p>
        </w:tc>
        <w:tc>
          <w:tcPr>
            <w:tcW w:w="2042" w:type="dxa"/>
            <w:gridSpan w:val="2"/>
            <w:tcBorders>
              <w:top w:val="nil"/>
              <w:left w:val="single" w:color="auto" w:sz="4" w:space="0"/>
              <w:bottom w:val="single" w:color="auto" w:sz="4" w:space="0"/>
              <w:right w:val="single" w:color="auto" w:sz="4" w:space="0"/>
            </w:tcBorders>
            <w:shd w:val="clear" w:color="000000" w:fill="FFFFFF"/>
            <w:vAlign w:val="center"/>
            <w:hideMark/>
          </w:tcPr>
          <w:p w:rsidRPr="007A474D" w:rsidR="00CE66C0" w:rsidP="00CE66C0" w:rsidRDefault="00CE66C0" w14:paraId="61BAF412"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18.0 - 19.9</w:t>
            </w:r>
          </w:p>
        </w:tc>
        <w:tc>
          <w:tcPr>
            <w:tcW w:w="1843" w:type="dxa"/>
            <w:gridSpan w:val="2"/>
            <w:tcBorders>
              <w:top w:val="nil"/>
              <w:left w:val="nil"/>
              <w:bottom w:val="single" w:color="auto" w:sz="4" w:space="0"/>
              <w:right w:val="single" w:color="auto" w:sz="4" w:space="0"/>
            </w:tcBorders>
            <w:shd w:val="clear" w:color="auto" w:fill="D9D9D9" w:themeFill="background1" w:themeFillShade="D9"/>
            <w:vAlign w:val="center"/>
            <w:hideMark/>
          </w:tcPr>
          <w:p w:rsidRPr="007A474D" w:rsidR="00CE66C0" w:rsidP="00CE66C0" w:rsidRDefault="00CE66C0" w14:paraId="5C3248F4"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12</w:t>
            </w:r>
          </w:p>
        </w:tc>
        <w:tc>
          <w:tcPr>
            <w:tcW w:w="3268" w:type="dxa"/>
            <w:vMerge/>
            <w:tcBorders>
              <w:top w:val="nil"/>
              <w:left w:val="single" w:color="auto" w:sz="4" w:space="0"/>
              <w:bottom w:val="single" w:color="auto" w:sz="4" w:space="0"/>
              <w:right w:val="single" w:color="auto" w:sz="4" w:space="0"/>
            </w:tcBorders>
            <w:vAlign w:val="center"/>
            <w:hideMark/>
          </w:tcPr>
          <w:p w:rsidRPr="007A474D" w:rsidR="00CE66C0" w:rsidP="00CE66C0" w:rsidRDefault="00CE66C0" w14:paraId="1025A07F" w14:textId="77777777">
            <w:pPr>
              <w:spacing w:line="240" w:lineRule="auto"/>
              <w:jc w:val="left"/>
              <w:rPr>
                <w:rFonts w:ascii="Calibri" w:hAnsi="Calibri" w:eastAsia="Times New Roman"/>
                <w:color w:val="000000"/>
                <w:sz w:val="18"/>
                <w:szCs w:val="18"/>
              </w:rPr>
            </w:pPr>
          </w:p>
        </w:tc>
        <w:tc>
          <w:tcPr>
            <w:tcW w:w="670" w:type="dxa"/>
            <w:tcBorders>
              <w:top w:val="nil"/>
              <w:left w:val="nil"/>
              <w:bottom w:val="single" w:color="auto" w:sz="4" w:space="0"/>
              <w:right w:val="single" w:color="auto" w:sz="4" w:space="0"/>
            </w:tcBorders>
            <w:shd w:val="clear" w:color="auto" w:fill="D9D9D9" w:themeFill="background1" w:themeFillShade="D9"/>
            <w:vAlign w:val="center"/>
            <w:hideMark/>
          </w:tcPr>
          <w:p w:rsidRPr="007A474D" w:rsidR="00CE66C0" w:rsidP="00CE66C0" w:rsidRDefault="00CE66C0" w14:paraId="0E8AD22D"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11</w:t>
            </w:r>
          </w:p>
        </w:tc>
      </w:tr>
      <w:tr w:rsidRPr="007A474D" w:rsidR="00CE66C0" w:rsidTr="00CE66C0" w14:paraId="63ED828A" w14:textId="77777777">
        <w:trPr>
          <w:trHeight w:val="285"/>
        </w:trPr>
        <w:tc>
          <w:tcPr>
            <w:tcW w:w="851" w:type="dxa"/>
            <w:tcBorders>
              <w:top w:val="nil"/>
              <w:left w:val="single" w:color="auto" w:sz="4" w:space="0"/>
              <w:bottom w:val="single" w:color="auto" w:sz="4" w:space="0"/>
              <w:right w:val="single" w:color="auto" w:sz="4" w:space="0"/>
            </w:tcBorders>
            <w:shd w:val="clear" w:color="000000" w:fill="FFFFFF"/>
            <w:vAlign w:val="center"/>
          </w:tcPr>
          <w:p w:rsidRPr="007A474D" w:rsidR="00CE66C0" w:rsidP="00CE66C0" w:rsidRDefault="00CE66C0" w14:paraId="6978C5EB" w14:textId="77777777">
            <w:pPr>
              <w:spacing w:line="240" w:lineRule="auto"/>
              <w:jc w:val="center"/>
              <w:rPr>
                <w:rFonts w:ascii="Calibri" w:hAnsi="Calibri" w:eastAsia="Times New Roman"/>
                <w:color w:val="000000"/>
                <w:sz w:val="18"/>
                <w:szCs w:val="18"/>
              </w:rPr>
            </w:pPr>
            <w:r>
              <w:rPr>
                <w:rFonts w:ascii="Calibri" w:hAnsi="Calibri" w:eastAsia="Times New Roman"/>
                <w:color w:val="000000"/>
                <w:sz w:val="18"/>
                <w:szCs w:val="18"/>
              </w:rPr>
              <w:t>5</w:t>
            </w:r>
          </w:p>
        </w:tc>
        <w:tc>
          <w:tcPr>
            <w:tcW w:w="1238" w:type="dxa"/>
            <w:gridSpan w:val="2"/>
            <w:tcBorders>
              <w:top w:val="single" w:color="auto" w:sz="4" w:space="0"/>
              <w:left w:val="nil"/>
              <w:bottom w:val="single" w:color="auto" w:sz="4" w:space="0"/>
              <w:right w:val="single" w:color="auto" w:sz="4" w:space="0"/>
            </w:tcBorders>
            <w:shd w:val="clear" w:color="000000" w:fill="FFFFFF"/>
            <w:vAlign w:val="center"/>
          </w:tcPr>
          <w:p w:rsidRPr="007A474D" w:rsidR="00CE66C0" w:rsidP="00CE66C0" w:rsidRDefault="00CE66C0" w14:paraId="594DB431"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1.0498</w:t>
            </w:r>
          </w:p>
        </w:tc>
        <w:tc>
          <w:tcPr>
            <w:tcW w:w="2042" w:type="dxa"/>
            <w:gridSpan w:val="2"/>
            <w:tcBorders>
              <w:top w:val="nil"/>
              <w:left w:val="single" w:color="auto" w:sz="4" w:space="0"/>
              <w:bottom w:val="single" w:color="auto" w:sz="4" w:space="0"/>
              <w:right w:val="single" w:color="auto" w:sz="4" w:space="0"/>
            </w:tcBorders>
            <w:shd w:val="clear" w:color="000000" w:fill="FFFFFF"/>
            <w:vAlign w:val="center"/>
            <w:hideMark/>
          </w:tcPr>
          <w:p w:rsidRPr="007A474D" w:rsidR="00CE66C0" w:rsidP="00CE66C0" w:rsidRDefault="00CE66C0" w14:paraId="1506A441"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20.0 - 21.9</w:t>
            </w:r>
          </w:p>
        </w:tc>
        <w:tc>
          <w:tcPr>
            <w:tcW w:w="1843" w:type="dxa"/>
            <w:gridSpan w:val="2"/>
            <w:tcBorders>
              <w:top w:val="nil"/>
              <w:left w:val="nil"/>
              <w:bottom w:val="single" w:color="auto" w:sz="4" w:space="0"/>
              <w:right w:val="single" w:color="auto" w:sz="4" w:space="0"/>
            </w:tcBorders>
            <w:shd w:val="clear" w:color="auto" w:fill="D9D9D9" w:themeFill="background1" w:themeFillShade="D9"/>
            <w:vAlign w:val="center"/>
            <w:hideMark/>
          </w:tcPr>
          <w:p w:rsidRPr="007A474D" w:rsidR="00CE66C0" w:rsidP="00CE66C0" w:rsidRDefault="00CE66C0" w14:paraId="3AD80D08"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8</w:t>
            </w:r>
          </w:p>
        </w:tc>
        <w:tc>
          <w:tcPr>
            <w:tcW w:w="3268" w:type="dxa"/>
            <w:vMerge/>
            <w:tcBorders>
              <w:top w:val="nil"/>
              <w:left w:val="single" w:color="auto" w:sz="4" w:space="0"/>
              <w:bottom w:val="single" w:color="auto" w:sz="4" w:space="0"/>
              <w:right w:val="single" w:color="auto" w:sz="4" w:space="0"/>
            </w:tcBorders>
            <w:vAlign w:val="center"/>
            <w:hideMark/>
          </w:tcPr>
          <w:p w:rsidRPr="007A474D" w:rsidR="00CE66C0" w:rsidP="00CE66C0" w:rsidRDefault="00CE66C0" w14:paraId="0D78C752" w14:textId="77777777">
            <w:pPr>
              <w:spacing w:line="240" w:lineRule="auto"/>
              <w:jc w:val="left"/>
              <w:rPr>
                <w:rFonts w:ascii="Calibri" w:hAnsi="Calibri" w:eastAsia="Times New Roman"/>
                <w:color w:val="000000"/>
                <w:sz w:val="18"/>
                <w:szCs w:val="18"/>
              </w:rPr>
            </w:pPr>
          </w:p>
        </w:tc>
        <w:tc>
          <w:tcPr>
            <w:tcW w:w="670" w:type="dxa"/>
            <w:tcBorders>
              <w:top w:val="nil"/>
              <w:left w:val="nil"/>
              <w:bottom w:val="single" w:color="auto" w:sz="4" w:space="0"/>
              <w:right w:val="single" w:color="auto" w:sz="4" w:space="0"/>
            </w:tcBorders>
            <w:shd w:val="clear" w:color="auto" w:fill="D9D9D9" w:themeFill="background1" w:themeFillShade="D9"/>
            <w:vAlign w:val="center"/>
            <w:hideMark/>
          </w:tcPr>
          <w:p w:rsidRPr="007A474D" w:rsidR="00CE66C0" w:rsidP="00CE66C0" w:rsidRDefault="00CE66C0" w14:paraId="6D835F57"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8</w:t>
            </w:r>
          </w:p>
        </w:tc>
      </w:tr>
      <w:tr w:rsidRPr="007A474D" w:rsidR="00CE66C0" w:rsidTr="00CE66C0" w14:paraId="3426913B" w14:textId="77777777">
        <w:trPr>
          <w:trHeight w:val="285"/>
        </w:trPr>
        <w:tc>
          <w:tcPr>
            <w:tcW w:w="851" w:type="dxa"/>
            <w:tcBorders>
              <w:top w:val="nil"/>
              <w:left w:val="single" w:color="auto" w:sz="4" w:space="0"/>
              <w:bottom w:val="single" w:color="auto" w:sz="4" w:space="0"/>
              <w:right w:val="single" w:color="auto" w:sz="4" w:space="0"/>
            </w:tcBorders>
            <w:shd w:val="clear" w:color="000000" w:fill="FFFFFF"/>
            <w:vAlign w:val="center"/>
          </w:tcPr>
          <w:p w:rsidRPr="007A474D" w:rsidR="00CE66C0" w:rsidP="00CE66C0" w:rsidRDefault="00CE66C0" w14:paraId="29B5E4BE" w14:textId="77777777">
            <w:pPr>
              <w:spacing w:line="240" w:lineRule="auto"/>
              <w:jc w:val="center"/>
              <w:rPr>
                <w:rFonts w:ascii="Calibri" w:hAnsi="Calibri" w:eastAsia="Times New Roman"/>
                <w:color w:val="000000"/>
                <w:sz w:val="18"/>
                <w:szCs w:val="18"/>
              </w:rPr>
            </w:pPr>
            <w:r>
              <w:rPr>
                <w:rFonts w:ascii="Calibri" w:hAnsi="Calibri" w:eastAsia="Times New Roman"/>
                <w:color w:val="000000"/>
                <w:sz w:val="18"/>
                <w:szCs w:val="18"/>
              </w:rPr>
              <w:t>6</w:t>
            </w:r>
          </w:p>
        </w:tc>
        <w:tc>
          <w:tcPr>
            <w:tcW w:w="1238" w:type="dxa"/>
            <w:gridSpan w:val="2"/>
            <w:tcBorders>
              <w:top w:val="single" w:color="auto" w:sz="4" w:space="0"/>
              <w:left w:val="nil"/>
              <w:bottom w:val="single" w:color="auto" w:sz="4" w:space="0"/>
              <w:right w:val="single" w:color="auto" w:sz="4" w:space="0"/>
            </w:tcBorders>
            <w:shd w:val="clear" w:color="000000" w:fill="FFFFFF"/>
            <w:vAlign w:val="center"/>
          </w:tcPr>
          <w:p w:rsidRPr="007A474D" w:rsidR="00CE66C0" w:rsidP="00CE66C0" w:rsidRDefault="00CE66C0" w14:paraId="4215031F"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0.5858</w:t>
            </w:r>
          </w:p>
        </w:tc>
        <w:tc>
          <w:tcPr>
            <w:tcW w:w="2042" w:type="dxa"/>
            <w:gridSpan w:val="2"/>
            <w:tcBorders>
              <w:top w:val="nil"/>
              <w:left w:val="single" w:color="auto" w:sz="4" w:space="0"/>
              <w:bottom w:val="single" w:color="auto" w:sz="4" w:space="0"/>
              <w:right w:val="single" w:color="auto" w:sz="4" w:space="0"/>
            </w:tcBorders>
            <w:shd w:val="clear" w:color="000000" w:fill="FFFFFF"/>
            <w:vAlign w:val="center"/>
            <w:hideMark/>
          </w:tcPr>
          <w:p w:rsidRPr="007A474D" w:rsidR="00CE66C0" w:rsidP="00CE66C0" w:rsidRDefault="00CE66C0" w14:paraId="3B259BA5"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22.0 - 23.9</w:t>
            </w:r>
          </w:p>
        </w:tc>
        <w:tc>
          <w:tcPr>
            <w:tcW w:w="1843" w:type="dxa"/>
            <w:gridSpan w:val="2"/>
            <w:tcBorders>
              <w:top w:val="nil"/>
              <w:left w:val="nil"/>
              <w:bottom w:val="single" w:color="auto" w:sz="4" w:space="0"/>
              <w:right w:val="single" w:color="auto" w:sz="4" w:space="0"/>
            </w:tcBorders>
            <w:shd w:val="clear" w:color="auto" w:fill="D9D9D9" w:themeFill="background1" w:themeFillShade="D9"/>
            <w:vAlign w:val="center"/>
            <w:hideMark/>
          </w:tcPr>
          <w:p w:rsidRPr="007A474D" w:rsidR="00CE66C0" w:rsidP="00CE66C0" w:rsidRDefault="00CE66C0" w14:paraId="2CD0EB8C"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0</w:t>
            </w:r>
          </w:p>
        </w:tc>
        <w:tc>
          <w:tcPr>
            <w:tcW w:w="3268" w:type="dxa"/>
            <w:vMerge/>
            <w:tcBorders>
              <w:top w:val="nil"/>
              <w:left w:val="single" w:color="auto" w:sz="4" w:space="0"/>
              <w:bottom w:val="single" w:color="auto" w:sz="4" w:space="0"/>
              <w:right w:val="single" w:color="auto" w:sz="4" w:space="0"/>
            </w:tcBorders>
            <w:vAlign w:val="center"/>
            <w:hideMark/>
          </w:tcPr>
          <w:p w:rsidRPr="007A474D" w:rsidR="00CE66C0" w:rsidP="00CE66C0" w:rsidRDefault="00CE66C0" w14:paraId="65E93532" w14:textId="77777777">
            <w:pPr>
              <w:spacing w:line="240" w:lineRule="auto"/>
              <w:jc w:val="left"/>
              <w:rPr>
                <w:rFonts w:ascii="Calibri" w:hAnsi="Calibri" w:eastAsia="Times New Roman"/>
                <w:color w:val="000000"/>
                <w:sz w:val="18"/>
                <w:szCs w:val="18"/>
              </w:rPr>
            </w:pPr>
          </w:p>
        </w:tc>
        <w:tc>
          <w:tcPr>
            <w:tcW w:w="670" w:type="dxa"/>
            <w:tcBorders>
              <w:top w:val="nil"/>
              <w:left w:val="nil"/>
              <w:bottom w:val="single" w:color="auto" w:sz="4" w:space="0"/>
              <w:right w:val="single" w:color="auto" w:sz="4" w:space="0"/>
            </w:tcBorders>
            <w:shd w:val="clear" w:color="auto" w:fill="D9D9D9" w:themeFill="background1" w:themeFillShade="D9"/>
            <w:vAlign w:val="center"/>
            <w:hideMark/>
          </w:tcPr>
          <w:p w:rsidRPr="007A474D" w:rsidR="00CE66C0" w:rsidP="00CE66C0" w:rsidRDefault="00CE66C0" w14:paraId="3EAAA91D"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0</w:t>
            </w:r>
          </w:p>
        </w:tc>
      </w:tr>
      <w:tr w:rsidRPr="007A474D" w:rsidR="00CE66C0" w:rsidTr="00CE66C0" w14:paraId="0ECBD497" w14:textId="77777777">
        <w:trPr>
          <w:trHeight w:val="285"/>
        </w:trPr>
        <w:tc>
          <w:tcPr>
            <w:tcW w:w="851" w:type="dxa"/>
            <w:tcBorders>
              <w:top w:val="nil"/>
              <w:left w:val="single" w:color="auto" w:sz="4" w:space="0"/>
              <w:bottom w:val="single" w:color="auto" w:sz="4" w:space="0"/>
              <w:right w:val="single" w:color="auto" w:sz="4" w:space="0"/>
            </w:tcBorders>
            <w:shd w:val="clear" w:color="000000" w:fill="FFFFFF"/>
            <w:vAlign w:val="center"/>
          </w:tcPr>
          <w:p w:rsidRPr="007A474D" w:rsidR="00CE66C0" w:rsidP="00CE66C0" w:rsidRDefault="00CE66C0" w14:paraId="469E5A27" w14:textId="77777777">
            <w:pPr>
              <w:spacing w:line="240" w:lineRule="auto"/>
              <w:jc w:val="center"/>
              <w:rPr>
                <w:rFonts w:ascii="Calibri" w:hAnsi="Calibri" w:eastAsia="Times New Roman"/>
                <w:color w:val="000000"/>
                <w:sz w:val="18"/>
                <w:szCs w:val="18"/>
              </w:rPr>
            </w:pPr>
            <w:r>
              <w:rPr>
                <w:rFonts w:ascii="Calibri" w:hAnsi="Calibri" w:eastAsia="Times New Roman"/>
                <w:color w:val="000000"/>
                <w:sz w:val="18"/>
                <w:szCs w:val="18"/>
              </w:rPr>
              <w:t>7</w:t>
            </w:r>
          </w:p>
        </w:tc>
        <w:tc>
          <w:tcPr>
            <w:tcW w:w="1238" w:type="dxa"/>
            <w:gridSpan w:val="2"/>
            <w:tcBorders>
              <w:top w:val="single" w:color="auto" w:sz="4" w:space="0"/>
              <w:left w:val="nil"/>
              <w:bottom w:val="single" w:color="auto" w:sz="4" w:space="0"/>
              <w:right w:val="single" w:color="auto" w:sz="4" w:space="0"/>
            </w:tcBorders>
            <w:shd w:val="clear" w:color="000000" w:fill="FFFFFF"/>
            <w:vAlign w:val="center"/>
          </w:tcPr>
          <w:p w:rsidRPr="007A474D" w:rsidR="00CE66C0" w:rsidP="00CE66C0" w:rsidRDefault="00CE66C0" w14:paraId="43F55C37"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0.3924</w:t>
            </w:r>
          </w:p>
        </w:tc>
        <w:tc>
          <w:tcPr>
            <w:tcW w:w="2042" w:type="dxa"/>
            <w:gridSpan w:val="2"/>
            <w:tcBorders>
              <w:top w:val="nil"/>
              <w:left w:val="single" w:color="auto" w:sz="4" w:space="0"/>
              <w:bottom w:val="single" w:color="auto" w:sz="4" w:space="0"/>
              <w:right w:val="single" w:color="auto" w:sz="4" w:space="0"/>
            </w:tcBorders>
            <w:shd w:val="clear" w:color="000000" w:fill="FFFFFF"/>
            <w:vAlign w:val="center"/>
            <w:hideMark/>
          </w:tcPr>
          <w:p w:rsidRPr="007A474D" w:rsidR="00CE66C0" w:rsidP="00CE66C0" w:rsidRDefault="00CE66C0" w14:paraId="36DF7FD9"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10.0 - 11.9</w:t>
            </w:r>
          </w:p>
        </w:tc>
        <w:tc>
          <w:tcPr>
            <w:tcW w:w="1843" w:type="dxa"/>
            <w:gridSpan w:val="2"/>
            <w:tcBorders>
              <w:top w:val="nil"/>
              <w:left w:val="nil"/>
              <w:bottom w:val="single" w:color="auto" w:sz="4" w:space="0"/>
              <w:right w:val="single" w:color="auto" w:sz="4" w:space="0"/>
            </w:tcBorders>
            <w:shd w:val="clear" w:color="auto" w:fill="D9D9D9" w:themeFill="background1" w:themeFillShade="D9"/>
            <w:vAlign w:val="center"/>
            <w:hideMark/>
          </w:tcPr>
          <w:p w:rsidRPr="007A474D" w:rsidR="00CE66C0" w:rsidP="00CE66C0" w:rsidRDefault="00CE66C0" w14:paraId="373887D1"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0</w:t>
            </w:r>
          </w:p>
        </w:tc>
        <w:tc>
          <w:tcPr>
            <w:tcW w:w="3268" w:type="dxa"/>
            <w:vMerge w:val="restart"/>
            <w:tcBorders>
              <w:top w:val="nil"/>
              <w:left w:val="single" w:color="auto" w:sz="4" w:space="0"/>
              <w:bottom w:val="single" w:color="auto" w:sz="4" w:space="0"/>
              <w:right w:val="single" w:color="auto" w:sz="4" w:space="0"/>
            </w:tcBorders>
            <w:shd w:val="clear" w:color="000000" w:fill="FFFFFF"/>
            <w:vAlign w:val="center"/>
            <w:hideMark/>
          </w:tcPr>
          <w:p w:rsidRPr="007A474D" w:rsidR="00CE66C0" w:rsidP="00CE66C0" w:rsidRDefault="00CE66C0" w14:paraId="0EBF2A8E"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Only count hours that co-occur with 10 or more consecutive hours at RH&gt;=90% or rain</w:t>
            </w:r>
            <w:r>
              <w:rPr>
                <w:rFonts w:ascii="Calibri" w:hAnsi="Calibri" w:eastAsia="Times New Roman"/>
                <w:color w:val="000000"/>
                <w:sz w:val="18"/>
                <w:szCs w:val="18"/>
              </w:rPr>
              <w:t>≥</w:t>
            </w:r>
            <w:r w:rsidRPr="007A474D">
              <w:rPr>
                <w:rFonts w:ascii="Calibri" w:hAnsi="Calibri" w:eastAsia="Times New Roman"/>
                <w:color w:val="000000"/>
                <w:sz w:val="18"/>
                <w:szCs w:val="18"/>
              </w:rPr>
              <w:t>0.1 mm/h</w:t>
            </w:r>
            <w:r>
              <w:rPr>
                <w:rFonts w:ascii="Calibri" w:hAnsi="Calibri" w:eastAsia="Times New Roman"/>
                <w:color w:val="000000"/>
                <w:sz w:val="18"/>
                <w:szCs w:val="18"/>
              </w:rPr>
              <w:t>eure</w:t>
            </w:r>
          </w:p>
        </w:tc>
        <w:tc>
          <w:tcPr>
            <w:tcW w:w="670" w:type="dxa"/>
            <w:tcBorders>
              <w:top w:val="nil"/>
              <w:left w:val="nil"/>
              <w:bottom w:val="single" w:color="auto" w:sz="4" w:space="0"/>
              <w:right w:val="single" w:color="auto" w:sz="4" w:space="0"/>
            </w:tcBorders>
            <w:shd w:val="clear" w:color="auto" w:fill="D9D9D9" w:themeFill="background1" w:themeFillShade="D9"/>
            <w:vAlign w:val="center"/>
            <w:hideMark/>
          </w:tcPr>
          <w:p w:rsidRPr="007A474D" w:rsidR="00CE66C0" w:rsidP="00CE66C0" w:rsidRDefault="00CE66C0" w14:paraId="56D043F4"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0</w:t>
            </w:r>
          </w:p>
        </w:tc>
      </w:tr>
      <w:tr w:rsidRPr="007A474D" w:rsidR="00CE66C0" w:rsidTr="00CE66C0" w14:paraId="29C59117" w14:textId="77777777">
        <w:trPr>
          <w:trHeight w:val="285"/>
        </w:trPr>
        <w:tc>
          <w:tcPr>
            <w:tcW w:w="851" w:type="dxa"/>
            <w:tcBorders>
              <w:top w:val="nil"/>
              <w:left w:val="single" w:color="auto" w:sz="4" w:space="0"/>
              <w:bottom w:val="single" w:color="auto" w:sz="4" w:space="0"/>
              <w:right w:val="single" w:color="auto" w:sz="4" w:space="0"/>
            </w:tcBorders>
            <w:shd w:val="clear" w:color="000000" w:fill="FFFFFF"/>
            <w:vAlign w:val="center"/>
          </w:tcPr>
          <w:p w:rsidRPr="007A474D" w:rsidR="00CE66C0" w:rsidP="00CE66C0" w:rsidRDefault="00CE66C0" w14:paraId="3CA75C61" w14:textId="77777777">
            <w:pPr>
              <w:spacing w:line="240" w:lineRule="auto"/>
              <w:jc w:val="center"/>
              <w:rPr>
                <w:rFonts w:ascii="Calibri" w:hAnsi="Calibri" w:eastAsia="Times New Roman"/>
                <w:color w:val="000000"/>
                <w:sz w:val="18"/>
                <w:szCs w:val="18"/>
              </w:rPr>
            </w:pPr>
            <w:r>
              <w:rPr>
                <w:rFonts w:ascii="Calibri" w:hAnsi="Calibri" w:eastAsia="Times New Roman"/>
                <w:color w:val="000000"/>
                <w:sz w:val="18"/>
                <w:szCs w:val="18"/>
              </w:rPr>
              <w:t>8</w:t>
            </w:r>
          </w:p>
        </w:tc>
        <w:tc>
          <w:tcPr>
            <w:tcW w:w="1238" w:type="dxa"/>
            <w:gridSpan w:val="2"/>
            <w:tcBorders>
              <w:top w:val="single" w:color="auto" w:sz="4" w:space="0"/>
              <w:left w:val="nil"/>
              <w:bottom w:val="single" w:color="auto" w:sz="4" w:space="0"/>
              <w:right w:val="single" w:color="auto" w:sz="4" w:space="0"/>
            </w:tcBorders>
            <w:shd w:val="clear" w:color="000000" w:fill="FFFFFF"/>
            <w:vAlign w:val="center"/>
          </w:tcPr>
          <w:p w:rsidRPr="007A474D" w:rsidR="00CE66C0" w:rsidP="00CE66C0" w:rsidRDefault="00CE66C0" w14:paraId="7B8FBF90"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0.0702</w:t>
            </w:r>
          </w:p>
        </w:tc>
        <w:tc>
          <w:tcPr>
            <w:tcW w:w="2042" w:type="dxa"/>
            <w:gridSpan w:val="2"/>
            <w:tcBorders>
              <w:top w:val="nil"/>
              <w:left w:val="single" w:color="auto" w:sz="4" w:space="0"/>
              <w:bottom w:val="single" w:color="auto" w:sz="4" w:space="0"/>
              <w:right w:val="single" w:color="auto" w:sz="4" w:space="0"/>
            </w:tcBorders>
            <w:shd w:val="clear" w:color="000000" w:fill="FFFFFF"/>
            <w:vAlign w:val="center"/>
            <w:hideMark/>
          </w:tcPr>
          <w:p w:rsidRPr="007A474D" w:rsidR="00CE66C0" w:rsidP="00CE66C0" w:rsidRDefault="00CE66C0" w14:paraId="54B4FEB5"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14.0 - 15.9</w:t>
            </w:r>
          </w:p>
        </w:tc>
        <w:tc>
          <w:tcPr>
            <w:tcW w:w="1843" w:type="dxa"/>
            <w:gridSpan w:val="2"/>
            <w:tcBorders>
              <w:top w:val="nil"/>
              <w:left w:val="nil"/>
              <w:bottom w:val="single" w:color="auto" w:sz="4" w:space="0"/>
              <w:right w:val="single" w:color="auto" w:sz="4" w:space="0"/>
            </w:tcBorders>
            <w:shd w:val="clear" w:color="auto" w:fill="D9D9D9" w:themeFill="background1" w:themeFillShade="D9"/>
            <w:vAlign w:val="center"/>
            <w:hideMark/>
          </w:tcPr>
          <w:p w:rsidRPr="007A474D" w:rsidR="00CE66C0" w:rsidP="00CE66C0" w:rsidRDefault="00CE66C0" w14:paraId="3E9C4849"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0</w:t>
            </w:r>
          </w:p>
        </w:tc>
        <w:tc>
          <w:tcPr>
            <w:tcW w:w="3268" w:type="dxa"/>
            <w:vMerge/>
            <w:tcBorders>
              <w:top w:val="nil"/>
              <w:left w:val="single" w:color="auto" w:sz="4" w:space="0"/>
              <w:bottom w:val="single" w:color="auto" w:sz="4" w:space="0"/>
              <w:right w:val="single" w:color="auto" w:sz="4" w:space="0"/>
            </w:tcBorders>
            <w:vAlign w:val="center"/>
            <w:hideMark/>
          </w:tcPr>
          <w:p w:rsidRPr="007A474D" w:rsidR="00CE66C0" w:rsidP="00CE66C0" w:rsidRDefault="00CE66C0" w14:paraId="0C8DECE4" w14:textId="77777777">
            <w:pPr>
              <w:spacing w:line="240" w:lineRule="auto"/>
              <w:jc w:val="left"/>
              <w:rPr>
                <w:rFonts w:ascii="Calibri" w:hAnsi="Calibri" w:eastAsia="Times New Roman"/>
                <w:color w:val="000000"/>
                <w:sz w:val="18"/>
                <w:szCs w:val="18"/>
              </w:rPr>
            </w:pPr>
          </w:p>
        </w:tc>
        <w:tc>
          <w:tcPr>
            <w:tcW w:w="670" w:type="dxa"/>
            <w:tcBorders>
              <w:top w:val="nil"/>
              <w:left w:val="nil"/>
              <w:bottom w:val="single" w:color="auto" w:sz="4" w:space="0"/>
              <w:right w:val="single" w:color="auto" w:sz="4" w:space="0"/>
            </w:tcBorders>
            <w:shd w:val="clear" w:color="auto" w:fill="D9D9D9" w:themeFill="background1" w:themeFillShade="D9"/>
            <w:vAlign w:val="center"/>
            <w:hideMark/>
          </w:tcPr>
          <w:p w:rsidRPr="007A474D" w:rsidR="00CE66C0" w:rsidP="00CE66C0" w:rsidRDefault="00CE66C0" w14:paraId="3BC5AE89"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0</w:t>
            </w:r>
          </w:p>
        </w:tc>
      </w:tr>
      <w:tr w:rsidRPr="007A474D" w:rsidR="00CE66C0" w:rsidTr="00CE66C0" w14:paraId="089AFCE5" w14:textId="77777777">
        <w:trPr>
          <w:trHeight w:val="285"/>
        </w:trPr>
        <w:tc>
          <w:tcPr>
            <w:tcW w:w="851" w:type="dxa"/>
            <w:tcBorders>
              <w:top w:val="nil"/>
              <w:left w:val="single" w:color="auto" w:sz="4" w:space="0"/>
              <w:bottom w:val="single" w:color="auto" w:sz="4" w:space="0"/>
              <w:right w:val="single" w:color="auto" w:sz="4" w:space="0"/>
            </w:tcBorders>
            <w:shd w:val="clear" w:color="000000" w:fill="FFFFFF"/>
            <w:vAlign w:val="center"/>
          </w:tcPr>
          <w:p w:rsidRPr="007A474D" w:rsidR="00CE66C0" w:rsidP="00CE66C0" w:rsidRDefault="00CE66C0" w14:paraId="1B5BF899" w14:textId="77777777">
            <w:pPr>
              <w:spacing w:line="240" w:lineRule="auto"/>
              <w:jc w:val="center"/>
              <w:rPr>
                <w:rFonts w:ascii="Calibri" w:hAnsi="Calibri" w:eastAsia="Times New Roman"/>
                <w:color w:val="000000"/>
                <w:sz w:val="18"/>
                <w:szCs w:val="18"/>
              </w:rPr>
            </w:pPr>
            <w:r>
              <w:rPr>
                <w:rFonts w:ascii="Calibri" w:hAnsi="Calibri" w:eastAsia="Times New Roman"/>
                <w:color w:val="000000"/>
                <w:sz w:val="18"/>
                <w:szCs w:val="18"/>
              </w:rPr>
              <w:t>9</w:t>
            </w:r>
          </w:p>
        </w:tc>
        <w:tc>
          <w:tcPr>
            <w:tcW w:w="1238" w:type="dxa"/>
            <w:gridSpan w:val="2"/>
            <w:tcBorders>
              <w:top w:val="single" w:color="auto" w:sz="4" w:space="0"/>
              <w:left w:val="nil"/>
              <w:bottom w:val="single" w:color="auto" w:sz="4" w:space="0"/>
              <w:right w:val="single" w:color="auto" w:sz="4" w:space="0"/>
            </w:tcBorders>
            <w:shd w:val="clear" w:color="000000" w:fill="FFFFFF"/>
            <w:vAlign w:val="center"/>
          </w:tcPr>
          <w:p w:rsidRPr="007A474D" w:rsidR="00CE66C0" w:rsidP="00CE66C0" w:rsidRDefault="00CE66C0" w14:paraId="325CC5DF"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0.1278</w:t>
            </w:r>
          </w:p>
        </w:tc>
        <w:tc>
          <w:tcPr>
            <w:tcW w:w="2042" w:type="dxa"/>
            <w:gridSpan w:val="2"/>
            <w:tcBorders>
              <w:top w:val="nil"/>
              <w:left w:val="single" w:color="auto" w:sz="4" w:space="0"/>
              <w:bottom w:val="single" w:color="auto" w:sz="4" w:space="0"/>
              <w:right w:val="single" w:color="auto" w:sz="4" w:space="0"/>
            </w:tcBorders>
            <w:shd w:val="clear" w:color="000000" w:fill="FFFFFF"/>
            <w:vAlign w:val="center"/>
            <w:hideMark/>
          </w:tcPr>
          <w:p w:rsidRPr="007A474D" w:rsidR="00CE66C0" w:rsidP="00CE66C0" w:rsidRDefault="00CE66C0" w14:paraId="2C1FD002"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16.0 - 17.9</w:t>
            </w:r>
          </w:p>
        </w:tc>
        <w:tc>
          <w:tcPr>
            <w:tcW w:w="1843" w:type="dxa"/>
            <w:gridSpan w:val="2"/>
            <w:tcBorders>
              <w:top w:val="nil"/>
              <w:left w:val="nil"/>
              <w:bottom w:val="single" w:color="auto" w:sz="4" w:space="0"/>
              <w:right w:val="single" w:color="auto" w:sz="4" w:space="0"/>
            </w:tcBorders>
            <w:shd w:val="clear" w:color="auto" w:fill="D9D9D9" w:themeFill="background1" w:themeFillShade="D9"/>
            <w:vAlign w:val="center"/>
            <w:hideMark/>
          </w:tcPr>
          <w:p w:rsidRPr="007A474D" w:rsidR="00CE66C0" w:rsidP="00CE66C0" w:rsidRDefault="00CE66C0" w14:paraId="5B7BA7F4"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1</w:t>
            </w:r>
          </w:p>
        </w:tc>
        <w:tc>
          <w:tcPr>
            <w:tcW w:w="3268" w:type="dxa"/>
            <w:vMerge/>
            <w:tcBorders>
              <w:top w:val="nil"/>
              <w:left w:val="single" w:color="auto" w:sz="4" w:space="0"/>
              <w:bottom w:val="single" w:color="auto" w:sz="4" w:space="0"/>
              <w:right w:val="single" w:color="auto" w:sz="4" w:space="0"/>
            </w:tcBorders>
            <w:vAlign w:val="center"/>
            <w:hideMark/>
          </w:tcPr>
          <w:p w:rsidRPr="007A474D" w:rsidR="00CE66C0" w:rsidP="00CE66C0" w:rsidRDefault="00CE66C0" w14:paraId="31E72391" w14:textId="77777777">
            <w:pPr>
              <w:spacing w:line="240" w:lineRule="auto"/>
              <w:jc w:val="left"/>
              <w:rPr>
                <w:rFonts w:ascii="Calibri" w:hAnsi="Calibri" w:eastAsia="Times New Roman"/>
                <w:color w:val="000000"/>
                <w:sz w:val="18"/>
                <w:szCs w:val="18"/>
              </w:rPr>
            </w:pPr>
          </w:p>
        </w:tc>
        <w:tc>
          <w:tcPr>
            <w:tcW w:w="670" w:type="dxa"/>
            <w:tcBorders>
              <w:top w:val="nil"/>
              <w:left w:val="nil"/>
              <w:bottom w:val="single" w:color="auto" w:sz="4" w:space="0"/>
              <w:right w:val="single" w:color="auto" w:sz="4" w:space="0"/>
            </w:tcBorders>
            <w:shd w:val="clear" w:color="auto" w:fill="D9D9D9" w:themeFill="background1" w:themeFillShade="D9"/>
            <w:vAlign w:val="center"/>
            <w:hideMark/>
          </w:tcPr>
          <w:p w:rsidRPr="007A474D" w:rsidR="00CE66C0" w:rsidP="00CE66C0" w:rsidRDefault="00CE66C0" w14:paraId="0B4C490C"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0</w:t>
            </w:r>
          </w:p>
        </w:tc>
      </w:tr>
      <w:tr w:rsidRPr="007A474D" w:rsidR="00CE66C0" w:rsidTr="00CE66C0" w14:paraId="01A8031E" w14:textId="77777777">
        <w:trPr>
          <w:trHeight w:val="285"/>
        </w:trPr>
        <w:tc>
          <w:tcPr>
            <w:tcW w:w="851" w:type="dxa"/>
            <w:tcBorders>
              <w:top w:val="nil"/>
              <w:left w:val="single" w:color="auto" w:sz="4" w:space="0"/>
              <w:bottom w:val="single" w:color="auto" w:sz="4" w:space="0"/>
              <w:right w:val="single" w:color="auto" w:sz="4" w:space="0"/>
            </w:tcBorders>
            <w:shd w:val="clear" w:color="000000" w:fill="FFFFFF"/>
            <w:vAlign w:val="center"/>
          </w:tcPr>
          <w:p w:rsidRPr="007A474D" w:rsidR="00CE66C0" w:rsidP="00CE66C0" w:rsidRDefault="00CE66C0" w14:paraId="3CE4A520" w14:textId="77777777">
            <w:pPr>
              <w:spacing w:line="240" w:lineRule="auto"/>
              <w:jc w:val="center"/>
              <w:rPr>
                <w:rFonts w:ascii="Calibri" w:hAnsi="Calibri" w:eastAsia="Times New Roman"/>
                <w:color w:val="000000"/>
                <w:sz w:val="18"/>
                <w:szCs w:val="18"/>
              </w:rPr>
            </w:pPr>
            <w:r>
              <w:rPr>
                <w:rFonts w:ascii="Calibri" w:hAnsi="Calibri" w:eastAsia="Times New Roman"/>
                <w:color w:val="000000"/>
                <w:sz w:val="18"/>
                <w:szCs w:val="18"/>
              </w:rPr>
              <w:t>10</w:t>
            </w:r>
          </w:p>
        </w:tc>
        <w:tc>
          <w:tcPr>
            <w:tcW w:w="1238" w:type="dxa"/>
            <w:gridSpan w:val="2"/>
            <w:tcBorders>
              <w:top w:val="single" w:color="auto" w:sz="4" w:space="0"/>
              <w:left w:val="nil"/>
              <w:bottom w:val="single" w:color="auto" w:sz="4" w:space="0"/>
              <w:right w:val="single" w:color="auto" w:sz="4" w:space="0"/>
            </w:tcBorders>
            <w:shd w:val="clear" w:color="000000" w:fill="FFFFFF"/>
            <w:vAlign w:val="center"/>
          </w:tcPr>
          <w:p w:rsidRPr="007A474D" w:rsidR="00CE66C0" w:rsidP="00CE66C0" w:rsidRDefault="00CE66C0" w14:paraId="2A9F7E7D"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0.9108</w:t>
            </w:r>
          </w:p>
        </w:tc>
        <w:tc>
          <w:tcPr>
            <w:tcW w:w="2042" w:type="dxa"/>
            <w:gridSpan w:val="2"/>
            <w:tcBorders>
              <w:top w:val="nil"/>
              <w:left w:val="single" w:color="auto" w:sz="4" w:space="0"/>
              <w:bottom w:val="single" w:color="auto" w:sz="4" w:space="0"/>
              <w:right w:val="single" w:color="auto" w:sz="4" w:space="0"/>
            </w:tcBorders>
            <w:shd w:val="clear" w:color="000000" w:fill="FFFFFF"/>
            <w:vAlign w:val="center"/>
            <w:hideMark/>
          </w:tcPr>
          <w:p w:rsidRPr="007A474D" w:rsidR="00CE66C0" w:rsidP="00CE66C0" w:rsidRDefault="00CE66C0" w14:paraId="43C44E49"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18.0 - 19.9</w:t>
            </w:r>
          </w:p>
        </w:tc>
        <w:tc>
          <w:tcPr>
            <w:tcW w:w="1843" w:type="dxa"/>
            <w:gridSpan w:val="2"/>
            <w:tcBorders>
              <w:top w:val="nil"/>
              <w:left w:val="nil"/>
              <w:bottom w:val="single" w:color="auto" w:sz="4" w:space="0"/>
              <w:right w:val="single" w:color="auto" w:sz="4" w:space="0"/>
            </w:tcBorders>
            <w:shd w:val="clear" w:color="auto" w:fill="D9D9D9" w:themeFill="background1" w:themeFillShade="D9"/>
            <w:vAlign w:val="center"/>
            <w:hideMark/>
          </w:tcPr>
          <w:p w:rsidRPr="007A474D" w:rsidR="00CE66C0" w:rsidP="00CE66C0" w:rsidRDefault="00CE66C0" w14:paraId="5CFC2E4B"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12</w:t>
            </w:r>
          </w:p>
        </w:tc>
        <w:tc>
          <w:tcPr>
            <w:tcW w:w="3268" w:type="dxa"/>
            <w:vMerge/>
            <w:tcBorders>
              <w:top w:val="nil"/>
              <w:left w:val="single" w:color="auto" w:sz="4" w:space="0"/>
              <w:bottom w:val="single" w:color="auto" w:sz="4" w:space="0"/>
              <w:right w:val="single" w:color="auto" w:sz="4" w:space="0"/>
            </w:tcBorders>
            <w:vAlign w:val="center"/>
            <w:hideMark/>
          </w:tcPr>
          <w:p w:rsidRPr="007A474D" w:rsidR="00CE66C0" w:rsidP="00CE66C0" w:rsidRDefault="00CE66C0" w14:paraId="5188E30A" w14:textId="77777777">
            <w:pPr>
              <w:spacing w:line="240" w:lineRule="auto"/>
              <w:jc w:val="left"/>
              <w:rPr>
                <w:rFonts w:ascii="Calibri" w:hAnsi="Calibri" w:eastAsia="Times New Roman"/>
                <w:color w:val="000000"/>
                <w:sz w:val="18"/>
                <w:szCs w:val="18"/>
              </w:rPr>
            </w:pPr>
          </w:p>
        </w:tc>
        <w:tc>
          <w:tcPr>
            <w:tcW w:w="670" w:type="dxa"/>
            <w:tcBorders>
              <w:top w:val="nil"/>
              <w:left w:val="nil"/>
              <w:bottom w:val="single" w:color="auto" w:sz="4" w:space="0"/>
              <w:right w:val="single" w:color="auto" w:sz="4" w:space="0"/>
            </w:tcBorders>
            <w:shd w:val="clear" w:color="auto" w:fill="D9D9D9" w:themeFill="background1" w:themeFillShade="D9"/>
            <w:vAlign w:val="center"/>
            <w:hideMark/>
          </w:tcPr>
          <w:p w:rsidRPr="007A474D" w:rsidR="00CE66C0" w:rsidP="00CE66C0" w:rsidRDefault="00CE66C0" w14:paraId="0B7AD0C6"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11</w:t>
            </w:r>
          </w:p>
        </w:tc>
      </w:tr>
      <w:tr w:rsidRPr="007A474D" w:rsidR="00CE66C0" w:rsidTr="00CE66C0" w14:paraId="422522CA" w14:textId="77777777">
        <w:trPr>
          <w:trHeight w:val="285"/>
        </w:trPr>
        <w:tc>
          <w:tcPr>
            <w:tcW w:w="851" w:type="dxa"/>
            <w:tcBorders>
              <w:top w:val="nil"/>
              <w:left w:val="single" w:color="auto" w:sz="4" w:space="0"/>
              <w:bottom w:val="single" w:color="auto" w:sz="4" w:space="0"/>
              <w:right w:val="single" w:color="auto" w:sz="4" w:space="0"/>
            </w:tcBorders>
            <w:shd w:val="clear" w:color="000000" w:fill="FFFFFF"/>
            <w:vAlign w:val="center"/>
          </w:tcPr>
          <w:p w:rsidRPr="007A474D" w:rsidR="00CE66C0" w:rsidP="00CE66C0" w:rsidRDefault="00CE66C0" w14:paraId="258C3871" w14:textId="77777777">
            <w:pPr>
              <w:spacing w:line="240" w:lineRule="auto"/>
              <w:jc w:val="center"/>
              <w:rPr>
                <w:rFonts w:ascii="Calibri" w:hAnsi="Calibri" w:eastAsia="Times New Roman"/>
                <w:color w:val="000000"/>
                <w:sz w:val="18"/>
                <w:szCs w:val="18"/>
              </w:rPr>
            </w:pPr>
            <w:r>
              <w:rPr>
                <w:rFonts w:ascii="Calibri" w:hAnsi="Calibri" w:eastAsia="Times New Roman"/>
                <w:color w:val="000000"/>
                <w:sz w:val="18"/>
                <w:szCs w:val="18"/>
              </w:rPr>
              <w:t>11</w:t>
            </w:r>
          </w:p>
        </w:tc>
        <w:tc>
          <w:tcPr>
            <w:tcW w:w="1238" w:type="dxa"/>
            <w:gridSpan w:val="2"/>
            <w:tcBorders>
              <w:top w:val="single" w:color="auto" w:sz="4" w:space="0"/>
              <w:left w:val="nil"/>
              <w:bottom w:val="single" w:color="auto" w:sz="4" w:space="0"/>
              <w:right w:val="single" w:color="auto" w:sz="4" w:space="0"/>
            </w:tcBorders>
            <w:shd w:val="clear" w:color="000000" w:fill="FFFFFF"/>
            <w:vAlign w:val="center"/>
          </w:tcPr>
          <w:p w:rsidRPr="007A474D" w:rsidR="00CE66C0" w:rsidP="00CE66C0" w:rsidRDefault="00CE66C0" w14:paraId="0F5E16C7"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1.4706</w:t>
            </w:r>
          </w:p>
        </w:tc>
        <w:tc>
          <w:tcPr>
            <w:tcW w:w="2042" w:type="dxa"/>
            <w:gridSpan w:val="2"/>
            <w:tcBorders>
              <w:top w:val="nil"/>
              <w:left w:val="single" w:color="auto" w:sz="4" w:space="0"/>
              <w:bottom w:val="single" w:color="auto" w:sz="4" w:space="0"/>
              <w:right w:val="single" w:color="auto" w:sz="4" w:space="0"/>
            </w:tcBorders>
            <w:shd w:val="clear" w:color="000000" w:fill="FFFFFF"/>
            <w:vAlign w:val="center"/>
            <w:hideMark/>
          </w:tcPr>
          <w:p w:rsidRPr="007A474D" w:rsidR="00CE66C0" w:rsidP="00CE66C0" w:rsidRDefault="00CE66C0" w14:paraId="279C9976"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20.0 - 21.9</w:t>
            </w:r>
          </w:p>
        </w:tc>
        <w:tc>
          <w:tcPr>
            <w:tcW w:w="1843" w:type="dxa"/>
            <w:gridSpan w:val="2"/>
            <w:tcBorders>
              <w:top w:val="nil"/>
              <w:left w:val="nil"/>
              <w:bottom w:val="single" w:color="auto" w:sz="4" w:space="0"/>
              <w:right w:val="single" w:color="auto" w:sz="4" w:space="0"/>
            </w:tcBorders>
            <w:shd w:val="clear" w:color="auto" w:fill="D9D9D9" w:themeFill="background1" w:themeFillShade="D9"/>
            <w:vAlign w:val="center"/>
            <w:hideMark/>
          </w:tcPr>
          <w:p w:rsidRPr="007A474D" w:rsidR="00CE66C0" w:rsidP="00CE66C0" w:rsidRDefault="00CE66C0" w14:paraId="3DB818CD"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10</w:t>
            </w:r>
          </w:p>
        </w:tc>
        <w:tc>
          <w:tcPr>
            <w:tcW w:w="3268" w:type="dxa"/>
            <w:vMerge/>
            <w:tcBorders>
              <w:top w:val="nil"/>
              <w:left w:val="single" w:color="auto" w:sz="4" w:space="0"/>
              <w:bottom w:val="single" w:color="auto" w:sz="4" w:space="0"/>
              <w:right w:val="single" w:color="auto" w:sz="4" w:space="0"/>
            </w:tcBorders>
            <w:vAlign w:val="center"/>
            <w:hideMark/>
          </w:tcPr>
          <w:p w:rsidRPr="007A474D" w:rsidR="00CE66C0" w:rsidP="00CE66C0" w:rsidRDefault="00CE66C0" w14:paraId="5A9C32E5" w14:textId="77777777">
            <w:pPr>
              <w:spacing w:line="240" w:lineRule="auto"/>
              <w:jc w:val="left"/>
              <w:rPr>
                <w:rFonts w:ascii="Calibri" w:hAnsi="Calibri" w:eastAsia="Times New Roman"/>
                <w:color w:val="000000"/>
                <w:sz w:val="18"/>
                <w:szCs w:val="18"/>
              </w:rPr>
            </w:pPr>
          </w:p>
        </w:tc>
        <w:tc>
          <w:tcPr>
            <w:tcW w:w="670" w:type="dxa"/>
            <w:tcBorders>
              <w:top w:val="nil"/>
              <w:left w:val="nil"/>
              <w:bottom w:val="single" w:color="auto" w:sz="4" w:space="0"/>
              <w:right w:val="single" w:color="auto" w:sz="4" w:space="0"/>
            </w:tcBorders>
            <w:shd w:val="clear" w:color="auto" w:fill="D9D9D9" w:themeFill="background1" w:themeFillShade="D9"/>
            <w:vAlign w:val="center"/>
            <w:hideMark/>
          </w:tcPr>
          <w:p w:rsidRPr="007A474D" w:rsidR="00CE66C0" w:rsidP="00CE66C0" w:rsidRDefault="00CE66C0" w14:paraId="35596930"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15</w:t>
            </w:r>
          </w:p>
        </w:tc>
      </w:tr>
      <w:tr w:rsidRPr="007A474D" w:rsidR="00CE66C0" w:rsidTr="00CE66C0" w14:paraId="6AA3DFF6" w14:textId="77777777">
        <w:trPr>
          <w:trHeight w:val="285"/>
        </w:trPr>
        <w:tc>
          <w:tcPr>
            <w:tcW w:w="851" w:type="dxa"/>
            <w:tcBorders>
              <w:top w:val="nil"/>
              <w:left w:val="single" w:color="auto" w:sz="4" w:space="0"/>
              <w:bottom w:val="single" w:color="auto" w:sz="4" w:space="0"/>
              <w:right w:val="single" w:color="auto" w:sz="4" w:space="0"/>
            </w:tcBorders>
            <w:shd w:val="clear" w:color="000000" w:fill="FFFFFF"/>
            <w:vAlign w:val="center"/>
          </w:tcPr>
          <w:p w:rsidRPr="007A474D" w:rsidR="00CE66C0" w:rsidP="00CE66C0" w:rsidRDefault="00CE66C0" w14:paraId="25B47CBF" w14:textId="77777777">
            <w:pPr>
              <w:spacing w:line="240" w:lineRule="auto"/>
              <w:jc w:val="center"/>
              <w:rPr>
                <w:rFonts w:ascii="Calibri" w:hAnsi="Calibri" w:eastAsia="Times New Roman"/>
                <w:color w:val="000000"/>
                <w:sz w:val="18"/>
                <w:szCs w:val="18"/>
              </w:rPr>
            </w:pPr>
            <w:r>
              <w:rPr>
                <w:rFonts w:ascii="Calibri" w:hAnsi="Calibri" w:eastAsia="Times New Roman"/>
                <w:color w:val="000000"/>
                <w:sz w:val="18"/>
                <w:szCs w:val="18"/>
              </w:rPr>
              <w:t>12</w:t>
            </w:r>
          </w:p>
        </w:tc>
        <w:tc>
          <w:tcPr>
            <w:tcW w:w="1238" w:type="dxa"/>
            <w:gridSpan w:val="2"/>
            <w:tcBorders>
              <w:top w:val="single" w:color="auto" w:sz="4" w:space="0"/>
              <w:left w:val="nil"/>
              <w:bottom w:val="single" w:color="auto" w:sz="4" w:space="0"/>
              <w:right w:val="single" w:color="auto" w:sz="4" w:space="0"/>
            </w:tcBorders>
            <w:shd w:val="clear" w:color="000000" w:fill="FFFFFF"/>
            <w:vAlign w:val="center"/>
          </w:tcPr>
          <w:p w:rsidRPr="007A474D" w:rsidR="00CE66C0" w:rsidP="00CE66C0" w:rsidRDefault="00CE66C0" w14:paraId="18226B4E"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0.855</w:t>
            </w:r>
          </w:p>
        </w:tc>
        <w:tc>
          <w:tcPr>
            <w:tcW w:w="2042" w:type="dxa"/>
            <w:gridSpan w:val="2"/>
            <w:tcBorders>
              <w:top w:val="nil"/>
              <w:left w:val="single" w:color="auto" w:sz="4" w:space="0"/>
              <w:bottom w:val="single" w:color="auto" w:sz="4" w:space="0"/>
              <w:right w:val="single" w:color="auto" w:sz="4" w:space="0"/>
            </w:tcBorders>
            <w:shd w:val="clear" w:color="000000" w:fill="FFFFFF"/>
            <w:vAlign w:val="center"/>
            <w:hideMark/>
          </w:tcPr>
          <w:p w:rsidRPr="007A474D" w:rsidR="00CE66C0" w:rsidP="00CE66C0" w:rsidRDefault="00CE66C0" w14:paraId="7B7B407C"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22.0 - 23.9</w:t>
            </w:r>
          </w:p>
        </w:tc>
        <w:tc>
          <w:tcPr>
            <w:tcW w:w="1843" w:type="dxa"/>
            <w:gridSpan w:val="2"/>
            <w:tcBorders>
              <w:top w:val="nil"/>
              <w:left w:val="nil"/>
              <w:bottom w:val="single" w:color="auto" w:sz="4" w:space="0"/>
              <w:right w:val="single" w:color="auto" w:sz="4" w:space="0"/>
            </w:tcBorders>
            <w:shd w:val="clear" w:color="auto" w:fill="D9D9D9" w:themeFill="background1" w:themeFillShade="D9"/>
            <w:vAlign w:val="center"/>
            <w:hideMark/>
          </w:tcPr>
          <w:p w:rsidRPr="007A474D" w:rsidR="00CE66C0" w:rsidP="00CE66C0" w:rsidRDefault="00CE66C0" w14:paraId="4265DB3E"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5</w:t>
            </w:r>
          </w:p>
        </w:tc>
        <w:tc>
          <w:tcPr>
            <w:tcW w:w="3268" w:type="dxa"/>
            <w:vMerge/>
            <w:tcBorders>
              <w:top w:val="nil"/>
              <w:left w:val="single" w:color="auto" w:sz="4" w:space="0"/>
              <w:bottom w:val="single" w:color="auto" w:sz="4" w:space="0"/>
              <w:right w:val="single" w:color="auto" w:sz="4" w:space="0"/>
            </w:tcBorders>
            <w:vAlign w:val="center"/>
            <w:hideMark/>
          </w:tcPr>
          <w:p w:rsidRPr="007A474D" w:rsidR="00CE66C0" w:rsidP="00CE66C0" w:rsidRDefault="00CE66C0" w14:paraId="5898BFA6" w14:textId="77777777">
            <w:pPr>
              <w:spacing w:line="240" w:lineRule="auto"/>
              <w:jc w:val="left"/>
              <w:rPr>
                <w:rFonts w:ascii="Calibri" w:hAnsi="Calibri" w:eastAsia="Times New Roman"/>
                <w:color w:val="000000"/>
                <w:sz w:val="18"/>
                <w:szCs w:val="18"/>
              </w:rPr>
            </w:pPr>
          </w:p>
        </w:tc>
        <w:tc>
          <w:tcPr>
            <w:tcW w:w="670" w:type="dxa"/>
            <w:tcBorders>
              <w:top w:val="nil"/>
              <w:left w:val="nil"/>
              <w:bottom w:val="single" w:color="auto" w:sz="4" w:space="0"/>
              <w:right w:val="single" w:color="auto" w:sz="4" w:space="0"/>
            </w:tcBorders>
            <w:shd w:val="clear" w:color="auto" w:fill="D9D9D9" w:themeFill="background1" w:themeFillShade="D9"/>
            <w:vAlign w:val="center"/>
            <w:hideMark/>
          </w:tcPr>
          <w:p w:rsidRPr="007A474D" w:rsidR="00CE66C0" w:rsidP="00CE66C0" w:rsidRDefault="00CE66C0" w14:paraId="76FD333F"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0</w:t>
            </w:r>
          </w:p>
        </w:tc>
      </w:tr>
      <w:tr w:rsidRPr="007A474D" w:rsidR="00CE66C0" w:rsidTr="00CE66C0" w14:paraId="021C2F7D" w14:textId="77777777">
        <w:trPr>
          <w:trHeight w:val="480"/>
        </w:trPr>
        <w:tc>
          <w:tcPr>
            <w:tcW w:w="851" w:type="dxa"/>
            <w:tcBorders>
              <w:top w:val="nil"/>
              <w:left w:val="single" w:color="auto" w:sz="4" w:space="0"/>
              <w:bottom w:val="single" w:color="auto" w:sz="4" w:space="0"/>
              <w:right w:val="single" w:color="auto" w:sz="4" w:space="0"/>
            </w:tcBorders>
            <w:shd w:val="clear" w:color="000000" w:fill="FFFFFF"/>
            <w:vAlign w:val="center"/>
          </w:tcPr>
          <w:p w:rsidRPr="007A474D" w:rsidR="00CE66C0" w:rsidP="00CE66C0" w:rsidRDefault="00CE66C0" w14:paraId="2BD3C5BF" w14:textId="77777777">
            <w:pPr>
              <w:spacing w:line="240" w:lineRule="auto"/>
              <w:jc w:val="center"/>
              <w:rPr>
                <w:rFonts w:ascii="Calibri" w:hAnsi="Calibri" w:eastAsia="Times New Roman"/>
                <w:color w:val="000000"/>
                <w:sz w:val="18"/>
                <w:szCs w:val="18"/>
              </w:rPr>
            </w:pPr>
            <w:r>
              <w:rPr>
                <w:rFonts w:ascii="Calibri" w:hAnsi="Calibri" w:eastAsia="Times New Roman"/>
                <w:color w:val="000000"/>
                <w:sz w:val="18"/>
                <w:szCs w:val="18"/>
              </w:rPr>
              <w:t>13</w:t>
            </w:r>
          </w:p>
        </w:tc>
        <w:tc>
          <w:tcPr>
            <w:tcW w:w="1238" w:type="dxa"/>
            <w:gridSpan w:val="2"/>
            <w:tcBorders>
              <w:top w:val="single" w:color="auto" w:sz="4" w:space="0"/>
              <w:left w:val="nil"/>
              <w:bottom w:val="single" w:color="auto" w:sz="4" w:space="0"/>
              <w:right w:val="single" w:color="auto" w:sz="4" w:space="0"/>
            </w:tcBorders>
            <w:shd w:val="clear" w:color="000000" w:fill="FFFFFF"/>
            <w:vAlign w:val="center"/>
          </w:tcPr>
          <w:p w:rsidRPr="007A474D" w:rsidR="00CE66C0" w:rsidP="00CE66C0" w:rsidRDefault="00CE66C0" w14:paraId="76560102"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0.1639</w:t>
            </w:r>
          </w:p>
        </w:tc>
        <w:tc>
          <w:tcPr>
            <w:tcW w:w="2042" w:type="dxa"/>
            <w:gridSpan w:val="2"/>
            <w:tcBorders>
              <w:top w:val="nil"/>
              <w:left w:val="single" w:color="auto" w:sz="4" w:space="0"/>
              <w:bottom w:val="single" w:color="auto" w:sz="4" w:space="0"/>
              <w:right w:val="single" w:color="auto" w:sz="4" w:space="0"/>
            </w:tcBorders>
            <w:shd w:val="clear" w:color="000000" w:fill="FFFFFF"/>
            <w:vAlign w:val="center"/>
            <w:hideMark/>
          </w:tcPr>
          <w:p w:rsidRPr="007A474D" w:rsidR="00CE66C0" w:rsidP="00CE66C0" w:rsidRDefault="00CE66C0" w14:paraId="5C7194A6"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15.0 - 19.9</w:t>
            </w:r>
          </w:p>
        </w:tc>
        <w:tc>
          <w:tcPr>
            <w:tcW w:w="1843" w:type="dxa"/>
            <w:gridSpan w:val="2"/>
            <w:tcBorders>
              <w:top w:val="nil"/>
              <w:left w:val="nil"/>
              <w:bottom w:val="single" w:color="auto" w:sz="4" w:space="0"/>
              <w:right w:val="single" w:color="auto" w:sz="4" w:space="0"/>
            </w:tcBorders>
            <w:shd w:val="clear" w:color="auto" w:fill="D9D9D9" w:themeFill="background1" w:themeFillShade="D9"/>
            <w:vAlign w:val="center"/>
            <w:hideMark/>
          </w:tcPr>
          <w:p w:rsidRPr="007A474D" w:rsidR="00CE66C0" w:rsidP="00CE66C0" w:rsidRDefault="00CE66C0" w14:paraId="0C6085F1"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14</w:t>
            </w:r>
          </w:p>
        </w:tc>
        <w:tc>
          <w:tcPr>
            <w:tcW w:w="3268" w:type="dxa"/>
            <w:tcBorders>
              <w:top w:val="nil"/>
              <w:left w:val="nil"/>
              <w:bottom w:val="single" w:color="auto" w:sz="4" w:space="0"/>
              <w:right w:val="single" w:color="auto" w:sz="4" w:space="0"/>
            </w:tcBorders>
            <w:shd w:val="clear" w:color="000000" w:fill="FFFFFF"/>
            <w:vAlign w:val="center"/>
            <w:hideMark/>
          </w:tcPr>
          <w:p w:rsidRPr="007A474D" w:rsidR="00CE66C0" w:rsidP="00CE66C0" w:rsidRDefault="00CE66C0" w14:paraId="6DFF15A9"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Do not consider RH or rain, add 7.5479 to the product of r x h</w:t>
            </w:r>
          </w:p>
        </w:tc>
        <w:tc>
          <w:tcPr>
            <w:tcW w:w="670" w:type="dxa"/>
            <w:tcBorders>
              <w:top w:val="nil"/>
              <w:left w:val="nil"/>
              <w:bottom w:val="single" w:color="auto" w:sz="4" w:space="0"/>
              <w:right w:val="single" w:color="auto" w:sz="4" w:space="0"/>
            </w:tcBorders>
            <w:shd w:val="clear" w:color="auto" w:fill="D9D9D9" w:themeFill="background1" w:themeFillShade="D9"/>
            <w:vAlign w:val="center"/>
            <w:hideMark/>
          </w:tcPr>
          <w:p w:rsidRPr="007A474D" w:rsidR="00CE66C0" w:rsidP="00CE66C0" w:rsidRDefault="00CE66C0" w14:paraId="6DEEED8D"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10</w:t>
            </w:r>
          </w:p>
        </w:tc>
      </w:tr>
      <w:tr w:rsidRPr="007A474D" w:rsidR="00CE66C0" w:rsidTr="00CE66C0" w14:paraId="06CF0304" w14:textId="77777777">
        <w:trPr>
          <w:trHeight w:val="480"/>
        </w:trPr>
        <w:tc>
          <w:tcPr>
            <w:tcW w:w="851" w:type="dxa"/>
            <w:tcBorders>
              <w:top w:val="nil"/>
              <w:left w:val="single" w:color="auto" w:sz="4" w:space="0"/>
              <w:bottom w:val="single" w:color="auto" w:sz="4" w:space="0"/>
              <w:right w:val="single" w:color="auto" w:sz="4" w:space="0"/>
            </w:tcBorders>
            <w:shd w:val="clear" w:color="000000" w:fill="FFFFFF"/>
            <w:vAlign w:val="center"/>
          </w:tcPr>
          <w:p w:rsidRPr="007A474D" w:rsidR="00CE66C0" w:rsidP="00CE66C0" w:rsidRDefault="00CE66C0" w14:paraId="0E568C3B" w14:textId="77777777">
            <w:pPr>
              <w:spacing w:line="240" w:lineRule="auto"/>
              <w:jc w:val="center"/>
              <w:rPr>
                <w:rFonts w:ascii="Calibri" w:hAnsi="Calibri" w:eastAsia="Times New Roman"/>
                <w:color w:val="000000"/>
                <w:sz w:val="18"/>
                <w:szCs w:val="18"/>
              </w:rPr>
            </w:pPr>
            <w:r>
              <w:rPr>
                <w:rFonts w:ascii="Calibri" w:hAnsi="Calibri" w:eastAsia="Times New Roman"/>
                <w:color w:val="000000"/>
                <w:sz w:val="18"/>
                <w:szCs w:val="18"/>
              </w:rPr>
              <w:t>14</w:t>
            </w:r>
          </w:p>
        </w:tc>
        <w:tc>
          <w:tcPr>
            <w:tcW w:w="1238" w:type="dxa"/>
            <w:gridSpan w:val="2"/>
            <w:tcBorders>
              <w:top w:val="single" w:color="auto" w:sz="4" w:space="0"/>
              <w:left w:val="nil"/>
              <w:bottom w:val="single" w:color="auto" w:sz="4" w:space="0"/>
              <w:right w:val="single" w:color="auto" w:sz="4" w:space="0"/>
            </w:tcBorders>
            <w:shd w:val="clear" w:color="000000" w:fill="FFFFFF"/>
            <w:vAlign w:val="center"/>
          </w:tcPr>
          <w:p w:rsidRPr="007A474D" w:rsidR="00CE66C0" w:rsidP="00CE66C0" w:rsidRDefault="00CE66C0" w14:paraId="294E614B"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0.0468</w:t>
            </w:r>
          </w:p>
        </w:tc>
        <w:tc>
          <w:tcPr>
            <w:tcW w:w="2042" w:type="dxa"/>
            <w:gridSpan w:val="2"/>
            <w:tcBorders>
              <w:top w:val="nil"/>
              <w:left w:val="single" w:color="auto" w:sz="4" w:space="0"/>
              <w:bottom w:val="single" w:color="auto" w:sz="4" w:space="0"/>
              <w:right w:val="single" w:color="auto" w:sz="4" w:space="0"/>
            </w:tcBorders>
            <w:shd w:val="clear" w:color="000000" w:fill="FFFFFF"/>
            <w:vAlign w:val="center"/>
            <w:hideMark/>
          </w:tcPr>
          <w:p w:rsidRPr="007A474D" w:rsidR="00CE66C0" w:rsidP="00CE66C0" w:rsidRDefault="00CE66C0" w14:paraId="3EF74B05"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Number of hours with average RH &lt; 70%</w:t>
            </w:r>
          </w:p>
        </w:tc>
        <w:tc>
          <w:tcPr>
            <w:tcW w:w="1843" w:type="dxa"/>
            <w:gridSpan w:val="2"/>
            <w:tcBorders>
              <w:top w:val="nil"/>
              <w:left w:val="nil"/>
              <w:bottom w:val="single" w:color="auto" w:sz="4" w:space="0"/>
              <w:right w:val="single" w:color="auto" w:sz="4" w:space="0"/>
            </w:tcBorders>
            <w:shd w:val="clear" w:color="auto" w:fill="D9D9D9" w:themeFill="background1" w:themeFillShade="D9"/>
            <w:vAlign w:val="center"/>
            <w:hideMark/>
          </w:tcPr>
          <w:p w:rsidRPr="007A474D" w:rsidR="00CE66C0" w:rsidP="00CE66C0" w:rsidRDefault="00CE66C0" w14:paraId="3005D150"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4</w:t>
            </w:r>
          </w:p>
        </w:tc>
        <w:tc>
          <w:tcPr>
            <w:tcW w:w="3268" w:type="dxa"/>
            <w:tcBorders>
              <w:top w:val="nil"/>
              <w:left w:val="nil"/>
              <w:bottom w:val="single" w:color="auto" w:sz="4" w:space="0"/>
              <w:right w:val="single" w:color="auto" w:sz="4" w:space="0"/>
            </w:tcBorders>
            <w:shd w:val="clear" w:color="000000" w:fill="FFFFFF"/>
            <w:vAlign w:val="center"/>
            <w:hideMark/>
          </w:tcPr>
          <w:p w:rsidRPr="007A474D" w:rsidR="00CE66C0" w:rsidP="00CE66C0" w:rsidRDefault="00CE66C0" w14:paraId="6A3BC360"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Subtract 7.8624 from the product of r x h</w:t>
            </w:r>
          </w:p>
        </w:tc>
        <w:tc>
          <w:tcPr>
            <w:tcW w:w="670" w:type="dxa"/>
            <w:tcBorders>
              <w:top w:val="nil"/>
              <w:left w:val="nil"/>
              <w:bottom w:val="single" w:color="auto" w:sz="4" w:space="0"/>
              <w:right w:val="single" w:color="auto" w:sz="4" w:space="0"/>
            </w:tcBorders>
            <w:shd w:val="clear" w:color="auto" w:fill="D9D9D9" w:themeFill="background1" w:themeFillShade="D9"/>
            <w:vAlign w:val="center"/>
            <w:hideMark/>
          </w:tcPr>
          <w:p w:rsidRPr="007A474D" w:rsidR="00CE66C0" w:rsidP="00CE66C0" w:rsidRDefault="00CE66C0" w14:paraId="11C32780"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0</w:t>
            </w:r>
          </w:p>
        </w:tc>
      </w:tr>
      <w:tr w:rsidRPr="007A474D" w:rsidR="00CE66C0" w:rsidTr="00CE66C0" w14:paraId="325560EC" w14:textId="77777777">
        <w:trPr>
          <w:trHeight w:val="285"/>
        </w:trPr>
        <w:tc>
          <w:tcPr>
            <w:tcW w:w="993" w:type="dxa"/>
            <w:gridSpan w:val="2"/>
            <w:tcBorders>
              <w:top w:val="nil"/>
              <w:left w:val="nil"/>
              <w:bottom w:val="nil"/>
              <w:right w:val="nil"/>
            </w:tcBorders>
            <w:shd w:val="clear" w:color="auto" w:fill="auto"/>
            <w:noWrap/>
            <w:vAlign w:val="bottom"/>
            <w:hideMark/>
          </w:tcPr>
          <w:p w:rsidRPr="007A474D" w:rsidR="00CE66C0" w:rsidP="00CE66C0" w:rsidRDefault="00CE66C0" w14:paraId="4EB355B1" w14:textId="77777777">
            <w:pPr>
              <w:spacing w:line="240" w:lineRule="auto"/>
              <w:jc w:val="center"/>
              <w:rPr>
                <w:rFonts w:ascii="Calibri" w:hAnsi="Calibri" w:eastAsia="Times New Roman"/>
                <w:color w:val="000000"/>
                <w:sz w:val="18"/>
                <w:szCs w:val="18"/>
              </w:rPr>
            </w:pPr>
          </w:p>
        </w:tc>
        <w:tc>
          <w:tcPr>
            <w:tcW w:w="1156" w:type="dxa"/>
            <w:gridSpan w:val="2"/>
            <w:tcBorders>
              <w:top w:val="nil"/>
              <w:left w:val="nil"/>
              <w:bottom w:val="nil"/>
              <w:right w:val="nil"/>
            </w:tcBorders>
          </w:tcPr>
          <w:p w:rsidRPr="007A474D" w:rsidR="00CE66C0" w:rsidP="00CE66C0" w:rsidRDefault="00CE66C0" w14:paraId="50EB4BB4" w14:textId="77777777">
            <w:pPr>
              <w:spacing w:line="240" w:lineRule="auto"/>
              <w:jc w:val="left"/>
              <w:rPr>
                <w:rFonts w:ascii="Times New Roman" w:hAnsi="Times New Roman" w:eastAsia="Times New Roman" w:cs="Times New Roman"/>
                <w:szCs w:val="20"/>
              </w:rPr>
            </w:pPr>
          </w:p>
        </w:tc>
        <w:tc>
          <w:tcPr>
            <w:tcW w:w="1982" w:type="dxa"/>
            <w:tcBorders>
              <w:top w:val="nil"/>
              <w:left w:val="nil"/>
              <w:bottom w:val="nil"/>
              <w:right w:val="nil"/>
            </w:tcBorders>
            <w:shd w:val="clear" w:color="auto" w:fill="auto"/>
            <w:noWrap/>
            <w:vAlign w:val="bottom"/>
            <w:hideMark/>
          </w:tcPr>
          <w:p w:rsidRPr="007A474D" w:rsidR="00CE66C0" w:rsidP="00CE66C0" w:rsidRDefault="00CE66C0" w14:paraId="6DC42183" w14:textId="77777777">
            <w:pPr>
              <w:spacing w:line="240" w:lineRule="auto"/>
              <w:jc w:val="left"/>
              <w:rPr>
                <w:rFonts w:ascii="Times New Roman" w:hAnsi="Times New Roman" w:eastAsia="Times New Roman" w:cs="Times New Roman"/>
                <w:szCs w:val="20"/>
              </w:rPr>
            </w:pPr>
          </w:p>
        </w:tc>
        <w:tc>
          <w:tcPr>
            <w:tcW w:w="952" w:type="dxa"/>
            <w:tcBorders>
              <w:top w:val="nil"/>
              <w:left w:val="nil"/>
              <w:bottom w:val="nil"/>
              <w:right w:val="nil"/>
            </w:tcBorders>
            <w:shd w:val="clear" w:color="auto" w:fill="auto"/>
            <w:noWrap/>
            <w:vAlign w:val="bottom"/>
            <w:hideMark/>
          </w:tcPr>
          <w:p w:rsidRPr="007A474D" w:rsidR="00CE66C0" w:rsidP="00CE66C0" w:rsidRDefault="00CE66C0" w14:paraId="184698BA" w14:textId="77777777">
            <w:pPr>
              <w:spacing w:line="240" w:lineRule="auto"/>
              <w:jc w:val="left"/>
              <w:rPr>
                <w:rFonts w:ascii="Times New Roman" w:hAnsi="Times New Roman" w:eastAsia="Times New Roman" w:cs="Times New Roman"/>
                <w:szCs w:val="20"/>
              </w:rPr>
            </w:pPr>
          </w:p>
        </w:tc>
        <w:tc>
          <w:tcPr>
            <w:tcW w:w="4159" w:type="dxa"/>
            <w:gridSpan w:val="2"/>
            <w:tcBorders>
              <w:top w:val="nil"/>
              <w:left w:val="nil"/>
              <w:bottom w:val="nil"/>
              <w:right w:val="nil"/>
            </w:tcBorders>
            <w:shd w:val="clear" w:color="auto" w:fill="auto"/>
            <w:noWrap/>
            <w:vAlign w:val="bottom"/>
            <w:hideMark/>
          </w:tcPr>
          <w:p w:rsidRPr="007A474D" w:rsidR="00CE66C0" w:rsidP="00CE66C0" w:rsidRDefault="00CE66C0" w14:paraId="675DCE0B" w14:textId="77777777">
            <w:pPr>
              <w:spacing w:line="240" w:lineRule="auto"/>
              <w:jc w:val="left"/>
              <w:rPr>
                <w:rFonts w:ascii="Times New Roman" w:hAnsi="Times New Roman" w:eastAsia="Times New Roman" w:cs="Times New Roman"/>
                <w:szCs w:val="20"/>
              </w:rPr>
            </w:pPr>
          </w:p>
        </w:tc>
        <w:tc>
          <w:tcPr>
            <w:tcW w:w="670" w:type="dxa"/>
            <w:tcBorders>
              <w:top w:val="nil"/>
              <w:left w:val="single" w:color="auto" w:sz="4" w:space="0"/>
              <w:bottom w:val="single" w:color="auto" w:sz="4" w:space="0"/>
              <w:right w:val="single" w:color="auto" w:sz="4" w:space="0"/>
            </w:tcBorders>
            <w:shd w:val="clear" w:color="000000" w:fill="FFFFFF"/>
            <w:vAlign w:val="center"/>
            <w:hideMark/>
          </w:tcPr>
          <w:p w:rsidRPr="007A474D" w:rsidR="00CE66C0" w:rsidP="00CE66C0" w:rsidRDefault="00CE66C0" w14:paraId="14B657DC"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 </w:t>
            </w:r>
          </w:p>
        </w:tc>
      </w:tr>
      <w:tr w:rsidRPr="007A474D" w:rsidR="00CE66C0" w:rsidTr="00CE66C0" w14:paraId="20558CA1" w14:textId="77777777">
        <w:trPr>
          <w:trHeight w:val="285"/>
        </w:trPr>
        <w:tc>
          <w:tcPr>
            <w:tcW w:w="993" w:type="dxa"/>
            <w:gridSpan w:val="2"/>
            <w:tcBorders>
              <w:top w:val="nil"/>
              <w:left w:val="nil"/>
              <w:bottom w:val="nil"/>
              <w:right w:val="nil"/>
            </w:tcBorders>
            <w:shd w:val="clear" w:color="auto" w:fill="auto"/>
            <w:noWrap/>
            <w:vAlign w:val="bottom"/>
            <w:hideMark/>
          </w:tcPr>
          <w:p w:rsidRPr="007A474D" w:rsidR="00CE66C0" w:rsidP="00CE66C0" w:rsidRDefault="00CE66C0" w14:paraId="10741AF3" w14:textId="77777777">
            <w:pPr>
              <w:spacing w:line="240" w:lineRule="auto"/>
              <w:jc w:val="center"/>
              <w:rPr>
                <w:rFonts w:ascii="Calibri" w:hAnsi="Calibri" w:eastAsia="Times New Roman"/>
                <w:color w:val="000000"/>
                <w:sz w:val="18"/>
                <w:szCs w:val="18"/>
              </w:rPr>
            </w:pPr>
          </w:p>
        </w:tc>
        <w:tc>
          <w:tcPr>
            <w:tcW w:w="1156" w:type="dxa"/>
            <w:gridSpan w:val="2"/>
            <w:tcBorders>
              <w:top w:val="nil"/>
              <w:left w:val="nil"/>
              <w:bottom w:val="nil"/>
              <w:right w:val="nil"/>
            </w:tcBorders>
          </w:tcPr>
          <w:p w:rsidRPr="007A474D" w:rsidR="00CE66C0" w:rsidP="00CE66C0" w:rsidRDefault="00CE66C0" w14:paraId="513A8E41" w14:textId="77777777">
            <w:pPr>
              <w:spacing w:line="240" w:lineRule="auto"/>
              <w:jc w:val="left"/>
              <w:rPr>
                <w:rFonts w:ascii="Times New Roman" w:hAnsi="Times New Roman" w:eastAsia="Times New Roman" w:cs="Times New Roman"/>
                <w:szCs w:val="20"/>
              </w:rPr>
            </w:pPr>
          </w:p>
        </w:tc>
        <w:tc>
          <w:tcPr>
            <w:tcW w:w="1982" w:type="dxa"/>
            <w:tcBorders>
              <w:top w:val="nil"/>
              <w:left w:val="nil"/>
              <w:bottom w:val="nil"/>
              <w:right w:val="nil"/>
            </w:tcBorders>
            <w:shd w:val="clear" w:color="auto" w:fill="auto"/>
            <w:noWrap/>
            <w:vAlign w:val="bottom"/>
            <w:hideMark/>
          </w:tcPr>
          <w:p w:rsidRPr="007A474D" w:rsidR="00CE66C0" w:rsidP="00CE66C0" w:rsidRDefault="00CE66C0" w14:paraId="4E70335F" w14:textId="77777777">
            <w:pPr>
              <w:spacing w:line="240" w:lineRule="auto"/>
              <w:jc w:val="left"/>
              <w:rPr>
                <w:rFonts w:ascii="Times New Roman" w:hAnsi="Times New Roman" w:eastAsia="Times New Roman" w:cs="Times New Roman"/>
                <w:szCs w:val="20"/>
              </w:rPr>
            </w:pPr>
          </w:p>
        </w:tc>
        <w:tc>
          <w:tcPr>
            <w:tcW w:w="952" w:type="dxa"/>
            <w:tcBorders>
              <w:top w:val="nil"/>
              <w:left w:val="nil"/>
              <w:bottom w:val="nil"/>
              <w:right w:val="nil"/>
            </w:tcBorders>
            <w:shd w:val="clear" w:color="auto" w:fill="auto"/>
            <w:noWrap/>
            <w:vAlign w:val="bottom"/>
            <w:hideMark/>
          </w:tcPr>
          <w:p w:rsidRPr="007A474D" w:rsidR="00CE66C0" w:rsidP="00CE66C0" w:rsidRDefault="00CE66C0" w14:paraId="416FA299" w14:textId="77777777">
            <w:pPr>
              <w:spacing w:line="240" w:lineRule="auto"/>
              <w:jc w:val="left"/>
              <w:rPr>
                <w:rFonts w:ascii="Times New Roman" w:hAnsi="Times New Roman" w:eastAsia="Times New Roman" w:cs="Times New Roman"/>
                <w:szCs w:val="20"/>
              </w:rPr>
            </w:pPr>
          </w:p>
        </w:tc>
        <w:tc>
          <w:tcPr>
            <w:tcW w:w="4159" w:type="dxa"/>
            <w:gridSpan w:val="2"/>
            <w:tcBorders>
              <w:top w:val="nil"/>
              <w:left w:val="nil"/>
              <w:bottom w:val="nil"/>
              <w:right w:val="nil"/>
            </w:tcBorders>
            <w:shd w:val="clear" w:color="auto" w:fill="auto"/>
            <w:noWrap/>
            <w:vAlign w:val="center"/>
            <w:hideMark/>
          </w:tcPr>
          <w:p w:rsidRPr="00497C44" w:rsidR="00CE66C0" w:rsidP="00CE66C0" w:rsidRDefault="00CE66C0" w14:paraId="72BD8E50" w14:textId="77777777">
            <w:pPr>
              <w:spacing w:line="240" w:lineRule="auto"/>
              <w:jc w:val="right"/>
              <w:rPr>
                <w:rFonts w:ascii="Times New Roman" w:hAnsi="Times New Roman" w:eastAsia="Times New Roman" w:cs="Times New Roman"/>
                <w:szCs w:val="20"/>
                <w:u w:val="single"/>
                <w:lang w:val="fr-CH"/>
              </w:rPr>
            </w:pPr>
            <w:r w:rsidRPr="00497C44">
              <w:rPr>
                <w:rFonts w:ascii="Times New Roman" w:hAnsi="Times New Roman" w:eastAsia="Times New Roman" w:cs="Times New Roman"/>
                <w:sz w:val="18"/>
                <w:szCs w:val="20"/>
                <w:u w:val="single"/>
                <w:lang w:val="fr-CH"/>
              </w:rPr>
              <w:t>Valeur du risqué de mildiou </w:t>
            </w:r>
            <w:r>
              <w:rPr>
                <w:rFonts w:ascii="Times New Roman" w:hAnsi="Times New Roman" w:eastAsia="Times New Roman" w:cs="Times New Roman"/>
                <w:sz w:val="18"/>
                <w:szCs w:val="20"/>
                <w:u w:val="single"/>
                <w:lang w:val="fr-CH"/>
              </w:rPr>
              <w:t xml:space="preserve">(VRM) </w:t>
            </w:r>
            <w:r w:rsidRPr="00497C44">
              <w:rPr>
                <w:rFonts w:ascii="Times New Roman" w:hAnsi="Times New Roman" w:eastAsia="Times New Roman" w:cs="Times New Roman"/>
                <w:sz w:val="18"/>
                <w:szCs w:val="20"/>
                <w:u w:val="single"/>
                <w:lang w:val="fr-CH"/>
              </w:rPr>
              <w:t>:</w:t>
            </w:r>
          </w:p>
        </w:tc>
        <w:tc>
          <w:tcPr>
            <w:tcW w:w="670" w:type="dxa"/>
            <w:tcBorders>
              <w:top w:val="nil"/>
              <w:left w:val="single" w:color="auto" w:sz="4" w:space="0"/>
              <w:bottom w:val="single" w:color="auto" w:sz="4" w:space="0"/>
              <w:right w:val="single" w:color="auto" w:sz="4" w:space="0"/>
            </w:tcBorders>
            <w:shd w:val="clear" w:color="auto" w:fill="F7CAAC" w:themeFill="accent2" w:themeFillTint="66"/>
            <w:vAlign w:val="center"/>
            <w:hideMark/>
          </w:tcPr>
          <w:p w:rsidRPr="007A474D" w:rsidR="00CE66C0" w:rsidP="00CE66C0" w:rsidRDefault="00CE66C0" w14:paraId="6D097EE2" w14:textId="77777777">
            <w:pPr>
              <w:spacing w:line="240" w:lineRule="auto"/>
              <w:jc w:val="center"/>
              <w:rPr>
                <w:rFonts w:ascii="Calibri" w:hAnsi="Calibri" w:eastAsia="Times New Roman"/>
                <w:color w:val="000000"/>
                <w:sz w:val="18"/>
                <w:szCs w:val="18"/>
              </w:rPr>
            </w:pPr>
            <w:r w:rsidRPr="007A474D">
              <w:rPr>
                <w:rFonts w:ascii="Calibri" w:hAnsi="Calibri" w:eastAsia="Times New Roman"/>
                <w:color w:val="000000"/>
                <w:sz w:val="18"/>
                <w:szCs w:val="18"/>
              </w:rPr>
              <w:t>57</w:t>
            </w:r>
          </w:p>
        </w:tc>
      </w:tr>
    </w:tbl>
    <w:p w:rsidR="00CE66C0" w:rsidP="00CE66C0" w:rsidRDefault="00CE66C0" w14:paraId="0D00BEF4" w14:textId="77777777"/>
    <w:p w:rsidR="00CE66C0" w:rsidP="00CE66C0" w:rsidRDefault="00CE66C0" w14:paraId="70AA4E89" w14:textId="77777777">
      <w:pPr>
        <w:rPr>
          <w:lang w:val="fr-CH"/>
        </w:rPr>
      </w:pPr>
      <w:r w:rsidRPr="006A0497">
        <w:rPr>
          <w:lang w:val="fr-CH"/>
        </w:rPr>
        <w:t>En 2006, un</w:t>
      </w:r>
      <w:r>
        <w:rPr>
          <w:lang w:val="fr-CH"/>
        </w:rPr>
        <w:t>e</w:t>
      </w:r>
      <w:r w:rsidRPr="006A0497">
        <w:rPr>
          <w:lang w:val="fr-CH"/>
        </w:rPr>
        <w:t xml:space="preserve"> validation de l’efficacité du modèle NegFry pour lutter contre le mildiou de la pomme de</w:t>
      </w:r>
      <w:r>
        <w:rPr>
          <w:lang w:val="fr-CH"/>
        </w:rPr>
        <w:t xml:space="preserve"> </w:t>
      </w:r>
      <w:r w:rsidRPr="006A0497">
        <w:rPr>
          <w:lang w:val="fr-CH"/>
        </w:rPr>
        <w:t>terre</w:t>
      </w:r>
      <w:r>
        <w:rPr>
          <w:lang w:val="fr-CH"/>
        </w:rPr>
        <w:t xml:space="preserve"> a été menée avec succès. </w:t>
      </w:r>
      <w:r>
        <w:rPr>
          <w:lang w:val="fr-CH"/>
        </w:rPr>
        <w:fldChar w:fldCharType="begin"/>
      </w:r>
      <w:r>
        <w:rPr>
          <w:lang w:val="fr-CH"/>
        </w:rPr>
        <w:instrText xml:space="preserve"> ADDIN EN.CITE &lt;EndNote&gt;&lt;Cite AuthorYear="1"&gt;&lt;Author&gt;Eremeev&lt;/Author&gt;&lt;Year&gt;2006&lt;/Year&gt;&lt;RecNum&gt;50&lt;/RecNum&gt;&lt;DisplayText&gt;Eremeev et al. (2006)&lt;/DisplayText&gt;&lt;record&gt;&lt;rec-number&gt;50&lt;/rec-number&gt;&lt;foreign-keys&gt;&lt;key app="EN" db-id="ztsx2rzelztrs2ez5f9pwfswwsx0pxa92rdz" timestamp="1623757610"&gt;50&lt;/key&gt;&lt;/foreign-keys&gt;&lt;ref-type name="Journal Article"&gt;17&lt;/ref-type&gt;&lt;contributors&gt;&lt;authors&gt;&lt;author&gt;Eremeev, Vyacheslav&lt;/author&gt;&lt;author&gt;Lõhmus, A.&lt;/author&gt;&lt;author&gt;Jõudu, J.&lt;/author&gt;&lt;/authors&gt;&lt;/contributors&gt;&lt;titles&gt;&lt;title&gt;NegFry - DSS for the chemical control of potato late blight - results of validation trails in Tartu&lt;/title&gt;&lt;secondary-title&gt;Agronomy Research&lt;/secondary-title&gt;&lt;/titles&gt;&lt;periodical&gt;&lt;full-title&gt;Agronomy Research&lt;/full-title&gt;&lt;/periodical&gt;&lt;pages&gt;167-170&lt;/pages&gt;&lt;volume&gt;4&lt;/volume&gt;&lt;dates&gt;&lt;year&gt;2006&lt;/year&gt;&lt;pub-dates&gt;&lt;date&gt;01/01&lt;/date&gt;&lt;/pub-dates&gt;&lt;/dates&gt;&lt;urls&gt;&lt;/urls&gt;&lt;/record&gt;&lt;/Cite&gt;&lt;/EndNote&gt;</w:instrText>
      </w:r>
      <w:r>
        <w:rPr>
          <w:lang w:val="fr-CH"/>
        </w:rPr>
        <w:fldChar w:fldCharType="separate"/>
      </w:r>
      <w:r>
        <w:rPr>
          <w:noProof/>
          <w:lang w:val="fr-CH"/>
        </w:rPr>
        <w:t>Eremeev et al. (2006)</w:t>
      </w:r>
      <w:r>
        <w:rPr>
          <w:lang w:val="fr-CH"/>
        </w:rPr>
        <w:fldChar w:fldCharType="end"/>
      </w:r>
      <w:r w:rsidRPr="006A0497">
        <w:rPr>
          <w:lang w:val="fr-CH"/>
        </w:rPr>
        <w:t xml:space="preserve"> </w:t>
      </w:r>
      <w:r>
        <w:rPr>
          <w:lang w:val="fr-CH"/>
        </w:rPr>
        <w:t xml:space="preserve">ont montré que la prédiction des premières attaques liés au mildiou ainsi qu’une optimisation des traitements phytosanitaires avaient pu être améliorés, rendant la culture plus économe en produits phytosanitaires. Essentiellement, le modèle NegFry a permis de diminuer les traitements préventifs ainsi que les traitements systématiques qui sont usuellement effectués chaque 8-10 jours tout le long de la période de croissance des plants. </w:t>
      </w:r>
    </w:p>
    <w:p w:rsidR="00CE66C0" w:rsidP="00CE66C0" w:rsidRDefault="00CE66C0" w14:paraId="5093CAF0" w14:textId="77777777">
      <w:pPr>
        <w:rPr>
          <w:lang w:val="fr-CH"/>
        </w:rPr>
      </w:pPr>
      <w:r>
        <w:rPr>
          <w:lang w:val="fr-CH"/>
        </w:rPr>
        <w:t>Le modèle NegFry est originellement prévu pour lutter contre le mildiou de la pomme de terre (</w:t>
      </w:r>
      <w:r w:rsidRPr="00502F42">
        <w:rPr>
          <w:i/>
          <w:lang w:val="fr-CH"/>
        </w:rPr>
        <w:t>Phytophtora infestans</w:t>
      </w:r>
      <w:r>
        <w:rPr>
          <w:lang w:val="fr-CH"/>
        </w:rPr>
        <w:t>) et non contre le mildiou du concombre (</w:t>
      </w:r>
      <w:r w:rsidRPr="00502F42">
        <w:rPr>
          <w:i/>
          <w:lang w:val="fr-CH"/>
        </w:rPr>
        <w:t>Pseudoperonospora cubensis</w:t>
      </w:r>
      <w:r>
        <w:rPr>
          <w:lang w:val="fr-CH"/>
        </w:rPr>
        <w:t>). Toutefois, les conditions climatiques en serre qui sont favorable</w:t>
      </w:r>
      <w:r w:rsidR="00502F42">
        <w:rPr>
          <w:lang w:val="fr-CH"/>
        </w:rPr>
        <w:t>s</w:t>
      </w:r>
      <w:r>
        <w:rPr>
          <w:lang w:val="fr-CH"/>
        </w:rPr>
        <w:t xml:space="preserve"> à l’apparition de ces deux maladies sont extrêmement proche</w:t>
      </w:r>
      <w:r w:rsidR="00502F42">
        <w:rPr>
          <w:lang w:val="fr-CH"/>
        </w:rPr>
        <w:t>s</w:t>
      </w:r>
      <w:r>
        <w:rPr>
          <w:lang w:val="fr-CH"/>
        </w:rPr>
        <w:t xml:space="preserve"> (</w:t>
      </w:r>
      <w:r w:rsidRPr="00502F42">
        <w:rPr>
          <w:i/>
          <w:lang w:val="fr-CH"/>
        </w:rPr>
        <w:t>i.e.</w:t>
      </w:r>
      <w:r>
        <w:rPr>
          <w:lang w:val="fr-CH"/>
        </w:rPr>
        <w:t xml:space="preserve"> forte humidité HR≥85% pendant une certaine durée). Dans les deux cas, les zoospores nécessitent une forte humidité afin de pouvoir germer et pénétrer les feuilles </w:t>
      </w:r>
      <w:r w:rsidRPr="00502F42">
        <w:rPr>
          <w:i/>
          <w:lang w:val="fr-CH"/>
        </w:rPr>
        <w:t>via</w:t>
      </w:r>
      <w:r>
        <w:rPr>
          <w:lang w:val="fr-CH"/>
        </w:rPr>
        <w:t xml:space="preserve"> les stomates. De ce fait, il est raisonnable de penser que le modèle NegFry puisse aussi prédire une attaque de mildiou sur concombre.</w:t>
      </w:r>
    </w:p>
    <w:p w:rsidRPr="00BC4F07" w:rsidR="00BC4F07" w:rsidP="004F1A13" w:rsidRDefault="00BC4F07" w14:paraId="50DD4C0D" w14:textId="77777777">
      <w:pPr>
        <w:rPr>
          <w:lang w:val="fr-CH"/>
        </w:rPr>
      </w:pPr>
      <w:r w:rsidRPr="00BC4F07">
        <w:rPr>
          <w:b/>
          <w:i/>
          <w:lang w:val="fr-CH"/>
        </w:rPr>
        <w:t>Reconnaissance d’</w:t>
      </w:r>
      <w:r>
        <w:rPr>
          <w:b/>
          <w:i/>
          <w:lang w:val="fr-CH"/>
        </w:rPr>
        <w:t>i</w:t>
      </w:r>
      <w:r w:rsidRPr="00BC4F07">
        <w:rPr>
          <w:b/>
          <w:i/>
          <w:lang w:val="fr-CH"/>
        </w:rPr>
        <w:t>mages.</w:t>
      </w:r>
      <w:r>
        <w:rPr>
          <w:lang w:val="fr-CH"/>
        </w:rPr>
        <w:t xml:space="preserve"> </w:t>
      </w:r>
      <w:r w:rsidRPr="00BC4F07">
        <w:rPr>
          <w:lang w:val="fr-CH"/>
        </w:rPr>
        <w:t>Une méthode de reconnaissance des maladies du concombre</w:t>
      </w:r>
      <w:r w:rsidR="003E4ABE">
        <w:rPr>
          <w:lang w:val="fr-CH"/>
        </w:rPr>
        <w:t>, et en particulier du mildiou,</w:t>
      </w:r>
      <w:r w:rsidRPr="00BC4F07">
        <w:rPr>
          <w:lang w:val="fr-CH"/>
        </w:rPr>
        <w:t xml:space="preserve"> utilisant des images de symptômes foliaires basées sur un réseau neuronal à convolution profonde</w:t>
      </w:r>
      <w:r w:rsidR="003E4ABE">
        <w:rPr>
          <w:lang w:val="fr-CH"/>
        </w:rPr>
        <w:t xml:space="preserve"> a été publiée </w:t>
      </w:r>
      <w:r w:rsidR="003E4ABE">
        <w:rPr>
          <w:lang w:val="fr-CH"/>
        </w:rPr>
        <w:fldChar w:fldCharType="begin"/>
      </w:r>
      <w:r w:rsidR="003E4ABE">
        <w:rPr>
          <w:lang w:val="fr-CH"/>
        </w:rPr>
        <w:instrText xml:space="preserve"> ADDIN EN.CITE &lt;EndNote&gt;&lt;Cite&gt;&lt;Author&gt;Ma&lt;/Author&gt;&lt;Year&gt;2018&lt;/Year&gt;&lt;RecNum&gt;26&lt;/RecNum&gt;&lt;DisplayText&gt;(Ma et al., 2018)&lt;/DisplayText&gt;&lt;record&gt;&lt;rec-number&gt;26&lt;/rec-number&gt;&lt;foreign-keys&gt;&lt;key app="EN" db-id="ztsx2rzelztrs2ez5f9pwfswwsx0pxa92rdz" timestamp="1623135375"&gt;26&lt;/key&gt;&lt;/foreign-keys&gt;&lt;ref-type name="Journal Article"&gt;17&lt;/ref-type&gt;&lt;contributors&gt;&lt;authors&gt;&lt;author&gt;Ma, Juncheng&lt;/author&gt;&lt;author&gt;Du, Keming&lt;/author&gt;&lt;author&gt;Zheng, Feixiang&lt;/author&gt;&lt;author&gt;Zhang, Lingxian&lt;/author&gt;&lt;author&gt;Gong, Zhihong&lt;/author&gt;&lt;author&gt;Sun, Zhongfu&lt;/author&gt;&lt;/authors&gt;&lt;/contributors&gt;&lt;titles&gt;&lt;title&gt;A recognition method for cucumber diseases using leaf symptom images based on deep convolutional neural network&lt;/title&gt;&lt;secondary-title&gt;Computers and Electronics in Agriculture&lt;/secondary-title&gt;&lt;/titles&gt;&lt;periodical&gt;&lt;full-title&gt;Computers and Electronics in Agriculture&lt;/full-title&gt;&lt;/periodical&gt;&lt;pages&gt;18-24&lt;/pages&gt;&lt;volume&gt;154&lt;/volume&gt;&lt;keywords&gt;&lt;keyword&gt;Cucumber&lt;/keyword&gt;&lt;keyword&gt;Diseases&lt;/keyword&gt;&lt;keyword&gt;Deep convolutional neural network&lt;/keyword&gt;&lt;keyword&gt;Symptom images&lt;/keyword&gt;&lt;keyword&gt;Recognition&lt;/keyword&gt;&lt;/keywords&gt;&lt;dates&gt;&lt;year&gt;2018&lt;/year&gt;&lt;pub-dates&gt;&lt;date&gt;2018/11/01/&lt;/date&gt;&lt;/pub-dates&gt;&lt;/dates&gt;&lt;isbn&gt;0168-1699&lt;/isbn&gt;&lt;urls&gt;&lt;related-urls&gt;&lt;url&gt;https://www.sciencedirect.com/science/article/pii/S0168169918309360&lt;/url&gt;&lt;/related-urls&gt;&lt;/urls&gt;&lt;electronic-resource-num&gt;https://doi.org/10.1016/j.compag.2018.08.048&lt;/electronic-resource-num&gt;&lt;/record&gt;&lt;/Cite&gt;&lt;/EndNote&gt;</w:instrText>
      </w:r>
      <w:r w:rsidR="003E4ABE">
        <w:rPr>
          <w:lang w:val="fr-CH"/>
        </w:rPr>
        <w:fldChar w:fldCharType="separate"/>
      </w:r>
      <w:r w:rsidR="003E4ABE">
        <w:rPr>
          <w:noProof/>
          <w:lang w:val="fr-CH"/>
        </w:rPr>
        <w:t>(Ma et al., 2018)</w:t>
      </w:r>
      <w:r w:rsidR="003E4ABE">
        <w:rPr>
          <w:lang w:val="fr-CH"/>
        </w:rPr>
        <w:fldChar w:fldCharType="end"/>
      </w:r>
      <w:r w:rsidR="003E4ABE">
        <w:rPr>
          <w:lang w:val="fr-CH"/>
        </w:rPr>
        <w:t>.</w:t>
      </w:r>
    </w:p>
    <w:p w:rsidRPr="001E48F7" w:rsidR="00BC4F07" w:rsidP="000435A7" w:rsidRDefault="003E4ABE" w14:paraId="54BB7A05" w14:textId="77777777">
      <w:pPr>
        <w:rPr>
          <w:lang w:val="fr-CH"/>
        </w:rPr>
      </w:pPr>
      <w:r w:rsidRPr="003E4ABE">
        <w:rPr>
          <w:lang w:val="fr-CH"/>
        </w:rPr>
        <w:t>Un réseau neuronal convolutif profond (DCNN) a été proposé pour effectuer une reconnaissance des symptômes de quatre maladies du concombre, à savoir l'anthracnose</w:t>
      </w:r>
      <w:r w:rsidR="000435A7">
        <w:rPr>
          <w:lang w:val="fr-CH"/>
        </w:rPr>
        <w:t xml:space="preserve"> (</w:t>
      </w:r>
      <w:r w:rsidRPr="000435A7" w:rsidR="000435A7">
        <w:rPr>
          <w:i/>
          <w:lang w:val="fr-CH"/>
        </w:rPr>
        <w:t>Colletotrichum orbiculare</w:t>
      </w:r>
      <w:r w:rsidR="000435A7">
        <w:rPr>
          <w:lang w:val="fr-CH"/>
        </w:rPr>
        <w:t>)</w:t>
      </w:r>
      <w:r w:rsidRPr="003E4ABE">
        <w:rPr>
          <w:lang w:val="fr-CH"/>
        </w:rPr>
        <w:t xml:space="preserve">, </w:t>
      </w:r>
      <w:r w:rsidRPr="000435A7" w:rsidR="000435A7">
        <w:rPr>
          <w:u w:val="single"/>
          <w:lang w:val="fr-CH"/>
        </w:rPr>
        <w:t>downy mildew</w:t>
      </w:r>
      <w:r w:rsidRPr="000435A7" w:rsidR="000435A7">
        <w:rPr>
          <w:lang w:val="fr-CH"/>
        </w:rPr>
        <w:t xml:space="preserve"> </w:t>
      </w:r>
      <w:r w:rsidR="000435A7">
        <w:rPr>
          <w:lang w:val="fr-CH"/>
        </w:rPr>
        <w:t xml:space="preserve"> ou Mildiou du concombre </w:t>
      </w:r>
      <w:r w:rsidRPr="000435A7" w:rsidR="000435A7">
        <w:rPr>
          <w:lang w:val="fr-CH"/>
        </w:rPr>
        <w:t>(</w:t>
      </w:r>
      <w:r w:rsidRPr="000435A7" w:rsidR="000435A7">
        <w:rPr>
          <w:i/>
          <w:lang w:val="fr-CH"/>
        </w:rPr>
        <w:t>Pseudoperonospora cubensis</w:t>
      </w:r>
      <w:r w:rsidRPr="000435A7" w:rsidR="000435A7">
        <w:rPr>
          <w:lang w:val="fr-CH"/>
        </w:rPr>
        <w:t>)</w:t>
      </w:r>
      <w:r w:rsidRPr="003E4ABE">
        <w:rPr>
          <w:lang w:val="fr-CH"/>
        </w:rPr>
        <w:t xml:space="preserve">, </w:t>
      </w:r>
      <w:r w:rsidRPr="000435A7" w:rsidR="000435A7">
        <w:rPr>
          <w:lang w:val="fr-CH"/>
        </w:rPr>
        <w:t xml:space="preserve">powdery mildew </w:t>
      </w:r>
      <w:r w:rsidR="000435A7">
        <w:rPr>
          <w:lang w:val="fr-CH"/>
        </w:rPr>
        <w:t xml:space="preserve">ou oïdium </w:t>
      </w:r>
      <w:r w:rsidRPr="000435A7" w:rsidR="000435A7">
        <w:rPr>
          <w:lang w:val="fr-CH"/>
        </w:rPr>
        <w:t>(</w:t>
      </w:r>
      <w:r w:rsidRPr="000435A7" w:rsidR="000435A7">
        <w:rPr>
          <w:i/>
          <w:lang w:val="fr-CH"/>
        </w:rPr>
        <w:t>Golovinomyces cichoracearum</w:t>
      </w:r>
      <w:r w:rsidRPr="000435A7" w:rsidR="000435A7">
        <w:rPr>
          <w:lang w:val="fr-CH"/>
        </w:rPr>
        <w:t>)</w:t>
      </w:r>
      <w:r w:rsidRPr="003E4ABE">
        <w:rPr>
          <w:lang w:val="fr-CH"/>
        </w:rPr>
        <w:t xml:space="preserve"> et </w:t>
      </w:r>
      <w:r w:rsidRPr="000435A7" w:rsidR="000435A7">
        <w:rPr>
          <w:lang w:val="fr-CH"/>
        </w:rPr>
        <w:t>target leaf spots (</w:t>
      </w:r>
      <w:r w:rsidRPr="000435A7" w:rsidR="000435A7">
        <w:rPr>
          <w:i/>
          <w:lang w:val="fr-CH"/>
        </w:rPr>
        <w:t>Corynespora cassiicola</w:t>
      </w:r>
      <w:r w:rsidR="000435A7">
        <w:rPr>
          <w:lang w:val="fr-CH"/>
        </w:rPr>
        <w:t>) (</w:t>
      </w:r>
      <w:r w:rsidR="00C71EC3">
        <w:rPr>
          <w:lang w:val="fr-CH"/>
        </w:rPr>
        <w:fldChar w:fldCharType="begin"/>
      </w:r>
      <w:r w:rsidR="00C71EC3">
        <w:rPr>
          <w:lang w:val="fr-CH"/>
        </w:rPr>
        <w:instrText xml:space="preserve"> REF _Ref75423054 \h </w:instrText>
      </w:r>
      <w:r w:rsidR="00C71EC3">
        <w:rPr>
          <w:lang w:val="fr-CH"/>
        </w:rPr>
      </w:r>
      <w:r w:rsidR="00C71EC3">
        <w:rPr>
          <w:lang w:val="fr-CH"/>
        </w:rPr>
        <w:fldChar w:fldCharType="separate"/>
      </w:r>
      <w:r w:rsidRPr="008F23E5" w:rsidR="008F23E5">
        <w:rPr>
          <w:lang w:val="fr-CH"/>
        </w:rPr>
        <w:t xml:space="preserve">Figure </w:t>
      </w:r>
      <w:r w:rsidRPr="008F23E5" w:rsidR="008F23E5">
        <w:rPr>
          <w:noProof/>
          <w:lang w:val="fr-CH"/>
        </w:rPr>
        <w:t>2</w:t>
      </w:r>
      <w:r w:rsidR="00C71EC3">
        <w:rPr>
          <w:lang w:val="fr-CH"/>
        </w:rPr>
        <w:fldChar w:fldCharType="end"/>
      </w:r>
      <w:r w:rsidR="000435A7">
        <w:rPr>
          <w:lang w:val="fr-CH"/>
        </w:rPr>
        <w:t>)</w:t>
      </w:r>
      <w:r w:rsidRPr="003E4ABE">
        <w:rPr>
          <w:lang w:val="fr-CH"/>
        </w:rPr>
        <w:t xml:space="preserve">. Les images de symptômes ont été segmentées à partir d'images de feuilles de concombre capturées </w:t>
      </w:r>
      <w:r>
        <w:rPr>
          <w:lang w:val="fr-CH"/>
        </w:rPr>
        <w:t>en conditions de production</w:t>
      </w:r>
      <w:r w:rsidRPr="003E4ABE">
        <w:rPr>
          <w:lang w:val="fr-CH"/>
        </w:rPr>
        <w:t>.</w:t>
      </w:r>
      <w:r>
        <w:rPr>
          <w:lang w:val="fr-CH"/>
        </w:rPr>
        <w:t xml:space="preserve"> Plus de</w:t>
      </w:r>
      <w:r w:rsidRPr="003E4ABE">
        <w:rPr>
          <w:lang w:val="fr-CH"/>
        </w:rPr>
        <w:t xml:space="preserve"> 14 </w:t>
      </w:r>
      <w:r>
        <w:rPr>
          <w:lang w:val="fr-CH"/>
        </w:rPr>
        <w:t>000</w:t>
      </w:r>
      <w:r w:rsidRPr="003E4ABE">
        <w:rPr>
          <w:lang w:val="fr-CH"/>
        </w:rPr>
        <w:t xml:space="preserve"> images de symptômes</w:t>
      </w:r>
      <w:r>
        <w:rPr>
          <w:lang w:val="fr-CH"/>
        </w:rPr>
        <w:t xml:space="preserve"> (4 maladies) ont permis une précision moyenne de reconnaissance de</w:t>
      </w:r>
      <w:r w:rsidRPr="003E4ABE">
        <w:rPr>
          <w:lang w:val="fr-CH"/>
        </w:rPr>
        <w:t xml:space="preserve"> 93,4%.</w:t>
      </w:r>
      <w:r>
        <w:rPr>
          <w:lang w:val="fr-CH"/>
        </w:rPr>
        <w:t xml:space="preserve"> Cette précision indique que l’analyse d’image est capable de discriminer les 4 maladies avec plus de 93% de réussite.</w:t>
      </w:r>
      <w:r w:rsidRPr="003E4ABE">
        <w:rPr>
          <w:lang w:val="fr-CH"/>
        </w:rPr>
        <w:t xml:space="preserve"> </w:t>
      </w:r>
      <w:r>
        <w:rPr>
          <w:lang w:val="fr-CH"/>
        </w:rPr>
        <w:t xml:space="preserve">En particulier, le Downy mildew a pu être identifié avec une précision de 96.7%. </w:t>
      </w:r>
      <w:r w:rsidR="00A95F00">
        <w:rPr>
          <w:lang w:val="fr-CH"/>
        </w:rPr>
        <w:t>En jouant sur l’illumination lors de la prise d’image, la précision de la reconnaissance des symptômes du mildiou peut augmenter à plus de 98% (</w:t>
      </w:r>
      <w:r w:rsidR="00C71EC3">
        <w:rPr>
          <w:lang w:val="fr-CH"/>
        </w:rPr>
        <w:fldChar w:fldCharType="begin"/>
      </w:r>
      <w:r w:rsidR="00C71EC3">
        <w:rPr>
          <w:lang w:val="fr-CH"/>
        </w:rPr>
        <w:instrText xml:space="preserve"> REF _Ref75423104 \h </w:instrText>
      </w:r>
      <w:r w:rsidR="00C71EC3">
        <w:rPr>
          <w:lang w:val="fr-CH"/>
        </w:rPr>
      </w:r>
      <w:r w:rsidR="00C71EC3">
        <w:rPr>
          <w:lang w:val="fr-CH"/>
        </w:rPr>
        <w:fldChar w:fldCharType="separate"/>
      </w:r>
      <w:r w:rsidRPr="00C71EC3" w:rsidR="008F23E5">
        <w:rPr>
          <w:lang w:val="fr-CH"/>
        </w:rPr>
        <w:t xml:space="preserve">Figure </w:t>
      </w:r>
      <w:r w:rsidR="008F23E5">
        <w:rPr>
          <w:noProof/>
          <w:lang w:val="fr-CH"/>
        </w:rPr>
        <w:t>3</w:t>
      </w:r>
      <w:r w:rsidR="00C71EC3">
        <w:rPr>
          <w:lang w:val="fr-CH"/>
        </w:rPr>
        <w:fldChar w:fldCharType="end"/>
      </w:r>
      <w:r w:rsidR="00A95F00">
        <w:rPr>
          <w:lang w:val="fr-CH"/>
        </w:rPr>
        <w:t xml:space="preserve">). </w:t>
      </w:r>
      <w:r w:rsidR="006128D0">
        <w:rPr>
          <w:lang w:val="fr-CH"/>
        </w:rPr>
        <w:t xml:space="preserve">Les features pertinents ayant servi à l’établissement du modèles sont listés dans </w:t>
      </w:r>
      <w:r w:rsidR="006128D0">
        <w:rPr>
          <w:lang w:val="fr-CH"/>
        </w:rPr>
        <w:fldChar w:fldCharType="begin"/>
      </w:r>
      <w:r w:rsidR="006128D0">
        <w:rPr>
          <w:lang w:val="fr-CH"/>
        </w:rPr>
        <w:instrText xml:space="preserve"> REF _Ref74332844 \h </w:instrText>
      </w:r>
      <w:r w:rsidR="006128D0">
        <w:rPr>
          <w:lang w:val="fr-CH"/>
        </w:rPr>
      </w:r>
      <w:r w:rsidR="006128D0">
        <w:rPr>
          <w:lang w:val="fr-CH"/>
        </w:rPr>
        <w:fldChar w:fldCharType="separate"/>
      </w:r>
      <w:r w:rsidRPr="008F23E5" w:rsidR="008F23E5">
        <w:rPr>
          <w:lang w:val="fr-CH"/>
        </w:rPr>
        <w:t xml:space="preserve">Table </w:t>
      </w:r>
      <w:r w:rsidRPr="008F23E5" w:rsidR="008F23E5">
        <w:rPr>
          <w:noProof/>
          <w:lang w:val="fr-CH"/>
        </w:rPr>
        <w:t>4</w:t>
      </w:r>
      <w:r w:rsidR="006128D0">
        <w:rPr>
          <w:lang w:val="fr-CH"/>
        </w:rPr>
        <w:fldChar w:fldCharType="end"/>
      </w:r>
      <w:r w:rsidR="006128D0">
        <w:rPr>
          <w:lang w:val="fr-CH"/>
        </w:rPr>
        <w:t xml:space="preserve">. </w:t>
      </w:r>
      <w:r>
        <w:rPr>
          <w:lang w:val="fr-CH"/>
        </w:rPr>
        <w:t>C</w:t>
      </w:r>
      <w:r w:rsidRPr="003E4ABE">
        <w:rPr>
          <w:lang w:val="fr-CH"/>
        </w:rPr>
        <w:t xml:space="preserve">es résultats ont montré que le DCNN était un outil robuste pour reconnaître les maladies du concombre dans des conditions de </w:t>
      </w:r>
      <w:r w:rsidRPr="001E48F7">
        <w:rPr>
          <w:lang w:val="fr-CH"/>
        </w:rPr>
        <w:t>production.</w:t>
      </w:r>
      <w:r w:rsidRPr="001E48F7" w:rsidR="00133DEA">
        <w:rPr>
          <w:lang w:val="fr-CH"/>
        </w:rPr>
        <w:t xml:space="preserve"> Dans cette étude, une caméra du type Nikon Coolpix S3100 et des images de 2592 x 1944 pixels ont été utilisées. </w:t>
      </w:r>
      <w:r w:rsidRPr="001E48F7">
        <w:rPr>
          <w:lang w:val="fr-CH"/>
        </w:rPr>
        <w:t>Au-delà de la discrimination des 4 maladie</w:t>
      </w:r>
      <w:r w:rsidR="00502F42">
        <w:rPr>
          <w:lang w:val="fr-CH"/>
        </w:rPr>
        <w:t>s</w:t>
      </w:r>
      <w:r w:rsidRPr="001E48F7">
        <w:rPr>
          <w:lang w:val="fr-CH"/>
        </w:rPr>
        <w:t>, nous pouvons nous poser la question de la pertinence de les discriminer. En effet, pour un producteur, une telle méthode qui serait capable de détecter de façon indifférenciée l’occurrence d’une maladie (quelle que soit la maladie parmi les 4) serait une avancée certaine pour l’efficience de la lutte sur concombre en serre.</w:t>
      </w:r>
    </w:p>
    <w:p w:rsidR="00C71EC3" w:rsidP="00C71EC3" w:rsidRDefault="00BC4F07" w14:paraId="3744EFDA" w14:textId="77777777">
      <w:pPr>
        <w:keepNext/>
      </w:pPr>
      <w:r w:rsidRPr="00BC4F07">
        <w:rPr>
          <w:noProof/>
        </w:rPr>
        <w:drawing>
          <wp:inline distT="0" distB="0" distL="0" distR="0" wp14:anchorId="5FD945B6" wp14:editId="2D544CAE">
            <wp:extent cx="6189345" cy="1065839"/>
            <wp:effectExtent l="0" t="0" r="1905"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9345" cy="1065839"/>
                    </a:xfrm>
                    <a:prstGeom prst="rect">
                      <a:avLst/>
                    </a:prstGeom>
                    <a:noFill/>
                    <a:ln>
                      <a:noFill/>
                    </a:ln>
                  </pic:spPr>
                </pic:pic>
              </a:graphicData>
            </a:graphic>
          </wp:inline>
        </w:drawing>
      </w:r>
    </w:p>
    <w:p w:rsidRPr="00502F42" w:rsidR="000435A7" w:rsidP="00C71EC3" w:rsidRDefault="00C71EC3" w14:paraId="6AB25675" w14:textId="77777777">
      <w:pPr>
        <w:pStyle w:val="Sansinterligne"/>
        <w:rPr>
          <w:lang w:val="fr-FR"/>
        </w:rPr>
      </w:pPr>
      <w:bookmarkStart w:name="_Ref75423054" w:id="2"/>
      <w:bookmarkStart w:name="_Toc75426419" w:id="3"/>
      <w:r w:rsidRPr="00E17DDE">
        <w:rPr>
          <w:lang w:val="fr-CH"/>
        </w:rPr>
        <w:t xml:space="preserve">Figure </w:t>
      </w:r>
      <w:r w:rsidRPr="00C71EC3">
        <w:fldChar w:fldCharType="begin"/>
      </w:r>
      <w:r w:rsidRPr="00E17DDE">
        <w:rPr>
          <w:lang w:val="fr-CH"/>
        </w:rPr>
        <w:instrText xml:space="preserve"> SEQ Figure \* ARABIC </w:instrText>
      </w:r>
      <w:r w:rsidRPr="00C71EC3">
        <w:fldChar w:fldCharType="separate"/>
      </w:r>
      <w:r w:rsidRPr="00E17DDE" w:rsidR="008F23E5">
        <w:rPr>
          <w:noProof/>
          <w:lang w:val="fr-CH"/>
        </w:rPr>
        <w:t>2</w:t>
      </w:r>
      <w:r w:rsidRPr="00C71EC3">
        <w:fldChar w:fldCharType="end"/>
      </w:r>
      <w:bookmarkEnd w:id="2"/>
      <w:r w:rsidRPr="00E17DDE">
        <w:rPr>
          <w:lang w:val="fr-CH"/>
        </w:rPr>
        <w:t xml:space="preserve">. </w:t>
      </w:r>
      <w:r w:rsidRPr="00502F42">
        <w:rPr>
          <w:lang w:val="fr-FR"/>
        </w:rPr>
        <w:t>Image des quatre maladies discriminées dans l’étude de Ma et al. (2018). De gauche à droite les symptômes foliaires correspondent aux maladies suivantes : anthracnose, downy mildew, powdery mildew et target leaf spots.</w:t>
      </w:r>
      <w:bookmarkEnd w:id="3"/>
    </w:p>
    <w:p w:rsidRPr="00E17DDE" w:rsidR="00BC4F07" w:rsidP="00C71EC3" w:rsidRDefault="00BC4F07" w14:paraId="56ABC5A8" w14:textId="77777777">
      <w:pPr>
        <w:pStyle w:val="Sansinterligne"/>
        <w:rPr>
          <w:lang w:val="fr-CH"/>
        </w:rPr>
      </w:pPr>
    </w:p>
    <w:p w:rsidR="00C71EC3" w:rsidP="00C71EC3" w:rsidRDefault="00A95F00" w14:paraId="16CAA13D" w14:textId="77777777">
      <w:pPr>
        <w:keepNext/>
      </w:pPr>
      <w:r w:rsidRPr="00A95F00">
        <w:rPr>
          <w:noProof/>
        </w:rPr>
        <w:drawing>
          <wp:inline distT="0" distB="0" distL="0" distR="0" wp14:anchorId="160E88D4" wp14:editId="46A3E9C8">
            <wp:extent cx="6189345" cy="2660568"/>
            <wp:effectExtent l="0" t="0" r="1905"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9345" cy="2660568"/>
                    </a:xfrm>
                    <a:prstGeom prst="rect">
                      <a:avLst/>
                    </a:prstGeom>
                    <a:noFill/>
                    <a:ln>
                      <a:noFill/>
                    </a:ln>
                  </pic:spPr>
                </pic:pic>
              </a:graphicData>
            </a:graphic>
          </wp:inline>
        </w:drawing>
      </w:r>
    </w:p>
    <w:p w:rsidRPr="00C71EC3" w:rsidR="00A95F00" w:rsidP="00C71EC3" w:rsidRDefault="00C71EC3" w14:paraId="76986784" w14:textId="77777777">
      <w:pPr>
        <w:pStyle w:val="Sansinterligne"/>
        <w:rPr>
          <w:lang w:val="fr-CH"/>
        </w:rPr>
      </w:pPr>
      <w:bookmarkStart w:name="_Ref75423104" w:id="4"/>
      <w:bookmarkStart w:name="_Toc75426420" w:id="5"/>
      <w:r w:rsidRPr="00C71EC3">
        <w:rPr>
          <w:lang w:val="fr-CH"/>
        </w:rPr>
        <w:t xml:space="preserve">Figure </w:t>
      </w:r>
      <w:r>
        <w:fldChar w:fldCharType="begin"/>
      </w:r>
      <w:r w:rsidRPr="00C71EC3">
        <w:rPr>
          <w:lang w:val="fr-CH"/>
        </w:rPr>
        <w:instrText xml:space="preserve"> SEQ Figure \* ARABIC </w:instrText>
      </w:r>
      <w:r>
        <w:fldChar w:fldCharType="separate"/>
      </w:r>
      <w:r w:rsidR="008F23E5">
        <w:rPr>
          <w:noProof/>
          <w:lang w:val="fr-CH"/>
        </w:rPr>
        <w:t>3</w:t>
      </w:r>
      <w:r>
        <w:fldChar w:fldCharType="end"/>
      </w:r>
      <w:bookmarkEnd w:id="4"/>
      <w:r w:rsidRPr="00C71EC3">
        <w:rPr>
          <w:lang w:val="fr-CH"/>
        </w:rPr>
        <w:t>. . Influence de l’illumination dans la reconnaissance des symptômes du mildiou.</w:t>
      </w:r>
      <w:bookmarkEnd w:id="5"/>
    </w:p>
    <w:p w:rsidR="00A95F00" w:rsidP="004F1A13" w:rsidRDefault="00A95F00" w14:paraId="4FC8224C" w14:textId="77777777">
      <w:pPr>
        <w:rPr>
          <w:lang w:val="fr-CH"/>
        </w:rPr>
      </w:pPr>
    </w:p>
    <w:p w:rsidR="006128D0" w:rsidP="0066451C" w:rsidRDefault="006128D0" w14:paraId="4BD89473" w14:textId="77777777">
      <w:pPr>
        <w:pStyle w:val="Sansinterligne"/>
      </w:pPr>
      <w:bookmarkStart w:name="_Ref74332844" w:id="6"/>
      <w:bookmarkStart w:name="_Toc75426424" w:id="7"/>
      <w:r>
        <w:t xml:space="preserve">Table </w:t>
      </w:r>
      <w:r>
        <w:fldChar w:fldCharType="begin"/>
      </w:r>
      <w:r>
        <w:instrText> SEQ Table \* ARABIC </w:instrText>
      </w:r>
      <w:r>
        <w:fldChar w:fldCharType="separate"/>
      </w:r>
      <w:r w:rsidR="008F23E5">
        <w:rPr>
          <w:noProof/>
        </w:rPr>
        <w:t>4</w:t>
      </w:r>
      <w:r>
        <w:fldChar w:fldCharType="end"/>
      </w:r>
      <w:bookmarkEnd w:id="6"/>
      <w:r>
        <w:t>. Features du modèle</w:t>
      </w:r>
      <w:r w:rsidR="0066451C">
        <w:t>.</w:t>
      </w:r>
      <w:r>
        <w:t>.</w:t>
      </w:r>
      <w:bookmarkEnd w:id="7"/>
    </w:p>
    <w:tbl>
      <w:tblPr>
        <w:tblStyle w:val="Grilledutableau"/>
        <w:tblW w:w="0" w:type="auto"/>
        <w:tblBorders>
          <w:left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868"/>
        <w:gridCol w:w="4869"/>
      </w:tblGrid>
      <w:tr w:rsidR="0066451C" w:rsidTr="0066451C" w14:paraId="3B9680BC" w14:textId="77777777">
        <w:tc>
          <w:tcPr>
            <w:tcW w:w="4868" w:type="dxa"/>
            <w:tcBorders>
              <w:top w:val="single" w:color="auto" w:sz="4" w:space="0"/>
              <w:bottom w:val="single" w:color="auto" w:sz="4" w:space="0"/>
            </w:tcBorders>
            <w:vAlign w:val="bottom"/>
          </w:tcPr>
          <w:p w:rsidRPr="0066451C" w:rsidR="0066451C" w:rsidP="0066451C" w:rsidRDefault="0066451C" w14:paraId="4EC3ED9F" w14:textId="77777777">
            <w:pPr>
              <w:pStyle w:val="Sansinterligne"/>
              <w:rPr>
                <w:b/>
              </w:rPr>
            </w:pPr>
            <w:r w:rsidRPr="0066451C">
              <w:rPr>
                <w:b/>
              </w:rPr>
              <w:t>Channels</w:t>
            </w:r>
          </w:p>
        </w:tc>
        <w:tc>
          <w:tcPr>
            <w:tcW w:w="4869" w:type="dxa"/>
            <w:tcBorders>
              <w:top w:val="single" w:color="auto" w:sz="4" w:space="0"/>
              <w:bottom w:val="single" w:color="auto" w:sz="4" w:space="0"/>
            </w:tcBorders>
            <w:vAlign w:val="bottom"/>
          </w:tcPr>
          <w:p w:rsidRPr="0066451C" w:rsidR="0066451C" w:rsidP="0066451C" w:rsidRDefault="0066451C" w14:paraId="4D7FD18A" w14:textId="77777777">
            <w:pPr>
              <w:pStyle w:val="Sansinterligne"/>
              <w:rPr>
                <w:b/>
              </w:rPr>
            </w:pPr>
            <w:r w:rsidRPr="0066451C">
              <w:rPr>
                <w:b/>
              </w:rPr>
              <w:t>Features</w:t>
            </w:r>
          </w:p>
        </w:tc>
      </w:tr>
      <w:tr w:rsidRPr="0066451C" w:rsidR="0066451C" w:rsidTr="0066451C" w14:paraId="26883C4D" w14:textId="77777777">
        <w:tc>
          <w:tcPr>
            <w:tcW w:w="4868" w:type="dxa"/>
            <w:tcBorders>
              <w:top w:val="single" w:color="auto" w:sz="4" w:space="0"/>
            </w:tcBorders>
            <w:vAlign w:val="bottom"/>
          </w:tcPr>
          <w:p w:rsidR="0066451C" w:rsidP="0066451C" w:rsidRDefault="0066451C" w14:paraId="17D591D4" w14:textId="77777777">
            <w:pPr>
              <w:pStyle w:val="Sansinterligne"/>
            </w:pPr>
            <w:r>
              <w:t>G of RGB color space</w:t>
            </w:r>
          </w:p>
        </w:tc>
        <w:tc>
          <w:tcPr>
            <w:tcW w:w="4869" w:type="dxa"/>
            <w:tcBorders>
              <w:top w:val="single" w:color="auto" w:sz="4" w:space="0"/>
            </w:tcBorders>
            <w:vAlign w:val="bottom"/>
          </w:tcPr>
          <w:p w:rsidR="0066451C" w:rsidP="0066451C" w:rsidRDefault="0066451C" w14:paraId="77482A35" w14:textId="77777777">
            <w:pPr>
              <w:pStyle w:val="Sansinterligne"/>
            </w:pPr>
            <w:r>
              <w:t>Average, contrast, correlation, energy, homogeneity</w:t>
            </w:r>
          </w:p>
        </w:tc>
      </w:tr>
      <w:tr w:rsidRPr="0066451C" w:rsidR="0066451C" w:rsidTr="0066451C" w14:paraId="57EC06B4" w14:textId="77777777">
        <w:tc>
          <w:tcPr>
            <w:tcW w:w="4868" w:type="dxa"/>
            <w:vAlign w:val="bottom"/>
          </w:tcPr>
          <w:p w:rsidR="0066451C" w:rsidP="0066451C" w:rsidRDefault="0066451C" w14:paraId="537E11FD" w14:textId="77777777">
            <w:pPr>
              <w:pStyle w:val="Sansinterligne"/>
            </w:pPr>
            <w:r>
              <w:t>H of HSV color space</w:t>
            </w:r>
          </w:p>
        </w:tc>
        <w:tc>
          <w:tcPr>
            <w:tcW w:w="4869" w:type="dxa"/>
            <w:vAlign w:val="bottom"/>
          </w:tcPr>
          <w:p w:rsidR="0066451C" w:rsidP="0066451C" w:rsidRDefault="0066451C" w14:paraId="268503B5" w14:textId="77777777">
            <w:pPr>
              <w:pStyle w:val="Sansinterligne"/>
            </w:pPr>
            <w:r>
              <w:t>Average, contrast, correlation, energy, homogeneity</w:t>
            </w:r>
          </w:p>
        </w:tc>
      </w:tr>
      <w:tr w:rsidR="0066451C" w:rsidTr="0066451C" w14:paraId="14AEF3CF" w14:textId="77777777">
        <w:tc>
          <w:tcPr>
            <w:tcW w:w="4868" w:type="dxa"/>
            <w:vAlign w:val="bottom"/>
          </w:tcPr>
          <w:p w:rsidR="0066451C" w:rsidP="0066451C" w:rsidRDefault="0066451C" w14:paraId="14C9F9F7" w14:textId="77777777">
            <w:pPr>
              <w:pStyle w:val="Sansinterligne"/>
            </w:pPr>
            <w:r>
              <w:t>S of HSV color space</w:t>
            </w:r>
          </w:p>
        </w:tc>
        <w:tc>
          <w:tcPr>
            <w:tcW w:w="4869" w:type="dxa"/>
            <w:vAlign w:val="bottom"/>
          </w:tcPr>
          <w:p w:rsidR="0066451C" w:rsidP="0066451C" w:rsidRDefault="0066451C" w14:paraId="238732A7" w14:textId="77777777">
            <w:pPr>
              <w:pStyle w:val="Sansinterligne"/>
            </w:pPr>
            <w:r>
              <w:t>Contrast, correlation, homogeneity</w:t>
            </w:r>
          </w:p>
        </w:tc>
      </w:tr>
      <w:tr w:rsidR="0066451C" w:rsidTr="0066451C" w14:paraId="57A112B3" w14:textId="77777777">
        <w:tc>
          <w:tcPr>
            <w:tcW w:w="4868" w:type="dxa"/>
            <w:vAlign w:val="bottom"/>
          </w:tcPr>
          <w:p w:rsidR="0066451C" w:rsidP="0066451C" w:rsidRDefault="0066451C" w14:paraId="16CBF616" w14:textId="77777777">
            <w:pPr>
              <w:pStyle w:val="Sansinterligne"/>
            </w:pPr>
            <w:r>
              <w:t>a* of CIEL*a*b* color space</w:t>
            </w:r>
          </w:p>
        </w:tc>
        <w:tc>
          <w:tcPr>
            <w:tcW w:w="4869" w:type="dxa"/>
            <w:vAlign w:val="bottom"/>
          </w:tcPr>
          <w:p w:rsidR="0066451C" w:rsidP="0066451C" w:rsidRDefault="0066451C" w14:paraId="29AC7213" w14:textId="77777777">
            <w:pPr>
              <w:pStyle w:val="Sansinterligne"/>
            </w:pPr>
            <w:r>
              <w:t>Average, variance, correlation, energy</w:t>
            </w:r>
          </w:p>
        </w:tc>
      </w:tr>
      <w:tr w:rsidR="0066451C" w:rsidTr="0066451C" w14:paraId="496F4024" w14:textId="77777777">
        <w:tc>
          <w:tcPr>
            <w:tcW w:w="4868" w:type="dxa"/>
            <w:vAlign w:val="bottom"/>
          </w:tcPr>
          <w:p w:rsidR="0066451C" w:rsidP="0066451C" w:rsidRDefault="0066451C" w14:paraId="59574806" w14:textId="77777777">
            <w:pPr>
              <w:pStyle w:val="Sansinterligne"/>
            </w:pPr>
            <w:r>
              <w:t>b* of CIEL*a*b* color space</w:t>
            </w:r>
          </w:p>
        </w:tc>
        <w:tc>
          <w:tcPr>
            <w:tcW w:w="4869" w:type="dxa"/>
            <w:vAlign w:val="bottom"/>
          </w:tcPr>
          <w:p w:rsidR="0066451C" w:rsidP="0066451C" w:rsidRDefault="0066451C" w14:paraId="0472F6B5" w14:textId="77777777">
            <w:pPr>
              <w:pStyle w:val="Sansinterligne"/>
            </w:pPr>
            <w:r>
              <w:t>Average, contrast, energy</w:t>
            </w:r>
          </w:p>
        </w:tc>
      </w:tr>
      <w:tr w:rsidR="0066451C" w:rsidTr="0066451C" w14:paraId="0BC2A21B" w14:textId="77777777">
        <w:tc>
          <w:tcPr>
            <w:tcW w:w="4868" w:type="dxa"/>
            <w:vAlign w:val="bottom"/>
          </w:tcPr>
          <w:p w:rsidR="0066451C" w:rsidP="0066451C" w:rsidRDefault="0066451C" w14:paraId="4BFC7C5F" w14:textId="77777777">
            <w:pPr>
              <w:pStyle w:val="Sansinterligne"/>
            </w:pPr>
            <w:r>
              <w:t>L* of CIEL*a*b* color space</w:t>
            </w:r>
          </w:p>
        </w:tc>
        <w:tc>
          <w:tcPr>
            <w:tcW w:w="4869" w:type="dxa"/>
            <w:vAlign w:val="bottom"/>
          </w:tcPr>
          <w:p w:rsidR="0066451C" w:rsidP="0066451C" w:rsidRDefault="0066451C" w14:paraId="303C1371" w14:textId="77777777">
            <w:pPr>
              <w:pStyle w:val="Sansinterligne"/>
            </w:pPr>
            <w:r>
              <w:t>Contrast, correlation, homogeneity</w:t>
            </w:r>
          </w:p>
        </w:tc>
      </w:tr>
    </w:tbl>
    <w:p w:rsidRPr="006A0497" w:rsidR="006A0497" w:rsidP="005C4081" w:rsidRDefault="006A0497" w14:paraId="44D1A74C" w14:textId="77777777">
      <w:pPr>
        <w:rPr>
          <w:lang w:val="fr-CH"/>
        </w:rPr>
      </w:pPr>
    </w:p>
    <w:p w:rsidR="00A95F00" w:rsidP="00A965B0" w:rsidRDefault="00A965B0" w14:paraId="3A0BDF02" w14:textId="77777777">
      <w:pPr>
        <w:pStyle w:val="T2"/>
      </w:pPr>
      <w:r>
        <w:t>Recommandations techniques</w:t>
      </w:r>
      <w:r w:rsidR="005B2896">
        <w:t xml:space="preserve"> dans la lutte</w:t>
      </w:r>
    </w:p>
    <w:p w:rsidR="005B2896" w:rsidP="00A965B0" w:rsidRDefault="005B2896" w14:paraId="747725BE" w14:textId="77777777">
      <w:pPr>
        <w:pStyle w:val="T2"/>
      </w:pPr>
    </w:p>
    <w:p w:rsidRPr="00502F42" w:rsidR="00502F42" w:rsidP="00502F42" w:rsidRDefault="00502F42" w14:paraId="19EFD7F2" w14:textId="77777777">
      <w:pPr>
        <w:rPr>
          <w:lang w:val="fr-FR"/>
        </w:rPr>
      </w:pPr>
      <w:r w:rsidRPr="00502F42">
        <w:rPr>
          <w:lang w:val="fr-FR"/>
        </w:rPr>
        <w:t xml:space="preserve">Au-delà du développement de nouveaux outils de prédiction ou de détection concernant l’occurrence du mildiou du concombre, certaines précautions </w:t>
      </w:r>
      <w:r>
        <w:rPr>
          <w:lang w:val="fr-FR"/>
        </w:rPr>
        <w:t xml:space="preserve">dans la conduite de la culture peuvent être respectées afin de minimiser les risques. Ces précautions sont listées dans les points suivants : </w:t>
      </w:r>
    </w:p>
    <w:p w:rsidR="00502F42" w:rsidP="00A965B0" w:rsidRDefault="00502F42" w14:paraId="213C2460" w14:textId="77777777">
      <w:pPr>
        <w:pStyle w:val="T2"/>
      </w:pPr>
    </w:p>
    <w:p w:rsidRPr="005B2896" w:rsidR="00A965B0" w:rsidP="005B2896" w:rsidRDefault="00A965B0" w14:paraId="1B4C38F7" w14:textId="77777777">
      <w:pPr>
        <w:pStyle w:val="Paragraphedeliste"/>
        <w:numPr>
          <w:ilvl w:val="0"/>
          <w:numId w:val="11"/>
        </w:numPr>
        <w:rPr>
          <w:lang w:val="fr-CH"/>
        </w:rPr>
      </w:pPr>
      <w:r w:rsidRPr="005B2896">
        <w:rPr>
          <w:lang w:val="fr-CH"/>
        </w:rPr>
        <w:t>Dans le cas où les plants de concombres sont produits et élevés sur le site de production, il est recommandé de consacrer un espace serre à cette production du jeune plant. Éviter de produire les jeunes plants en présence de plants de concombres déjà à un stade avancé.</w:t>
      </w:r>
    </w:p>
    <w:p w:rsidRPr="00A965B0" w:rsidR="00A965B0" w:rsidP="00A965B0" w:rsidRDefault="00A965B0" w14:paraId="56321726" w14:textId="77777777">
      <w:pPr>
        <w:rPr>
          <w:lang w:val="fr-CH"/>
        </w:rPr>
      </w:pPr>
    </w:p>
    <w:p w:rsidRPr="005B2896" w:rsidR="00A965B0" w:rsidP="005B2896" w:rsidRDefault="00A965B0" w14:paraId="5AAEE837" w14:textId="77777777">
      <w:pPr>
        <w:pStyle w:val="Paragraphedeliste"/>
        <w:numPr>
          <w:ilvl w:val="0"/>
          <w:numId w:val="10"/>
        </w:numPr>
        <w:rPr>
          <w:lang w:val="fr-CH"/>
        </w:rPr>
      </w:pPr>
      <w:r w:rsidRPr="005B2896">
        <w:rPr>
          <w:lang w:val="fr-CH"/>
        </w:rPr>
        <w:t>Lors des différentes étapes de l’élevage du jeune plant, bien vérifier qu’il n’y a pas de plants contaminés.</w:t>
      </w:r>
    </w:p>
    <w:p w:rsidRPr="00A965B0" w:rsidR="00A965B0" w:rsidP="00A965B0" w:rsidRDefault="00A965B0" w14:paraId="030F76E7" w14:textId="77777777">
      <w:pPr>
        <w:rPr>
          <w:lang w:val="fr-CH"/>
        </w:rPr>
      </w:pPr>
    </w:p>
    <w:p w:rsidRPr="005B2896" w:rsidR="00A965B0" w:rsidP="005B2896" w:rsidRDefault="00A965B0" w14:paraId="03512522" w14:textId="77777777">
      <w:pPr>
        <w:pStyle w:val="Paragraphedeliste"/>
        <w:numPr>
          <w:ilvl w:val="0"/>
          <w:numId w:val="10"/>
        </w:numPr>
        <w:rPr>
          <w:lang w:val="fr-CH"/>
        </w:rPr>
      </w:pPr>
      <w:r w:rsidRPr="005B2896">
        <w:rPr>
          <w:lang w:val="fr-CH"/>
        </w:rPr>
        <w:t xml:space="preserve">S’il y a la possibilité, utiliser des plants tolérants voire résistant au </w:t>
      </w:r>
      <w:r w:rsidRPr="005B2896">
        <w:rPr>
          <w:i/>
          <w:lang w:val="fr-CH"/>
        </w:rPr>
        <w:t>Pseudoperonospora cubensis</w:t>
      </w:r>
      <w:r w:rsidRPr="005B2896">
        <w:rPr>
          <w:lang w:val="fr-CH"/>
        </w:rPr>
        <w:t>.</w:t>
      </w:r>
    </w:p>
    <w:p w:rsidRPr="00A965B0" w:rsidR="00A965B0" w:rsidP="00A965B0" w:rsidRDefault="00A965B0" w14:paraId="5B0A3915" w14:textId="77777777">
      <w:pPr>
        <w:rPr>
          <w:lang w:val="fr-CH"/>
        </w:rPr>
      </w:pPr>
    </w:p>
    <w:p w:rsidRPr="005B2896" w:rsidR="00A965B0" w:rsidP="005B2896" w:rsidRDefault="00A965B0" w14:paraId="323CC027" w14:textId="77777777">
      <w:pPr>
        <w:pStyle w:val="Paragraphedeliste"/>
        <w:numPr>
          <w:ilvl w:val="0"/>
          <w:numId w:val="10"/>
        </w:numPr>
        <w:rPr>
          <w:lang w:val="fr-CH"/>
        </w:rPr>
      </w:pPr>
      <w:r w:rsidRPr="005B2896">
        <w:rPr>
          <w:lang w:val="fr-CH"/>
        </w:rPr>
        <w:t xml:space="preserve">Éviter de cultiver les concombres dans une enceinte peu aérée et favorisant les forts taux d’humidités. Préférer des zones de productions avec une bonne circulation de l’air et maitriser les phénomènes de condensations sur feuilles. Il faut limiter le temps pendant lequel les feuilles sont mouillées. Par conséquent, éviter les modes d’irrigation par aspersion et préférer l’irrigation par </w:t>
      </w:r>
      <w:r w:rsidRPr="005B2896" w:rsidR="00311986">
        <w:rPr>
          <w:lang w:val="fr-CH"/>
        </w:rPr>
        <w:t>goutte-à-goutte</w:t>
      </w:r>
      <w:r w:rsidRPr="005B2896">
        <w:rPr>
          <w:lang w:val="fr-CH"/>
        </w:rPr>
        <w:t>. Si besoin, faire des traitements préventifs lorsque pour une raison quelconque il est prévu que la végétation soit humide voire mouillée.</w:t>
      </w:r>
    </w:p>
    <w:p w:rsidR="00A965B0" w:rsidP="00A965B0" w:rsidRDefault="00A965B0" w14:paraId="5FA46F15" w14:textId="77777777">
      <w:pPr>
        <w:pStyle w:val="Paragraphedeliste"/>
        <w:rPr>
          <w:lang w:val="fr-CH"/>
        </w:rPr>
      </w:pPr>
    </w:p>
    <w:p w:rsidRPr="005B2896" w:rsidR="00A965B0" w:rsidP="005B2896" w:rsidRDefault="00A965B0" w14:paraId="42466D71" w14:textId="77777777">
      <w:pPr>
        <w:pStyle w:val="Paragraphedeliste"/>
        <w:numPr>
          <w:ilvl w:val="0"/>
          <w:numId w:val="10"/>
        </w:numPr>
        <w:rPr>
          <w:lang w:val="fr-CH"/>
        </w:rPr>
      </w:pPr>
      <w:r w:rsidRPr="005B2896">
        <w:rPr>
          <w:lang w:val="fr-CH"/>
        </w:rPr>
        <w:t xml:space="preserve">Inspecter les </w:t>
      </w:r>
      <w:r w:rsidRPr="005B2896" w:rsidR="00311986">
        <w:rPr>
          <w:lang w:val="fr-CH"/>
        </w:rPr>
        <w:t>parcelles de production régulièrement</w:t>
      </w:r>
      <w:r w:rsidRPr="005B2896">
        <w:rPr>
          <w:lang w:val="fr-CH"/>
        </w:rPr>
        <w:t>,</w:t>
      </w:r>
      <w:r w:rsidRPr="005B2896" w:rsidR="00311986">
        <w:rPr>
          <w:lang w:val="fr-CH"/>
        </w:rPr>
        <w:t xml:space="preserve"> en particulier si de fortes humidités sont mesurées ou prédites,</w:t>
      </w:r>
      <w:r w:rsidRPr="005B2896">
        <w:rPr>
          <w:lang w:val="fr-CH"/>
        </w:rPr>
        <w:t xml:space="preserve"> </w:t>
      </w:r>
      <w:r w:rsidRPr="005B2896" w:rsidR="00311986">
        <w:rPr>
          <w:lang w:val="fr-CH"/>
        </w:rPr>
        <w:t>afin</w:t>
      </w:r>
      <w:r w:rsidRPr="005B2896">
        <w:rPr>
          <w:lang w:val="fr-CH"/>
        </w:rPr>
        <w:t xml:space="preserve"> </w:t>
      </w:r>
      <w:r w:rsidRPr="005B2896" w:rsidR="00311986">
        <w:rPr>
          <w:lang w:val="fr-CH"/>
        </w:rPr>
        <w:t xml:space="preserve">de </w:t>
      </w:r>
      <w:r w:rsidRPr="005B2896">
        <w:rPr>
          <w:lang w:val="fr-CH"/>
        </w:rPr>
        <w:t>vérifier la présence de symptômes.</w:t>
      </w:r>
    </w:p>
    <w:p w:rsidR="00A965B0" w:rsidP="00A965B0" w:rsidRDefault="00A965B0" w14:paraId="22E168B6" w14:textId="77777777">
      <w:pPr>
        <w:pStyle w:val="Paragraphedeliste"/>
        <w:rPr>
          <w:lang w:val="fr-CH"/>
        </w:rPr>
      </w:pPr>
    </w:p>
    <w:p w:rsidRPr="005B2896" w:rsidR="00A965B0" w:rsidP="005B2896" w:rsidRDefault="00A965B0" w14:paraId="3C7ACDBB" w14:textId="77777777">
      <w:pPr>
        <w:pStyle w:val="Paragraphedeliste"/>
        <w:numPr>
          <w:ilvl w:val="0"/>
          <w:numId w:val="10"/>
        </w:numPr>
        <w:rPr>
          <w:lang w:val="fr-CH"/>
        </w:rPr>
      </w:pPr>
      <w:r w:rsidRPr="005B2896">
        <w:rPr>
          <w:lang w:val="fr-CH"/>
        </w:rPr>
        <w:t xml:space="preserve">Bien désherber </w:t>
      </w:r>
      <w:r w:rsidRPr="005B2896" w:rsidR="00311986">
        <w:rPr>
          <w:lang w:val="fr-CH"/>
        </w:rPr>
        <w:t>entre les plants</w:t>
      </w:r>
      <w:r w:rsidRPr="005B2896">
        <w:rPr>
          <w:lang w:val="fr-CH"/>
        </w:rPr>
        <w:t>. Éliminer particulièrement les plantes hôtes secondaires du mildiou comme le concombre grimpant, la thladianthe douteuse et les repousses spontanées de cucurbitacées, dans les fossés avoisinants et les extrémités du champ.</w:t>
      </w:r>
    </w:p>
    <w:p w:rsidR="00A965B0" w:rsidP="00A965B0" w:rsidRDefault="00A965B0" w14:paraId="4E3360F0" w14:textId="77777777">
      <w:pPr>
        <w:pStyle w:val="Paragraphedeliste"/>
        <w:rPr>
          <w:lang w:val="fr-CH"/>
        </w:rPr>
      </w:pPr>
    </w:p>
    <w:p w:rsidRPr="005B2896" w:rsidR="00673478" w:rsidP="005B2896" w:rsidRDefault="00673478" w14:paraId="241AC782" w14:textId="77777777">
      <w:pPr>
        <w:pStyle w:val="Paragraphedeliste"/>
        <w:numPr>
          <w:ilvl w:val="0"/>
          <w:numId w:val="10"/>
        </w:numPr>
        <w:rPr>
          <w:lang w:val="fr-CH"/>
        </w:rPr>
      </w:pPr>
      <w:r w:rsidRPr="005B2896">
        <w:rPr>
          <w:lang w:val="fr-CH"/>
        </w:rPr>
        <w:t>De façon générale, il est conseillé de s</w:t>
      </w:r>
      <w:r w:rsidRPr="005B2896" w:rsidR="00A965B0">
        <w:rPr>
          <w:lang w:val="fr-CH"/>
        </w:rPr>
        <w:t xml:space="preserve">uivre un programme de </w:t>
      </w:r>
      <w:r w:rsidRPr="005B2896">
        <w:rPr>
          <w:lang w:val="fr-CH"/>
        </w:rPr>
        <w:t>traitement</w:t>
      </w:r>
      <w:r w:rsidRPr="005B2896" w:rsidR="00A965B0">
        <w:rPr>
          <w:lang w:val="fr-CH"/>
        </w:rPr>
        <w:t xml:space="preserve"> préventi</w:t>
      </w:r>
      <w:r w:rsidRPr="005B2896">
        <w:rPr>
          <w:lang w:val="fr-CH"/>
        </w:rPr>
        <w:t>f en relation avec les conditions climatiques de la zone de production (champs, serre)</w:t>
      </w:r>
      <w:r w:rsidRPr="005B2896" w:rsidR="00A965B0">
        <w:rPr>
          <w:lang w:val="fr-CH"/>
        </w:rPr>
        <w:t xml:space="preserve">. </w:t>
      </w:r>
      <w:r w:rsidRPr="005B2896">
        <w:rPr>
          <w:lang w:val="fr-CH"/>
        </w:rPr>
        <w:t xml:space="preserve">Ce programme doit tenir compte du potentiel développement de résistances, il faut donc dans la mesure du possible alterner les substances actives. Afin que ce programme soit optimal, un suivi précis des conditions climatiques via des stations météo ou différents capteurs connectés est </w:t>
      </w:r>
      <w:r w:rsidRPr="005B2896" w:rsidR="00161F46">
        <w:rPr>
          <w:lang w:val="fr-CH"/>
        </w:rPr>
        <w:t>conseillé</w:t>
      </w:r>
      <w:r w:rsidRPr="005B2896">
        <w:rPr>
          <w:lang w:val="fr-CH"/>
        </w:rPr>
        <w:t>.</w:t>
      </w:r>
    </w:p>
    <w:p w:rsidRPr="00A91823" w:rsidR="00A95F00" w:rsidP="004F1A13" w:rsidRDefault="00A95F00" w14:paraId="3264846B" w14:textId="77777777">
      <w:pPr>
        <w:rPr>
          <w:lang w:val="fr-CH"/>
        </w:rPr>
      </w:pPr>
    </w:p>
    <w:p w:rsidRPr="00A965B0" w:rsidR="00A95F00" w:rsidP="002E0394" w:rsidRDefault="00A95F00" w14:paraId="5538CD91" w14:textId="77777777">
      <w:pPr>
        <w:rPr>
          <w:lang w:val="fr-CH"/>
        </w:rPr>
      </w:pPr>
    </w:p>
    <w:p w:rsidR="00A95F00" w:rsidP="00EA58E0" w:rsidRDefault="00EA58E0" w14:paraId="7F332590" w14:textId="77777777">
      <w:pPr>
        <w:pStyle w:val="T2"/>
      </w:pPr>
      <w:r>
        <w:t>Conclusions.</w:t>
      </w:r>
    </w:p>
    <w:p w:rsidR="00EA58E0" w:rsidP="002E0394" w:rsidRDefault="00EA58E0" w14:paraId="6835091C" w14:textId="77777777">
      <w:pPr>
        <w:rPr>
          <w:lang w:val="fr-CH"/>
        </w:rPr>
      </w:pPr>
    </w:p>
    <w:p w:rsidR="00EA58E0" w:rsidP="002E0394" w:rsidRDefault="00EA58E0" w14:paraId="55AB647E" w14:textId="77777777">
      <w:pPr>
        <w:rPr>
          <w:lang w:val="fr-CH"/>
        </w:rPr>
      </w:pPr>
      <w:r>
        <w:rPr>
          <w:lang w:val="fr-CH"/>
        </w:rPr>
        <w:t>Le mildiou du concombre est bien une maladie présente sur l’ensemble du territoire agricole mondial dont la suisse et il est la cause de dégâts important dans les cultures en serre et en plein champs.</w:t>
      </w:r>
    </w:p>
    <w:p w:rsidR="00EA58E0" w:rsidP="002E0394" w:rsidRDefault="00EA58E0" w14:paraId="2B3B1023" w14:textId="77777777">
      <w:pPr>
        <w:rPr>
          <w:lang w:val="fr-CH"/>
        </w:rPr>
      </w:pPr>
    </w:p>
    <w:p w:rsidR="00EA58E0" w:rsidP="002E0394" w:rsidRDefault="00EA58E0" w14:paraId="13E6EACE" w14:textId="77777777">
      <w:pPr>
        <w:rPr>
          <w:lang w:val="fr-CH"/>
        </w:rPr>
      </w:pPr>
      <w:r>
        <w:rPr>
          <w:lang w:val="fr-CH"/>
        </w:rPr>
        <w:t>Aujourd’hui, peu de solution efficaces existent et l’utilisation de produits phytosanitaires doit être réduite au strict minimum.</w:t>
      </w:r>
    </w:p>
    <w:p w:rsidR="00EA58E0" w:rsidP="002E0394" w:rsidRDefault="00EA58E0" w14:paraId="1CCA9D61" w14:textId="77777777">
      <w:pPr>
        <w:rPr>
          <w:lang w:val="fr-CH"/>
        </w:rPr>
      </w:pPr>
    </w:p>
    <w:p w:rsidR="00EA58E0" w:rsidP="002E0394" w:rsidRDefault="00EA58E0" w14:paraId="24046317" w14:textId="77777777">
      <w:pPr>
        <w:rPr>
          <w:lang w:val="fr-CH"/>
        </w:rPr>
      </w:pPr>
      <w:r>
        <w:rPr>
          <w:lang w:val="fr-CH"/>
        </w:rPr>
        <w:t>Une bonne compréhension des facteurs climatiques favorables à l’occurrence du mildiou existe dans la littérature et une utilisation de ces données sont utilisées afin de créer des modèles de prédiction des risques d’infection.</w:t>
      </w:r>
    </w:p>
    <w:p w:rsidR="00EA58E0" w:rsidP="002E0394" w:rsidRDefault="00EA58E0" w14:paraId="575A1C75" w14:textId="77777777">
      <w:pPr>
        <w:rPr>
          <w:lang w:val="fr-CH"/>
        </w:rPr>
      </w:pPr>
    </w:p>
    <w:p w:rsidR="00EA58E0" w:rsidP="002E0394" w:rsidRDefault="00EA58E0" w14:paraId="370289B3" w14:textId="77777777">
      <w:pPr>
        <w:rPr>
          <w:lang w:val="fr-CH"/>
        </w:rPr>
      </w:pPr>
      <w:r>
        <w:rPr>
          <w:lang w:val="fr-CH"/>
        </w:rPr>
        <w:t>L’implémentation de tel modèles est relativement simple en serre étant donné que les paramètres climatiques utilisés sont simples et enregistrés de façon automatiques par les ordinateurs climatiques des serristes.</w:t>
      </w:r>
    </w:p>
    <w:p w:rsidR="00EA58E0" w:rsidP="002E0394" w:rsidRDefault="00EA58E0" w14:paraId="77695FA8" w14:textId="77777777">
      <w:pPr>
        <w:rPr>
          <w:lang w:val="fr-CH"/>
        </w:rPr>
      </w:pPr>
    </w:p>
    <w:p w:rsidRPr="00A965B0" w:rsidR="00BC4F07" w:rsidP="002E0394" w:rsidRDefault="00EA58E0" w14:paraId="2087A2C0" w14:textId="77777777">
      <w:pPr>
        <w:rPr>
          <w:lang w:val="fr-CH"/>
        </w:rPr>
      </w:pPr>
      <w:r>
        <w:rPr>
          <w:lang w:val="fr-CH"/>
        </w:rPr>
        <w:t>L’utilisation de la reconnaissance d’image pour la détection du mildiou commence à être étudiée en recherche et semble pertinente pour la détection de la maladie une fois que celle –ci est dans la culture. Il ne s’agit donc pas de prédiction mais d’une détection de présence. Cette solution pourrait être pertinente si les zones à risque en serre sont connues du producteur afin de cibler la détection dans ladite zone de serre.</w:t>
      </w:r>
    </w:p>
    <w:p w:rsidRPr="00EA58E0" w:rsidR="00CA5C05" w:rsidRDefault="00CA5C05" w14:paraId="0E7B56D3" w14:textId="77777777">
      <w:pPr>
        <w:spacing w:after="160" w:line="259" w:lineRule="auto"/>
        <w:jc w:val="left"/>
        <w:rPr>
          <w:rFonts w:cstheme="minorHAnsi"/>
          <w:b/>
          <w:szCs w:val="20"/>
          <w:lang w:val="fr-CH"/>
        </w:rPr>
      </w:pPr>
      <w:r w:rsidRPr="00EA58E0">
        <w:rPr>
          <w:lang w:val="fr-CH"/>
        </w:rPr>
        <w:br w:type="page"/>
      </w:r>
    </w:p>
    <w:p w:rsidRPr="005A62F5" w:rsidR="007F1201" w:rsidP="007F1201" w:rsidRDefault="007F1201" w14:paraId="2CBEA389" w14:textId="77777777">
      <w:pPr>
        <w:pStyle w:val="T2"/>
        <w:rPr>
          <w:lang w:val="en-US"/>
        </w:rPr>
      </w:pPr>
      <w:r w:rsidRPr="005A62F5">
        <w:rPr>
          <w:lang w:val="en-US"/>
        </w:rPr>
        <w:t>Références</w:t>
      </w:r>
    </w:p>
    <w:p w:rsidRPr="008D2F0B" w:rsidR="00146333" w:rsidP="007F1201" w:rsidRDefault="00146333" w14:paraId="2894922B" w14:textId="77777777">
      <w:pPr>
        <w:pStyle w:val="T2"/>
        <w:rPr>
          <w:sz w:val="18"/>
          <w:lang w:val="en-US"/>
        </w:rPr>
      </w:pPr>
    </w:p>
    <w:p w:rsidRPr="005A62F5" w:rsidR="00146333" w:rsidP="005B5800" w:rsidRDefault="00EC5CA1" w14:paraId="53F6B890" w14:textId="598944B4">
      <w:pPr>
        <w:rPr>
          <w:color w:val="000000"/>
          <w:szCs w:val="20"/>
          <w:shd w:val="clear" w:color="auto" w:fill="FFFFFF"/>
        </w:rPr>
      </w:pPr>
      <w:r w:rsidRPr="005A62F5">
        <w:rPr>
          <w:b/>
          <w:bCs/>
          <w:color w:val="000000"/>
          <w:szCs w:val="20"/>
          <w:shd w:val="clear" w:color="auto" w:fill="FFFFFF"/>
        </w:rPr>
        <w:t>McPartland, J. M., 1996.  A review of </w:t>
      </w:r>
      <w:r w:rsidRPr="005A62F5">
        <w:rPr>
          <w:b/>
          <w:bCs/>
          <w:i/>
          <w:iCs/>
          <w:color w:val="000000"/>
          <w:szCs w:val="20"/>
          <w:shd w:val="clear" w:color="auto" w:fill="FFFFFF"/>
        </w:rPr>
        <w:t>Cannabis </w:t>
      </w:r>
      <w:r w:rsidRPr="005A62F5">
        <w:rPr>
          <w:b/>
          <w:bCs/>
          <w:color w:val="000000"/>
          <w:szCs w:val="20"/>
          <w:shd w:val="clear" w:color="auto" w:fill="FFFFFF"/>
        </w:rPr>
        <w:t>diseases. </w:t>
      </w:r>
      <w:r w:rsidRPr="005A62F5">
        <w:rPr>
          <w:i/>
          <w:iCs/>
          <w:color w:val="000000"/>
          <w:szCs w:val="20"/>
          <w:shd w:val="clear" w:color="auto" w:fill="FFFFFF"/>
        </w:rPr>
        <w:t>Journal of the International Hemp Association </w:t>
      </w:r>
      <w:r w:rsidRPr="005A62F5">
        <w:rPr>
          <w:color w:val="000000"/>
          <w:szCs w:val="20"/>
          <w:shd w:val="clear" w:color="auto" w:fill="FFFFFF"/>
        </w:rPr>
        <w:t>3(1): 19-23.</w:t>
      </w:r>
    </w:p>
    <w:p w:rsidRPr="005A62F5" w:rsidR="007573E6" w:rsidP="005B5800" w:rsidRDefault="007573E6" w14:paraId="35597EA4" w14:textId="29E23F8C">
      <w:pPr>
        <w:rPr>
          <w:b/>
          <w:bCs/>
          <w:color w:val="000000"/>
          <w:szCs w:val="20"/>
          <w:shd w:val="clear" w:color="auto" w:fill="FFFFFF"/>
          <w:lang w:val="fr-CH"/>
        </w:rPr>
      </w:pPr>
      <w:r w:rsidRPr="005A62F5">
        <w:rPr>
          <w:b/>
          <w:bCs/>
          <w:color w:val="000000"/>
          <w:szCs w:val="20"/>
          <w:shd w:val="clear" w:color="auto" w:fill="FFFFFF"/>
          <w:lang w:val="fr-CH"/>
        </w:rPr>
        <w:t>J. W. Kronstad, </w:t>
      </w:r>
      <w:r w:rsidRPr="005A62F5">
        <w:rPr>
          <w:i/>
          <w:iCs/>
          <w:color w:val="000000"/>
          <w:szCs w:val="20"/>
          <w:shd w:val="clear" w:color="auto" w:fill="FFFFFF"/>
          <w:lang w:val="fr-CH"/>
        </w:rPr>
        <w:t>Fungal Pathology</w:t>
      </w:r>
      <w:r w:rsidRPr="005A62F5">
        <w:rPr>
          <w:color w:val="000000"/>
          <w:szCs w:val="20"/>
          <w:shd w:val="clear" w:color="auto" w:fill="FFFFFF"/>
          <w:lang w:val="fr-CH"/>
        </w:rPr>
        <w:t>, Springer, 30 septembre 2000, 404 p.</w:t>
      </w:r>
    </w:p>
    <w:p w:rsidRPr="005A62F5" w:rsidR="00436627" w:rsidP="005B5800" w:rsidRDefault="00436627" w14:paraId="67ACB2C0" w14:textId="5E85017A">
      <w:pPr>
        <w:rPr>
          <w:color w:val="000000"/>
          <w:szCs w:val="20"/>
          <w:shd w:val="clear" w:color="auto" w:fill="FFFFFF"/>
          <w:lang w:val="fr-CH"/>
        </w:rPr>
      </w:pPr>
      <w:r w:rsidRPr="005A62F5">
        <w:rPr>
          <w:b/>
          <w:bCs/>
          <w:color w:val="000000"/>
          <w:szCs w:val="20"/>
          <w:shd w:val="clear" w:color="auto" w:fill="FFFFFF"/>
          <w:lang w:val="fr-CH"/>
        </w:rPr>
        <w:t>Anne-Sophie Walker, </w:t>
      </w:r>
      <w:r w:rsidRPr="005A62F5">
        <w:rPr>
          <w:i/>
          <w:iCs/>
          <w:color w:val="000000"/>
          <w:szCs w:val="20"/>
          <w:lang w:val="fr-CH"/>
        </w:rPr>
        <w:t>Diversité et adaptation aux fongicides des populations de </w:t>
      </w:r>
      <w:r w:rsidRPr="005A62F5">
        <w:rPr>
          <w:color w:val="000000"/>
          <w:szCs w:val="20"/>
          <w:lang w:val="fr-CH"/>
        </w:rPr>
        <w:t>Botrytis cinerea</w:t>
      </w:r>
      <w:r w:rsidRPr="005A62F5">
        <w:rPr>
          <w:i/>
          <w:iCs/>
          <w:color w:val="000000"/>
          <w:szCs w:val="20"/>
          <w:lang w:val="fr-CH"/>
        </w:rPr>
        <w:t>, agent de la pourriture grise</w:t>
      </w:r>
      <w:r w:rsidRPr="005A62F5">
        <w:rPr>
          <w:color w:val="000000"/>
          <w:szCs w:val="20"/>
          <w:shd w:val="clear" w:color="auto" w:fill="FFFFFF"/>
          <w:lang w:val="fr-CH"/>
        </w:rPr>
        <w:t>, Thèse, Université Paris-Sud, 13 mai 2013</w:t>
      </w:r>
    </w:p>
    <w:p w:rsidRPr="005A62F5" w:rsidR="00CF34DE" w:rsidP="005B5800" w:rsidRDefault="00CF34DE" w14:paraId="2F968B4D" w14:textId="019C70D4">
      <w:pPr>
        <w:rPr>
          <w:color w:val="000000"/>
          <w:szCs w:val="20"/>
          <w:shd w:val="clear" w:color="auto" w:fill="FFFFFF"/>
          <w:lang w:val="fr-CH"/>
        </w:rPr>
      </w:pPr>
      <w:r w:rsidRPr="005A62F5">
        <w:rPr>
          <w:b/>
          <w:bCs/>
          <w:color w:val="000000"/>
          <w:szCs w:val="20"/>
          <w:shd w:val="clear" w:color="auto" w:fill="FFFFFF"/>
        </w:rPr>
        <w:t xml:space="preserve">Agrios, G. N. </w:t>
      </w:r>
      <w:r w:rsidRPr="005A62F5">
        <w:rPr>
          <w:color w:val="000000"/>
          <w:szCs w:val="20"/>
          <w:shd w:val="clear" w:color="auto" w:fill="FFFFFF"/>
        </w:rPr>
        <w:t>Plant Pathology. Sixth Edition. Elsevier Academic Press</w:t>
      </w:r>
      <w:r w:rsidRPr="005A62F5">
        <w:rPr>
          <w:rFonts w:cs="Times New Roman"/>
          <w:szCs w:val="20"/>
        </w:rPr>
        <w:t>.</w:t>
      </w:r>
      <w:r w:rsidRPr="005A62F5" w:rsidR="00B87FF9">
        <w:rPr>
          <w:rFonts w:cs="Times New Roman"/>
          <w:szCs w:val="20"/>
        </w:rPr>
        <w:t xml:space="preserve"> </w:t>
      </w:r>
      <w:r w:rsidRPr="005A62F5" w:rsidR="00B87FF9">
        <w:rPr>
          <w:color w:val="000000"/>
          <w:szCs w:val="20"/>
          <w:shd w:val="clear" w:color="auto" w:fill="FFFFFF"/>
          <w:lang w:val="fr-CH"/>
        </w:rPr>
        <w:t>2006.</w:t>
      </w:r>
    </w:p>
    <w:p w:rsidRPr="005A62F5" w:rsidR="00CC197D" w:rsidP="005B5800" w:rsidRDefault="00CC197D" w14:paraId="69A11575" w14:textId="2BDF5E4D">
      <w:pPr>
        <w:rPr>
          <w:color w:val="000000"/>
          <w:szCs w:val="20"/>
          <w:shd w:val="clear" w:color="auto" w:fill="FFFFFF"/>
          <w:lang w:val="fr-CH"/>
        </w:rPr>
      </w:pPr>
      <w:r w:rsidRPr="005A62F5">
        <w:rPr>
          <w:color w:val="000000"/>
          <w:szCs w:val="20"/>
          <w:shd w:val="clear" w:color="auto" w:fill="FFFFFF"/>
          <w:lang w:val="fr-CH"/>
        </w:rPr>
        <w:t xml:space="preserve">Réseau d’avertissements phytosanitaires, 2018, Fiche technique </w:t>
      </w:r>
      <w:r w:rsidRPr="005A62F5">
        <w:rPr>
          <w:i/>
          <w:iCs/>
          <w:color w:val="000000"/>
          <w:szCs w:val="20"/>
          <w:shd w:val="clear" w:color="auto" w:fill="FFFFFF"/>
          <w:lang w:val="fr-CH"/>
        </w:rPr>
        <w:t>Botrytis cinerea</w:t>
      </w:r>
      <w:r w:rsidRPr="005A62F5">
        <w:rPr>
          <w:color w:val="000000"/>
          <w:szCs w:val="20"/>
          <w:shd w:val="clear" w:color="auto" w:fill="FFFFFF"/>
          <w:lang w:val="fr-CH"/>
        </w:rPr>
        <w:t>.</w:t>
      </w:r>
    </w:p>
    <w:p w:rsidRPr="005A62F5" w:rsidR="00146333" w:rsidP="005B5800" w:rsidRDefault="00350CDB" w14:paraId="3B133FEF" w14:textId="1C03682A">
      <w:pPr>
        <w:rPr>
          <w:color w:val="000000"/>
          <w:szCs w:val="20"/>
          <w:shd w:val="clear" w:color="auto" w:fill="FFFFFF"/>
        </w:rPr>
      </w:pPr>
      <w:r w:rsidRPr="005A62F5">
        <w:rPr>
          <w:b/>
          <w:bCs/>
          <w:color w:val="000000"/>
          <w:szCs w:val="20"/>
          <w:shd w:val="clear" w:color="auto" w:fill="FFFFFF"/>
        </w:rPr>
        <w:t xml:space="preserve">Broome, J. C., English, J. T. Marois, J. J., Latorre, B. A. and Aviles, J. C. 1995. </w:t>
      </w:r>
      <w:r w:rsidRPr="005A62F5">
        <w:rPr>
          <w:color w:val="000000"/>
          <w:szCs w:val="20"/>
          <w:shd w:val="clear" w:color="auto" w:fill="FFFFFF"/>
        </w:rPr>
        <w:t xml:space="preserve">Development of an Infection Model for Botrytis Bunch Rot of Grapes Based on Wetness Duration and Temperature. </w:t>
      </w:r>
      <w:r w:rsidRPr="005A62F5">
        <w:rPr>
          <w:i/>
          <w:iCs/>
          <w:color w:val="000000"/>
          <w:szCs w:val="20"/>
          <w:shd w:val="clear" w:color="auto" w:fill="FFFFFF"/>
        </w:rPr>
        <w:t>Phytopathology</w:t>
      </w:r>
      <w:r w:rsidRPr="005A62F5">
        <w:rPr>
          <w:color w:val="000000"/>
          <w:szCs w:val="20"/>
          <w:shd w:val="clear" w:color="auto" w:fill="FFFFFF"/>
        </w:rPr>
        <w:t xml:space="preserve"> 85: 97-102</w:t>
      </w:r>
    </w:p>
    <w:p w:rsidRPr="005A62F5" w:rsidR="007B274E" w:rsidP="005B5800" w:rsidRDefault="007B274E" w14:paraId="49BFDFAF" w14:textId="56305C85">
      <w:pPr>
        <w:rPr>
          <w:color w:val="000000"/>
          <w:szCs w:val="20"/>
          <w:shd w:val="clear" w:color="auto" w:fill="FFFFFF"/>
        </w:rPr>
      </w:pPr>
      <w:r w:rsidRPr="005A62F5">
        <w:rPr>
          <w:b/>
          <w:bCs/>
          <w:color w:val="000000"/>
          <w:szCs w:val="20"/>
          <w:shd w:val="clear" w:color="auto" w:fill="FFFFFF"/>
        </w:rPr>
        <w:t>Nair, N. G. and Allen, R. N. 1993</w:t>
      </w:r>
      <w:r w:rsidRPr="005A62F5">
        <w:rPr>
          <w:color w:val="000000"/>
          <w:szCs w:val="20"/>
          <w:shd w:val="clear" w:color="auto" w:fill="FFFFFF"/>
        </w:rPr>
        <w:t xml:space="preserve">. Infection of Grape Flowers and Berries by Botrytis Cinerea as a Function of Time and Temperature. </w:t>
      </w:r>
      <w:r w:rsidRPr="005A62F5">
        <w:rPr>
          <w:i/>
          <w:iCs/>
          <w:color w:val="000000"/>
          <w:szCs w:val="20"/>
          <w:shd w:val="clear" w:color="auto" w:fill="FFFFFF"/>
        </w:rPr>
        <w:t xml:space="preserve">Mycological Research </w:t>
      </w:r>
      <w:r w:rsidRPr="005A62F5">
        <w:rPr>
          <w:color w:val="000000"/>
          <w:szCs w:val="20"/>
          <w:shd w:val="clear" w:color="auto" w:fill="FFFFFF"/>
        </w:rPr>
        <w:t>97(8): 1012-1014</w:t>
      </w:r>
    </w:p>
    <w:p w:rsidRPr="005A62F5" w:rsidR="00E874CF" w:rsidP="005B5800" w:rsidRDefault="00E874CF" w14:paraId="185A391A" w14:textId="7B74D39D">
      <w:pPr>
        <w:rPr>
          <w:b/>
          <w:bCs/>
          <w:color w:val="000000"/>
          <w:szCs w:val="20"/>
          <w:shd w:val="clear" w:color="auto" w:fill="FFFFFF"/>
        </w:rPr>
      </w:pPr>
      <w:r w:rsidRPr="005A62F5">
        <w:rPr>
          <w:b/>
          <w:bCs/>
          <w:color w:val="000000"/>
          <w:szCs w:val="20"/>
          <w:shd w:val="clear" w:color="auto" w:fill="FFFFFF"/>
          <w:lang w:val="fr-CH"/>
        </w:rPr>
        <w:t>González-Domínguez E, Caffi T, Ciliberti N, Rossi V.</w:t>
      </w:r>
      <w:r w:rsidRPr="005A62F5" w:rsidR="000039A6">
        <w:rPr>
          <w:b/>
          <w:bCs/>
          <w:color w:val="000000"/>
          <w:szCs w:val="20"/>
          <w:shd w:val="clear" w:color="auto" w:fill="FFFFFF"/>
          <w:lang w:val="fr-CH"/>
        </w:rPr>
        <w:t>, 2015</w:t>
      </w:r>
      <w:r w:rsidRPr="005A62F5" w:rsidR="000039A6">
        <w:rPr>
          <w:color w:val="000000"/>
          <w:szCs w:val="20"/>
          <w:shd w:val="clear" w:color="auto" w:fill="FFFFFF"/>
          <w:lang w:val="fr-CH"/>
        </w:rPr>
        <w:t>.</w:t>
      </w:r>
      <w:r w:rsidRPr="005A62F5">
        <w:rPr>
          <w:b/>
          <w:bCs/>
          <w:color w:val="000000"/>
          <w:szCs w:val="20"/>
          <w:shd w:val="clear" w:color="auto" w:fill="FFFFFF"/>
          <w:lang w:val="fr-CH"/>
        </w:rPr>
        <w:t xml:space="preserve"> </w:t>
      </w:r>
      <w:r w:rsidRPr="005A62F5">
        <w:rPr>
          <w:color w:val="000000"/>
          <w:szCs w:val="20"/>
          <w:shd w:val="clear" w:color="auto" w:fill="FFFFFF"/>
        </w:rPr>
        <w:t xml:space="preserve">A Mechanistic Model of Botrytis cinerea on Grapevines That Includes Weather, Vine Growth Stage, and the Main Infection Pathways. </w:t>
      </w:r>
      <w:r w:rsidRPr="005A62F5">
        <w:rPr>
          <w:i/>
          <w:iCs/>
          <w:color w:val="000000"/>
          <w:szCs w:val="20"/>
          <w:shd w:val="clear" w:color="auto" w:fill="FFFFFF"/>
        </w:rPr>
        <w:t>Plos one</w:t>
      </w:r>
      <w:r w:rsidRPr="005A62F5">
        <w:rPr>
          <w:color w:val="000000"/>
          <w:szCs w:val="20"/>
          <w:shd w:val="clear" w:color="auto" w:fill="FFFFFF"/>
        </w:rPr>
        <w:t>.;10(10):e0140444. DOI: 10.1371/journal.pone.0140444. PMID: 26457808; PMCID: PMC4601735</w:t>
      </w:r>
      <w:r w:rsidRPr="005A62F5">
        <w:rPr>
          <w:b/>
          <w:bCs/>
          <w:color w:val="000000"/>
          <w:szCs w:val="20"/>
          <w:shd w:val="clear" w:color="auto" w:fill="FFFFFF"/>
        </w:rPr>
        <w:t>.</w:t>
      </w:r>
    </w:p>
    <w:p w:rsidRPr="005A62F5" w:rsidR="00146333" w:rsidP="005B5800" w:rsidRDefault="00146333" w14:paraId="6C888292" w14:textId="77777777">
      <w:pPr>
        <w:rPr>
          <w:b/>
          <w:bCs/>
          <w:color w:val="000000"/>
          <w:szCs w:val="20"/>
          <w:shd w:val="clear" w:color="auto" w:fill="FFFFFF"/>
        </w:rPr>
      </w:pPr>
    </w:p>
    <w:p w:rsidRPr="000039A6" w:rsidR="00146333" w:rsidP="005B5800" w:rsidRDefault="00146333" w14:paraId="4C061792" w14:textId="77777777">
      <w:pPr>
        <w:rPr>
          <w:b/>
          <w:bCs/>
          <w:color w:val="000000"/>
          <w:shd w:val="clear" w:color="auto" w:fill="FFFFFF"/>
        </w:rPr>
      </w:pPr>
    </w:p>
    <w:p w:rsidRPr="000039A6" w:rsidR="00146333" w:rsidP="005B5800" w:rsidRDefault="00146333" w14:paraId="20C311AF" w14:textId="77777777">
      <w:pPr>
        <w:rPr>
          <w:rFonts w:cstheme="minorHAnsi"/>
          <w:szCs w:val="20"/>
        </w:rPr>
      </w:pPr>
    </w:p>
    <w:p w:rsidRPr="000039A6" w:rsidR="00146333" w:rsidP="005B5800" w:rsidRDefault="00146333" w14:paraId="768A31A6" w14:textId="77777777">
      <w:pPr>
        <w:rPr>
          <w:rFonts w:cstheme="minorHAnsi"/>
          <w:szCs w:val="20"/>
        </w:rPr>
      </w:pPr>
    </w:p>
    <w:p w:rsidRPr="000039A6" w:rsidR="00146333" w:rsidP="005B5800" w:rsidRDefault="00146333" w14:paraId="2E9FADA9" w14:textId="77777777">
      <w:pPr>
        <w:rPr>
          <w:rFonts w:cstheme="minorHAnsi"/>
          <w:szCs w:val="20"/>
        </w:rPr>
      </w:pPr>
    </w:p>
    <w:p w:rsidRPr="000039A6" w:rsidR="00146333" w:rsidP="005B5800" w:rsidRDefault="00146333" w14:paraId="3ED5E5B7" w14:textId="77777777">
      <w:pPr>
        <w:rPr>
          <w:rFonts w:cstheme="minorHAnsi"/>
          <w:szCs w:val="20"/>
        </w:rPr>
      </w:pPr>
    </w:p>
    <w:p w:rsidRPr="000039A6" w:rsidR="00146333" w:rsidP="00502F42" w:rsidRDefault="00146333" w14:paraId="717E5D27" w14:textId="5CE88389">
      <w:pPr>
        <w:spacing w:after="160" w:line="259" w:lineRule="auto"/>
        <w:jc w:val="left"/>
        <w:rPr>
          <w:rFonts w:cstheme="minorHAnsi"/>
          <w:szCs w:val="20"/>
        </w:rPr>
        <w:sectPr w:rsidRPr="000039A6" w:rsidR="00146333" w:rsidSect="00AF35F2">
          <w:pgSz w:w="11907" w:h="16839" w:orient="portrait"/>
          <w:pgMar w:top="1440" w:right="1080" w:bottom="1440" w:left="1080" w:header="708" w:footer="708" w:gutter="0"/>
          <w:cols w:space="708"/>
          <w:docGrid w:linePitch="360"/>
        </w:sectPr>
      </w:pPr>
    </w:p>
    <w:p w:rsidRPr="000039A6" w:rsidR="00581DF5" w:rsidP="00350CDB" w:rsidRDefault="00581DF5" w14:paraId="52A3C794" w14:textId="77777777">
      <w:pPr>
        <w:rPr>
          <w:rFonts w:cstheme="minorHAnsi"/>
          <w:szCs w:val="20"/>
        </w:rPr>
      </w:pPr>
    </w:p>
    <w:sectPr w:rsidRPr="000039A6" w:rsidR="00581DF5" w:rsidSect="00D1487B">
      <w:pgSz w:w="11907" w:h="16839" w:orient="portrait"/>
      <w:pgMar w:top="1440" w:right="1077" w:bottom="1440"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F2C2A" w:rsidP="000862B0" w:rsidRDefault="00DF2C2A" w14:paraId="0BEEEEEA" w14:textId="77777777">
      <w:pPr>
        <w:spacing w:line="240" w:lineRule="auto"/>
      </w:pPr>
      <w:r>
        <w:separator/>
      </w:r>
    </w:p>
  </w:endnote>
  <w:endnote w:type="continuationSeparator" w:id="0">
    <w:p w:rsidR="00DF2C2A" w:rsidP="000862B0" w:rsidRDefault="00DF2C2A" w14:paraId="68481F92"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F2C2A" w:rsidP="000862B0" w:rsidRDefault="00DF2C2A" w14:paraId="0E2E9B45" w14:textId="77777777">
      <w:pPr>
        <w:spacing w:line="240" w:lineRule="auto"/>
      </w:pPr>
      <w:r>
        <w:separator/>
      </w:r>
    </w:p>
  </w:footnote>
  <w:footnote w:type="continuationSeparator" w:id="0">
    <w:p w:rsidR="00DF2C2A" w:rsidP="000862B0" w:rsidRDefault="00DF2C2A" w14:paraId="106CFF5E" w14:textId="77777777">
      <w:pPr>
        <w:spacing w:line="240" w:lineRule="auto"/>
      </w:pPr>
      <w:r>
        <w:continuationSeparator/>
      </w:r>
    </w:p>
  </w:footnote>
  <w:footnote w:id="1">
    <w:p w:rsidRPr="00583F84" w:rsidR="00583F84" w:rsidRDefault="00583F84" w14:paraId="281A7E16" w14:textId="0708CA92">
      <w:pPr>
        <w:pStyle w:val="Notedebasdepage"/>
        <w:rPr>
          <w:lang w:val="fr-CH"/>
        </w:rPr>
      </w:pPr>
      <w:r>
        <w:rPr>
          <w:rStyle w:val="Appelnotedebasdep"/>
        </w:rPr>
        <w:footnoteRef/>
      </w:r>
      <w:hyperlink w:history="1" r:id="rId1">
        <w:r w:rsidRPr="00201742">
          <w:rPr>
            <w:rStyle w:val="Lienhypertexte"/>
            <w:lang w:val="fr-CH"/>
          </w:rPr>
          <w:t>https://www.bioactualites.ch/cultures/grandes-cultures-bio/autres-cultures/generalites/chanvre-culture-et-dutilisation.html</w:t>
        </w:r>
      </w:hyperlink>
      <w:r>
        <w:rPr>
          <w:lang w:val="fr-CH"/>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0648A"/>
    <w:multiLevelType w:val="hybridMultilevel"/>
    <w:tmpl w:val="79AC3EAA"/>
    <w:lvl w:ilvl="0" w:tplc="90E87C2E">
      <w:numFmt w:val="bullet"/>
      <w:lvlText w:val="-"/>
      <w:lvlJc w:val="left"/>
      <w:pPr>
        <w:ind w:left="720" w:hanging="360"/>
      </w:pPr>
      <w:rPr>
        <w:rFonts w:hint="default" w:ascii="Calibri" w:hAnsi="Calibri" w:cs="Calibri" w:eastAsiaTheme="minorHAnsi"/>
        <w:b w:val="0"/>
        <w:i w:val="0"/>
      </w:rPr>
    </w:lvl>
    <w:lvl w:ilvl="1" w:tplc="100C0003" w:tentative="1">
      <w:start w:val="1"/>
      <w:numFmt w:val="bullet"/>
      <w:lvlText w:val="o"/>
      <w:lvlJc w:val="left"/>
      <w:pPr>
        <w:ind w:left="1440" w:hanging="360"/>
      </w:pPr>
      <w:rPr>
        <w:rFonts w:hint="default" w:ascii="Courier New" w:hAnsi="Courier New" w:cs="Courier New"/>
      </w:rPr>
    </w:lvl>
    <w:lvl w:ilvl="2" w:tplc="100C0005" w:tentative="1">
      <w:start w:val="1"/>
      <w:numFmt w:val="bullet"/>
      <w:lvlText w:val=""/>
      <w:lvlJc w:val="left"/>
      <w:pPr>
        <w:ind w:left="2160" w:hanging="360"/>
      </w:pPr>
      <w:rPr>
        <w:rFonts w:hint="default" w:ascii="Wingdings" w:hAnsi="Wingdings"/>
      </w:rPr>
    </w:lvl>
    <w:lvl w:ilvl="3" w:tplc="100C0001" w:tentative="1">
      <w:start w:val="1"/>
      <w:numFmt w:val="bullet"/>
      <w:lvlText w:val=""/>
      <w:lvlJc w:val="left"/>
      <w:pPr>
        <w:ind w:left="2880" w:hanging="360"/>
      </w:pPr>
      <w:rPr>
        <w:rFonts w:hint="default" w:ascii="Symbol" w:hAnsi="Symbol"/>
      </w:rPr>
    </w:lvl>
    <w:lvl w:ilvl="4" w:tplc="100C0003" w:tentative="1">
      <w:start w:val="1"/>
      <w:numFmt w:val="bullet"/>
      <w:lvlText w:val="o"/>
      <w:lvlJc w:val="left"/>
      <w:pPr>
        <w:ind w:left="3600" w:hanging="360"/>
      </w:pPr>
      <w:rPr>
        <w:rFonts w:hint="default" w:ascii="Courier New" w:hAnsi="Courier New" w:cs="Courier New"/>
      </w:rPr>
    </w:lvl>
    <w:lvl w:ilvl="5" w:tplc="100C0005" w:tentative="1">
      <w:start w:val="1"/>
      <w:numFmt w:val="bullet"/>
      <w:lvlText w:val=""/>
      <w:lvlJc w:val="left"/>
      <w:pPr>
        <w:ind w:left="4320" w:hanging="360"/>
      </w:pPr>
      <w:rPr>
        <w:rFonts w:hint="default" w:ascii="Wingdings" w:hAnsi="Wingdings"/>
      </w:rPr>
    </w:lvl>
    <w:lvl w:ilvl="6" w:tplc="100C0001" w:tentative="1">
      <w:start w:val="1"/>
      <w:numFmt w:val="bullet"/>
      <w:lvlText w:val=""/>
      <w:lvlJc w:val="left"/>
      <w:pPr>
        <w:ind w:left="5040" w:hanging="360"/>
      </w:pPr>
      <w:rPr>
        <w:rFonts w:hint="default" w:ascii="Symbol" w:hAnsi="Symbol"/>
      </w:rPr>
    </w:lvl>
    <w:lvl w:ilvl="7" w:tplc="100C0003" w:tentative="1">
      <w:start w:val="1"/>
      <w:numFmt w:val="bullet"/>
      <w:lvlText w:val="o"/>
      <w:lvlJc w:val="left"/>
      <w:pPr>
        <w:ind w:left="5760" w:hanging="360"/>
      </w:pPr>
      <w:rPr>
        <w:rFonts w:hint="default" w:ascii="Courier New" w:hAnsi="Courier New" w:cs="Courier New"/>
      </w:rPr>
    </w:lvl>
    <w:lvl w:ilvl="8" w:tplc="100C0005" w:tentative="1">
      <w:start w:val="1"/>
      <w:numFmt w:val="bullet"/>
      <w:lvlText w:val=""/>
      <w:lvlJc w:val="left"/>
      <w:pPr>
        <w:ind w:left="6480" w:hanging="360"/>
      </w:pPr>
      <w:rPr>
        <w:rFonts w:hint="default" w:ascii="Wingdings" w:hAnsi="Wingdings"/>
      </w:rPr>
    </w:lvl>
  </w:abstractNum>
  <w:abstractNum w:abstractNumId="1" w15:restartNumberingAfterBreak="0">
    <w:nsid w:val="0FA00CED"/>
    <w:multiLevelType w:val="hybridMultilevel"/>
    <w:tmpl w:val="44C6AF80"/>
    <w:lvl w:ilvl="0" w:tplc="F90AAC8C">
      <w:start w:val="3"/>
      <w:numFmt w:val="bullet"/>
      <w:lvlText w:val="-"/>
      <w:lvlJc w:val="left"/>
      <w:pPr>
        <w:ind w:left="720" w:hanging="360"/>
      </w:pPr>
      <w:rPr>
        <w:rFonts w:hint="default" w:ascii="Arial" w:hAnsi="Arial" w:eastAsia="Calibri" w:cs="Aria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1C15896"/>
    <w:multiLevelType w:val="hybridMultilevel"/>
    <w:tmpl w:val="6F3488F2"/>
    <w:lvl w:ilvl="0" w:tplc="EFC268F2">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3" w15:restartNumberingAfterBreak="0">
    <w:nsid w:val="34795464"/>
    <w:multiLevelType w:val="hybridMultilevel"/>
    <w:tmpl w:val="712E527A"/>
    <w:lvl w:ilvl="0" w:tplc="A7666D38">
      <w:start w:val="28"/>
      <w:numFmt w:val="bullet"/>
      <w:lvlText w:val="-"/>
      <w:lvlJc w:val="left"/>
      <w:pPr>
        <w:ind w:left="360" w:hanging="360"/>
      </w:pPr>
      <w:rPr>
        <w:rFonts w:hint="default" w:ascii="Arial" w:hAnsi="Arial" w:cs="Arial" w:eastAsiaTheme="minorHAnsi"/>
      </w:rPr>
    </w:lvl>
    <w:lvl w:ilvl="1" w:tplc="A7666D38">
      <w:start w:val="28"/>
      <w:numFmt w:val="bullet"/>
      <w:lvlText w:val="-"/>
      <w:lvlJc w:val="left"/>
      <w:pPr>
        <w:ind w:left="1080" w:hanging="360"/>
      </w:pPr>
      <w:rPr>
        <w:rFonts w:hint="default" w:ascii="Arial" w:hAnsi="Arial" w:cs="Arial" w:eastAsiaTheme="minorHAnsi"/>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BFB2F20"/>
    <w:multiLevelType w:val="hybridMultilevel"/>
    <w:tmpl w:val="17186E4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51183C9E"/>
    <w:multiLevelType w:val="multilevel"/>
    <w:tmpl w:val="8FB2138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51C4123A"/>
    <w:multiLevelType w:val="hybridMultilevel"/>
    <w:tmpl w:val="A24829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484376"/>
    <w:multiLevelType w:val="hybridMultilevel"/>
    <w:tmpl w:val="82B85818"/>
    <w:lvl w:ilvl="0" w:tplc="A7666D38">
      <w:start w:val="28"/>
      <w:numFmt w:val="bullet"/>
      <w:lvlText w:val="-"/>
      <w:lvlJc w:val="left"/>
      <w:pPr>
        <w:ind w:left="720" w:hanging="360"/>
      </w:pPr>
      <w:rPr>
        <w:rFonts w:hint="default" w:ascii="Arial" w:hAnsi="Arial" w:cs="Arial" w:eastAsiaTheme="minorHAnsi"/>
      </w:rPr>
    </w:lvl>
    <w:lvl w:ilvl="1" w:tplc="A7666D38">
      <w:start w:val="28"/>
      <w:numFmt w:val="bullet"/>
      <w:lvlText w:val="-"/>
      <w:lvlJc w:val="left"/>
      <w:pPr>
        <w:ind w:left="1440" w:hanging="360"/>
      </w:pPr>
      <w:rPr>
        <w:rFonts w:hint="default" w:ascii="Arial" w:hAnsi="Arial" w:cs="Arial" w:eastAsiaTheme="minorHAnsi"/>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FC110E"/>
    <w:multiLevelType w:val="hybridMultilevel"/>
    <w:tmpl w:val="082E2346"/>
    <w:lvl w:ilvl="0" w:tplc="E4DAFD3A">
      <w:start w:val="1"/>
      <w:numFmt w:val="decimal"/>
      <w:lvlText w:val="%1."/>
      <w:lvlJc w:val="left"/>
      <w:pPr>
        <w:ind w:left="360" w:hanging="360"/>
      </w:pPr>
      <w:rPr>
        <w:rFonts w:hint="default"/>
      </w:rPr>
    </w:lvl>
    <w:lvl w:ilvl="1" w:tplc="A7666D38">
      <w:start w:val="28"/>
      <w:numFmt w:val="bullet"/>
      <w:lvlText w:val="-"/>
      <w:lvlJc w:val="left"/>
      <w:pPr>
        <w:ind w:left="1080" w:hanging="360"/>
      </w:pPr>
      <w:rPr>
        <w:rFonts w:hint="default" w:ascii="Arial" w:hAnsi="Arial" w:cs="Arial" w:eastAsiaTheme="minorHAnsi"/>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58F6C60"/>
    <w:multiLevelType w:val="hybridMultilevel"/>
    <w:tmpl w:val="2A08D5E0"/>
    <w:lvl w:ilvl="0" w:tplc="E4DAFD3A">
      <w:start w:val="1"/>
      <w:numFmt w:val="decimal"/>
      <w:lvlText w:val="%1."/>
      <w:lvlJc w:val="left"/>
      <w:pPr>
        <w:ind w:left="720" w:hanging="360"/>
      </w:pPr>
      <w:rPr>
        <w:rFonts w:hint="default"/>
      </w:rPr>
    </w:lvl>
    <w:lvl w:ilvl="1" w:tplc="A7666D38">
      <w:start w:val="28"/>
      <w:numFmt w:val="bullet"/>
      <w:lvlText w:val="-"/>
      <w:lvlJc w:val="left"/>
      <w:pPr>
        <w:ind w:left="1440" w:hanging="360"/>
      </w:pPr>
      <w:rPr>
        <w:rFonts w:hint="default" w:ascii="Arial" w:hAnsi="Arial" w:cs="Arial" w:eastAsiaTheme="minorHAnsi"/>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EF3B0C"/>
    <w:multiLevelType w:val="multilevel"/>
    <w:tmpl w:val="E0FCE4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73F305B3"/>
    <w:multiLevelType w:val="hybridMultilevel"/>
    <w:tmpl w:val="CE202DB8"/>
    <w:lvl w:ilvl="0" w:tplc="A7666D38">
      <w:start w:val="28"/>
      <w:numFmt w:val="bullet"/>
      <w:lvlText w:val="-"/>
      <w:lvlJc w:val="left"/>
      <w:pPr>
        <w:ind w:left="720" w:hanging="360"/>
      </w:pPr>
      <w:rPr>
        <w:rFonts w:hint="default" w:ascii="Arial" w:hAnsi="Arial" w:cs="Arial" w:eastAsiaTheme="minorHAnsi"/>
      </w:rPr>
    </w:lvl>
    <w:lvl w:ilvl="1" w:tplc="A7666D38">
      <w:start w:val="28"/>
      <w:numFmt w:val="bullet"/>
      <w:lvlText w:val="-"/>
      <w:lvlJc w:val="left"/>
      <w:pPr>
        <w:ind w:left="1440" w:hanging="360"/>
      </w:pPr>
      <w:rPr>
        <w:rFonts w:hint="default" w:ascii="Arial" w:hAnsi="Arial" w:cs="Arial" w:eastAsiaTheme="minorHAnsi"/>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D074C2"/>
    <w:multiLevelType w:val="hybridMultilevel"/>
    <w:tmpl w:val="1E7863E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9"/>
  </w:num>
  <w:num w:numId="2">
    <w:abstractNumId w:val="8"/>
  </w:num>
  <w:num w:numId="3">
    <w:abstractNumId w:val="3"/>
  </w:num>
  <w:num w:numId="4">
    <w:abstractNumId w:val="7"/>
  </w:num>
  <w:num w:numId="5">
    <w:abstractNumId w:val="11"/>
  </w:num>
  <w:num w:numId="6">
    <w:abstractNumId w:val="6"/>
  </w:num>
  <w:num w:numId="7">
    <w:abstractNumId w:val="10"/>
  </w:num>
  <w:num w:numId="8">
    <w:abstractNumId w:val="5"/>
  </w:num>
  <w:num w:numId="9">
    <w:abstractNumId w:val="1"/>
  </w:num>
  <w:num w:numId="10">
    <w:abstractNumId w:val="4"/>
  </w:num>
  <w:num w:numId="11">
    <w:abstractNumId w:val="12"/>
  </w:num>
  <w:num w:numId="12">
    <w:abstractNumId w:val="0"/>
  </w:num>
  <w:num w:numId="13">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activeWritingStyle w:lang="de-DE" w:vendorID="64" w:dllVersion="0" w:nlCheck="1" w:checkStyle="0" w:appName="MSWord"/>
  <w:trackRevisions w:val="false"/>
  <w:defaultTabStop w:val="720"/>
  <w:hyphenationZone w:val="425"/>
  <w:characterSpacingControl w:val="doNotCompress"/>
  <w:savePreviewPicture/>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lant Cell&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tsx2rzelztrs2ez5f9pwfswwsx0pxa92rdz&quot;&gt;Mildew cucumber EndNote Library&lt;record-ids&gt;&lt;item&gt;26&lt;/item&gt;&lt;item&gt;33&lt;/item&gt;&lt;item&gt;34&lt;/item&gt;&lt;item&gt;35&lt;/item&gt;&lt;item&gt;37&lt;/item&gt;&lt;item&gt;38&lt;/item&gt;&lt;item&gt;39&lt;/item&gt;&lt;item&gt;40&lt;/item&gt;&lt;item&gt;41&lt;/item&gt;&lt;item&gt;45&lt;/item&gt;&lt;item&gt;47&lt;/item&gt;&lt;item&gt;48&lt;/item&gt;&lt;item&gt;49&lt;/item&gt;&lt;item&gt;50&lt;/item&gt;&lt;item&gt;51&lt;/item&gt;&lt;item&gt;53&lt;/item&gt;&lt;/record-ids&gt;&lt;/item&gt;&lt;/Libraries&gt;"/>
  </w:docVars>
  <w:rsids>
    <w:rsidRoot w:val="00E403A5"/>
    <w:rsid w:val="000019CB"/>
    <w:rsid w:val="000039A6"/>
    <w:rsid w:val="0001132C"/>
    <w:rsid w:val="00013159"/>
    <w:rsid w:val="00021EF5"/>
    <w:rsid w:val="00023946"/>
    <w:rsid w:val="00026F0A"/>
    <w:rsid w:val="000435A7"/>
    <w:rsid w:val="0005362C"/>
    <w:rsid w:val="0005618B"/>
    <w:rsid w:val="00074865"/>
    <w:rsid w:val="000862B0"/>
    <w:rsid w:val="00092668"/>
    <w:rsid w:val="000935CB"/>
    <w:rsid w:val="000A44B0"/>
    <w:rsid w:val="000B7003"/>
    <w:rsid w:val="000C0D4E"/>
    <w:rsid w:val="000C475E"/>
    <w:rsid w:val="000D118D"/>
    <w:rsid w:val="000D4BC2"/>
    <w:rsid w:val="000E1ACA"/>
    <w:rsid w:val="000F414D"/>
    <w:rsid w:val="000F50B3"/>
    <w:rsid w:val="00101D18"/>
    <w:rsid w:val="00104540"/>
    <w:rsid w:val="0010614B"/>
    <w:rsid w:val="00106E55"/>
    <w:rsid w:val="00111F72"/>
    <w:rsid w:val="001200F8"/>
    <w:rsid w:val="00125B2E"/>
    <w:rsid w:val="00133DEA"/>
    <w:rsid w:val="001356C9"/>
    <w:rsid w:val="00143D7C"/>
    <w:rsid w:val="00145B6D"/>
    <w:rsid w:val="00146333"/>
    <w:rsid w:val="001466F4"/>
    <w:rsid w:val="00154F31"/>
    <w:rsid w:val="00161F46"/>
    <w:rsid w:val="00171D73"/>
    <w:rsid w:val="00172CA3"/>
    <w:rsid w:val="00190B37"/>
    <w:rsid w:val="00195081"/>
    <w:rsid w:val="001B4E28"/>
    <w:rsid w:val="001C2C78"/>
    <w:rsid w:val="001D5BD3"/>
    <w:rsid w:val="001E05AB"/>
    <w:rsid w:val="001E48F7"/>
    <w:rsid w:val="001E7008"/>
    <w:rsid w:val="00203DD7"/>
    <w:rsid w:val="00205A5D"/>
    <w:rsid w:val="00207672"/>
    <w:rsid w:val="00223F7B"/>
    <w:rsid w:val="00231743"/>
    <w:rsid w:val="0027573D"/>
    <w:rsid w:val="00276088"/>
    <w:rsid w:val="00276969"/>
    <w:rsid w:val="00283F72"/>
    <w:rsid w:val="002845AB"/>
    <w:rsid w:val="002A4058"/>
    <w:rsid w:val="002B5647"/>
    <w:rsid w:val="002C1548"/>
    <w:rsid w:val="002E0394"/>
    <w:rsid w:val="002F063E"/>
    <w:rsid w:val="002F0657"/>
    <w:rsid w:val="002F1815"/>
    <w:rsid w:val="002F49A2"/>
    <w:rsid w:val="003041A2"/>
    <w:rsid w:val="00311986"/>
    <w:rsid w:val="0032734B"/>
    <w:rsid w:val="00331AB5"/>
    <w:rsid w:val="00333AF1"/>
    <w:rsid w:val="00343358"/>
    <w:rsid w:val="00344C5D"/>
    <w:rsid w:val="00345A71"/>
    <w:rsid w:val="00345B13"/>
    <w:rsid w:val="00350C31"/>
    <w:rsid w:val="00350CDB"/>
    <w:rsid w:val="00353AEB"/>
    <w:rsid w:val="00354A8F"/>
    <w:rsid w:val="00355BE5"/>
    <w:rsid w:val="00360200"/>
    <w:rsid w:val="003830DE"/>
    <w:rsid w:val="003830FB"/>
    <w:rsid w:val="00385233"/>
    <w:rsid w:val="00386A38"/>
    <w:rsid w:val="0039048E"/>
    <w:rsid w:val="00395888"/>
    <w:rsid w:val="003B5860"/>
    <w:rsid w:val="003C618D"/>
    <w:rsid w:val="003D2D46"/>
    <w:rsid w:val="003E4ABE"/>
    <w:rsid w:val="00402B45"/>
    <w:rsid w:val="0040528F"/>
    <w:rsid w:val="00421191"/>
    <w:rsid w:val="0042378C"/>
    <w:rsid w:val="00436627"/>
    <w:rsid w:val="00436731"/>
    <w:rsid w:val="00437C6C"/>
    <w:rsid w:val="00440565"/>
    <w:rsid w:val="00445BCD"/>
    <w:rsid w:val="004529F4"/>
    <w:rsid w:val="00455AD4"/>
    <w:rsid w:val="00457B81"/>
    <w:rsid w:val="0046119E"/>
    <w:rsid w:val="0046777A"/>
    <w:rsid w:val="00467AD6"/>
    <w:rsid w:val="004815B3"/>
    <w:rsid w:val="0048171A"/>
    <w:rsid w:val="0048298A"/>
    <w:rsid w:val="00484787"/>
    <w:rsid w:val="00492BF5"/>
    <w:rsid w:val="0049767E"/>
    <w:rsid w:val="00497839"/>
    <w:rsid w:val="00497C44"/>
    <w:rsid w:val="004B06CE"/>
    <w:rsid w:val="004B1ED3"/>
    <w:rsid w:val="004B356D"/>
    <w:rsid w:val="004C021D"/>
    <w:rsid w:val="004D18C6"/>
    <w:rsid w:val="004D796C"/>
    <w:rsid w:val="004F1A13"/>
    <w:rsid w:val="004F6E67"/>
    <w:rsid w:val="00502F42"/>
    <w:rsid w:val="00515498"/>
    <w:rsid w:val="00517452"/>
    <w:rsid w:val="00525F6A"/>
    <w:rsid w:val="00535045"/>
    <w:rsid w:val="00541A07"/>
    <w:rsid w:val="005479A9"/>
    <w:rsid w:val="005520F8"/>
    <w:rsid w:val="0055285F"/>
    <w:rsid w:val="005640AC"/>
    <w:rsid w:val="00581DF5"/>
    <w:rsid w:val="00583F84"/>
    <w:rsid w:val="00590E09"/>
    <w:rsid w:val="005959C0"/>
    <w:rsid w:val="005A1B50"/>
    <w:rsid w:val="005A62F5"/>
    <w:rsid w:val="005A667B"/>
    <w:rsid w:val="005B2896"/>
    <w:rsid w:val="005B5800"/>
    <w:rsid w:val="005C2C90"/>
    <w:rsid w:val="005C4081"/>
    <w:rsid w:val="005C5728"/>
    <w:rsid w:val="005D4F30"/>
    <w:rsid w:val="005E2023"/>
    <w:rsid w:val="005E5A5A"/>
    <w:rsid w:val="005E6E26"/>
    <w:rsid w:val="005F4C8B"/>
    <w:rsid w:val="005F7E0C"/>
    <w:rsid w:val="00600277"/>
    <w:rsid w:val="006014D3"/>
    <w:rsid w:val="006035E0"/>
    <w:rsid w:val="00610A05"/>
    <w:rsid w:val="006128D0"/>
    <w:rsid w:val="006160CC"/>
    <w:rsid w:val="006200FA"/>
    <w:rsid w:val="006204BA"/>
    <w:rsid w:val="0063602F"/>
    <w:rsid w:val="0063752E"/>
    <w:rsid w:val="00660761"/>
    <w:rsid w:val="00661AEE"/>
    <w:rsid w:val="0066451C"/>
    <w:rsid w:val="00665A80"/>
    <w:rsid w:val="00673478"/>
    <w:rsid w:val="006754A8"/>
    <w:rsid w:val="006762BB"/>
    <w:rsid w:val="00676D10"/>
    <w:rsid w:val="006952BA"/>
    <w:rsid w:val="006A0497"/>
    <w:rsid w:val="006B55F8"/>
    <w:rsid w:val="006C51BC"/>
    <w:rsid w:val="006C584E"/>
    <w:rsid w:val="006E03FE"/>
    <w:rsid w:val="006E2A44"/>
    <w:rsid w:val="006F1131"/>
    <w:rsid w:val="00701870"/>
    <w:rsid w:val="0071136C"/>
    <w:rsid w:val="0071233E"/>
    <w:rsid w:val="00733B5A"/>
    <w:rsid w:val="00736FDE"/>
    <w:rsid w:val="00740822"/>
    <w:rsid w:val="007573E6"/>
    <w:rsid w:val="007615F7"/>
    <w:rsid w:val="00774208"/>
    <w:rsid w:val="00787CD9"/>
    <w:rsid w:val="007A474D"/>
    <w:rsid w:val="007A6F00"/>
    <w:rsid w:val="007A7AA1"/>
    <w:rsid w:val="007B274E"/>
    <w:rsid w:val="007B32A2"/>
    <w:rsid w:val="007C7C23"/>
    <w:rsid w:val="007E1176"/>
    <w:rsid w:val="007E137E"/>
    <w:rsid w:val="007E3DAC"/>
    <w:rsid w:val="007F1201"/>
    <w:rsid w:val="007F45C6"/>
    <w:rsid w:val="008107B7"/>
    <w:rsid w:val="00821823"/>
    <w:rsid w:val="00832832"/>
    <w:rsid w:val="00832E41"/>
    <w:rsid w:val="008534DB"/>
    <w:rsid w:val="008613E9"/>
    <w:rsid w:val="008630C4"/>
    <w:rsid w:val="00864512"/>
    <w:rsid w:val="00871323"/>
    <w:rsid w:val="00882A27"/>
    <w:rsid w:val="008B2626"/>
    <w:rsid w:val="008B281E"/>
    <w:rsid w:val="008B66E9"/>
    <w:rsid w:val="008C22FB"/>
    <w:rsid w:val="008D2F0B"/>
    <w:rsid w:val="008F23E5"/>
    <w:rsid w:val="008F44A2"/>
    <w:rsid w:val="00901648"/>
    <w:rsid w:val="00905081"/>
    <w:rsid w:val="00917C15"/>
    <w:rsid w:val="00917EA9"/>
    <w:rsid w:val="009208D5"/>
    <w:rsid w:val="00920E46"/>
    <w:rsid w:val="00923844"/>
    <w:rsid w:val="00937AFF"/>
    <w:rsid w:val="00953CA9"/>
    <w:rsid w:val="00954660"/>
    <w:rsid w:val="00962815"/>
    <w:rsid w:val="00997CB9"/>
    <w:rsid w:val="009C3B6F"/>
    <w:rsid w:val="009D4E66"/>
    <w:rsid w:val="00A14022"/>
    <w:rsid w:val="00A32701"/>
    <w:rsid w:val="00A348FA"/>
    <w:rsid w:val="00A36FE0"/>
    <w:rsid w:val="00A4636A"/>
    <w:rsid w:val="00A470EA"/>
    <w:rsid w:val="00A47871"/>
    <w:rsid w:val="00A53665"/>
    <w:rsid w:val="00A56E7A"/>
    <w:rsid w:val="00A66F5A"/>
    <w:rsid w:val="00A83E34"/>
    <w:rsid w:val="00A85053"/>
    <w:rsid w:val="00A9178F"/>
    <w:rsid w:val="00A91823"/>
    <w:rsid w:val="00A95F00"/>
    <w:rsid w:val="00A965B0"/>
    <w:rsid w:val="00AC769E"/>
    <w:rsid w:val="00AF35F2"/>
    <w:rsid w:val="00B038F5"/>
    <w:rsid w:val="00B03C4C"/>
    <w:rsid w:val="00B274D5"/>
    <w:rsid w:val="00B3203E"/>
    <w:rsid w:val="00B36753"/>
    <w:rsid w:val="00B53535"/>
    <w:rsid w:val="00B53592"/>
    <w:rsid w:val="00B54A2D"/>
    <w:rsid w:val="00B622D6"/>
    <w:rsid w:val="00B83398"/>
    <w:rsid w:val="00B87FF9"/>
    <w:rsid w:val="00B928B5"/>
    <w:rsid w:val="00BA2DCD"/>
    <w:rsid w:val="00BC2E32"/>
    <w:rsid w:val="00BC4F07"/>
    <w:rsid w:val="00BD0A28"/>
    <w:rsid w:val="00BE109C"/>
    <w:rsid w:val="00BE31EC"/>
    <w:rsid w:val="00BE63DC"/>
    <w:rsid w:val="00BF59C3"/>
    <w:rsid w:val="00C1548A"/>
    <w:rsid w:val="00C16111"/>
    <w:rsid w:val="00C209EC"/>
    <w:rsid w:val="00C3124D"/>
    <w:rsid w:val="00C33400"/>
    <w:rsid w:val="00C54883"/>
    <w:rsid w:val="00C627B7"/>
    <w:rsid w:val="00C6638B"/>
    <w:rsid w:val="00C71EC3"/>
    <w:rsid w:val="00C73666"/>
    <w:rsid w:val="00C738D5"/>
    <w:rsid w:val="00C75EF5"/>
    <w:rsid w:val="00CA309D"/>
    <w:rsid w:val="00CA5C05"/>
    <w:rsid w:val="00CC197D"/>
    <w:rsid w:val="00CC1DB3"/>
    <w:rsid w:val="00CD4DC6"/>
    <w:rsid w:val="00CE108F"/>
    <w:rsid w:val="00CE2E21"/>
    <w:rsid w:val="00CE66C0"/>
    <w:rsid w:val="00CF2CBB"/>
    <w:rsid w:val="00CF34DE"/>
    <w:rsid w:val="00D0175A"/>
    <w:rsid w:val="00D06011"/>
    <w:rsid w:val="00D146F7"/>
    <w:rsid w:val="00D1487B"/>
    <w:rsid w:val="00D23A18"/>
    <w:rsid w:val="00D25303"/>
    <w:rsid w:val="00D3049C"/>
    <w:rsid w:val="00D326C2"/>
    <w:rsid w:val="00D33DA0"/>
    <w:rsid w:val="00D370B4"/>
    <w:rsid w:val="00D47ED3"/>
    <w:rsid w:val="00D54E39"/>
    <w:rsid w:val="00D82F62"/>
    <w:rsid w:val="00D84592"/>
    <w:rsid w:val="00D86528"/>
    <w:rsid w:val="00D94E66"/>
    <w:rsid w:val="00D964D6"/>
    <w:rsid w:val="00DA465B"/>
    <w:rsid w:val="00DA5704"/>
    <w:rsid w:val="00DB1CF2"/>
    <w:rsid w:val="00DB7E8C"/>
    <w:rsid w:val="00DD6A62"/>
    <w:rsid w:val="00DE4E0F"/>
    <w:rsid w:val="00DE62B6"/>
    <w:rsid w:val="00DE640F"/>
    <w:rsid w:val="00DE6F93"/>
    <w:rsid w:val="00DF2C2A"/>
    <w:rsid w:val="00E06706"/>
    <w:rsid w:val="00E17DDE"/>
    <w:rsid w:val="00E26236"/>
    <w:rsid w:val="00E403A5"/>
    <w:rsid w:val="00E416E7"/>
    <w:rsid w:val="00E41871"/>
    <w:rsid w:val="00E4540A"/>
    <w:rsid w:val="00E7490B"/>
    <w:rsid w:val="00E874CF"/>
    <w:rsid w:val="00E96B92"/>
    <w:rsid w:val="00E97080"/>
    <w:rsid w:val="00E97539"/>
    <w:rsid w:val="00EA58E0"/>
    <w:rsid w:val="00EC5CA1"/>
    <w:rsid w:val="00EE72AF"/>
    <w:rsid w:val="00F010EE"/>
    <w:rsid w:val="00F0561C"/>
    <w:rsid w:val="00F1531D"/>
    <w:rsid w:val="00F22385"/>
    <w:rsid w:val="00F24628"/>
    <w:rsid w:val="00F36E95"/>
    <w:rsid w:val="00F448F2"/>
    <w:rsid w:val="00F45527"/>
    <w:rsid w:val="00F62671"/>
    <w:rsid w:val="00F63F3F"/>
    <w:rsid w:val="00F65C65"/>
    <w:rsid w:val="00F77278"/>
    <w:rsid w:val="00F77705"/>
    <w:rsid w:val="00F81D53"/>
    <w:rsid w:val="00F95515"/>
    <w:rsid w:val="00F9691E"/>
    <w:rsid w:val="00FA359F"/>
    <w:rsid w:val="00FB52FF"/>
    <w:rsid w:val="00FB54FB"/>
    <w:rsid w:val="00FB737F"/>
    <w:rsid w:val="00FC0336"/>
    <w:rsid w:val="00FD3C82"/>
    <w:rsid w:val="00FF48D0"/>
    <w:rsid w:val="2E3C166B"/>
    <w:rsid w:val="4780CF1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40664D1"/>
  <w15:chartTrackingRefBased/>
  <w15:docId w15:val="{1A5A2F0B-EBC6-4C30-8E44-9DBF032A88A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37AFF"/>
    <w:pPr>
      <w:spacing w:after="0" w:line="260" w:lineRule="atLeast"/>
      <w:jc w:val="both"/>
    </w:pPr>
    <w:rPr>
      <w:rFonts w:cs="Arial"/>
      <w:sz w:val="20"/>
    </w:rPr>
  </w:style>
  <w:style w:type="paragraph" w:styleId="Titre1">
    <w:name w:val="heading 1"/>
    <w:basedOn w:val="Normal"/>
    <w:link w:val="Titre1Car"/>
    <w:uiPriority w:val="9"/>
    <w:qFormat/>
    <w:rsid w:val="00E403A5"/>
    <w:pPr>
      <w:spacing w:before="100" w:beforeAutospacing="1" w:after="100" w:afterAutospacing="1" w:line="240" w:lineRule="auto"/>
      <w:outlineLvl w:val="0"/>
    </w:pPr>
    <w:rPr>
      <w:rFonts w:ascii="Times New Roman" w:hAnsi="Times New Roman" w:eastAsia="Times New Roman" w:cs="Times New Roman"/>
      <w:b/>
      <w:bCs/>
      <w:kern w:val="36"/>
      <w:sz w:val="48"/>
      <w:szCs w:val="48"/>
    </w:rPr>
  </w:style>
  <w:style w:type="paragraph" w:styleId="Titre2">
    <w:name w:val="heading 2"/>
    <w:basedOn w:val="Normal"/>
    <w:next w:val="Normal"/>
    <w:link w:val="Titre2Car"/>
    <w:uiPriority w:val="9"/>
    <w:semiHidden/>
    <w:unhideWhenUsed/>
    <w:qFormat/>
    <w:rsid w:val="00E403A5"/>
    <w:pPr>
      <w:keepNext/>
      <w:keepLines/>
      <w:spacing w:before="40"/>
      <w:outlineLvl w:val="1"/>
    </w:pPr>
    <w:rPr>
      <w:rFonts w:asciiTheme="majorHAnsi" w:hAnsiTheme="majorHAnsi" w:eastAsiaTheme="majorEastAsia"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0C0D4E"/>
    <w:pPr>
      <w:keepNext/>
      <w:keepLines/>
      <w:spacing w:before="40"/>
      <w:outlineLvl w:val="2"/>
    </w:pPr>
    <w:rPr>
      <w:rFonts w:asciiTheme="majorHAnsi" w:hAnsiTheme="majorHAnsi" w:eastAsiaTheme="majorEastAsia"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5E6E26"/>
    <w:pPr>
      <w:keepNext/>
      <w:keepLines/>
      <w:spacing w:before="40"/>
      <w:outlineLvl w:val="3"/>
    </w:pPr>
    <w:rPr>
      <w:rFonts w:asciiTheme="majorHAnsi" w:hAnsiTheme="majorHAnsi" w:eastAsiaTheme="majorEastAsia" w:cstheme="majorBidi"/>
      <w:i/>
      <w:iCs/>
      <w:color w:val="2E74B5" w:themeColor="accent1" w:themeShade="BF"/>
    </w:rPr>
  </w:style>
  <w:style w:type="character" w:styleId="Policepardfaut" w:default="1">
    <w:name w:val="Default Paragraph Font"/>
    <w:aliases w:val="Absatz-Standardschriftart"/>
    <w:uiPriority w:val="1"/>
    <w:semiHidden/>
    <w:unhideWhenUsed/>
  </w:style>
  <w:style w:type="table" w:styleId="TableauNormal" w:default="1">
    <w:name w:val="Normal Table"/>
    <w:aliases w:val="Normale Tabelle"/>
    <w:uiPriority w:val="99"/>
    <w:semiHidden/>
    <w:unhideWhenUsed/>
    <w:tblPr>
      <w:tblInd w:w="0" w:type="dxa"/>
      <w:tblCellMar>
        <w:top w:w="0" w:type="dxa"/>
        <w:left w:w="108" w:type="dxa"/>
        <w:bottom w:w="0" w:type="dxa"/>
        <w:right w:w="108" w:type="dxa"/>
      </w:tblCellMar>
    </w:tblPr>
  </w:style>
  <w:style w:type="numbering" w:styleId="Aucuneliste" w:default="1">
    <w:name w:val="No List"/>
    <w:aliases w:val="Keine Liste"/>
    <w:uiPriority w:val="99"/>
    <w:semiHidden/>
    <w:unhideWhenUsed/>
  </w:style>
  <w:style w:type="character" w:styleId="Titre1Car" w:customStyle="1">
    <w:name w:val="Titre 1 Car"/>
    <w:basedOn w:val="Policepardfaut"/>
    <w:link w:val="Titre1"/>
    <w:uiPriority w:val="9"/>
    <w:rsid w:val="00E403A5"/>
    <w:rPr>
      <w:rFonts w:ascii="Times New Roman" w:hAnsi="Times New Roman" w:eastAsia="Times New Roman" w:cs="Times New Roman"/>
      <w:b/>
      <w:bCs/>
      <w:kern w:val="36"/>
      <w:sz w:val="48"/>
      <w:szCs w:val="48"/>
    </w:rPr>
  </w:style>
  <w:style w:type="character" w:styleId="Titre2Car" w:customStyle="1">
    <w:name w:val="Titre 2 Car"/>
    <w:basedOn w:val="Policepardfaut"/>
    <w:link w:val="Titre2"/>
    <w:uiPriority w:val="9"/>
    <w:semiHidden/>
    <w:rsid w:val="00E403A5"/>
    <w:rPr>
      <w:rFonts w:asciiTheme="majorHAnsi" w:hAnsiTheme="majorHAnsi" w:eastAsiaTheme="majorEastAsia" w:cstheme="majorBidi"/>
      <w:color w:val="2E74B5" w:themeColor="accent1" w:themeShade="BF"/>
      <w:sz w:val="26"/>
      <w:szCs w:val="26"/>
    </w:rPr>
  </w:style>
  <w:style w:type="paragraph" w:styleId="Paragraphedeliste">
    <w:name w:val="List Paragraph"/>
    <w:basedOn w:val="Normal"/>
    <w:link w:val="ParagraphedelisteCar"/>
    <w:uiPriority w:val="34"/>
    <w:qFormat/>
    <w:rsid w:val="00E403A5"/>
    <w:pPr>
      <w:ind w:left="720"/>
      <w:contextualSpacing/>
    </w:pPr>
  </w:style>
  <w:style w:type="character" w:styleId="ParagraphedelisteCar" w:customStyle="1">
    <w:name w:val="Paragraphe de liste Car"/>
    <w:basedOn w:val="Policepardfaut"/>
    <w:link w:val="Paragraphedeliste"/>
    <w:uiPriority w:val="34"/>
    <w:rsid w:val="00AF35F2"/>
    <w:rPr>
      <w:rFonts w:ascii="Arial" w:hAnsi="Arial" w:cs="Arial"/>
    </w:rPr>
  </w:style>
  <w:style w:type="character" w:styleId="Lienhypertexte">
    <w:name w:val="Hyperlink"/>
    <w:basedOn w:val="Policepardfaut"/>
    <w:uiPriority w:val="99"/>
    <w:unhideWhenUsed/>
    <w:rsid w:val="00E403A5"/>
    <w:rPr>
      <w:color w:val="0000FF"/>
      <w:u w:val="single"/>
    </w:rPr>
  </w:style>
  <w:style w:type="paragraph" w:styleId="T1" w:customStyle="1">
    <w:name w:val="T1"/>
    <w:basedOn w:val="Normal"/>
    <w:link w:val="T1Car"/>
    <w:qFormat/>
    <w:rsid w:val="00AF35F2"/>
    <w:rPr>
      <w:rFonts w:cstheme="minorHAnsi"/>
      <w:b/>
      <w:sz w:val="24"/>
      <w:szCs w:val="20"/>
      <w:lang w:val="fr-CH"/>
    </w:rPr>
  </w:style>
  <w:style w:type="character" w:styleId="T1Car" w:customStyle="1">
    <w:name w:val="T1 Car"/>
    <w:basedOn w:val="Policepardfaut"/>
    <w:link w:val="T1"/>
    <w:rsid w:val="00AF35F2"/>
    <w:rPr>
      <w:rFonts w:cstheme="minorHAnsi"/>
      <w:b/>
      <w:sz w:val="24"/>
      <w:szCs w:val="20"/>
      <w:lang w:val="fr-CH"/>
    </w:rPr>
  </w:style>
  <w:style w:type="paragraph" w:styleId="T2" w:customStyle="1">
    <w:name w:val="T2"/>
    <w:basedOn w:val="T1"/>
    <w:link w:val="T2Car"/>
    <w:qFormat/>
    <w:rsid w:val="00AF35F2"/>
    <w:rPr>
      <w:sz w:val="20"/>
    </w:rPr>
  </w:style>
  <w:style w:type="character" w:styleId="T2Car" w:customStyle="1">
    <w:name w:val="T2 Car"/>
    <w:basedOn w:val="T1Car"/>
    <w:link w:val="T2"/>
    <w:rsid w:val="00AF35F2"/>
    <w:rPr>
      <w:rFonts w:cstheme="minorHAnsi"/>
      <w:b/>
      <w:sz w:val="20"/>
      <w:szCs w:val="20"/>
      <w:lang w:val="fr-CH"/>
    </w:rPr>
  </w:style>
  <w:style w:type="paragraph" w:styleId="T3" w:customStyle="1">
    <w:name w:val="T3"/>
    <w:basedOn w:val="Paragraphedeliste"/>
    <w:link w:val="T3Car"/>
    <w:qFormat/>
    <w:rsid w:val="00AF35F2"/>
    <w:pPr>
      <w:ind w:left="0"/>
    </w:pPr>
    <w:rPr>
      <w:rFonts w:cstheme="minorHAnsi"/>
      <w:szCs w:val="20"/>
      <w:u w:val="single"/>
      <w:lang w:val="fr-CH"/>
    </w:rPr>
  </w:style>
  <w:style w:type="character" w:styleId="T3Car" w:customStyle="1">
    <w:name w:val="T3 Car"/>
    <w:basedOn w:val="ParagraphedelisteCar"/>
    <w:link w:val="T3"/>
    <w:rsid w:val="00AF35F2"/>
    <w:rPr>
      <w:rFonts w:ascii="Arial" w:hAnsi="Arial" w:cstheme="minorHAnsi"/>
      <w:sz w:val="20"/>
      <w:szCs w:val="20"/>
      <w:u w:val="single"/>
      <w:lang w:val="fr-CH"/>
    </w:rPr>
  </w:style>
  <w:style w:type="paragraph" w:styleId="En-tte">
    <w:name w:val="header"/>
    <w:basedOn w:val="Normal"/>
    <w:link w:val="En-tteCar"/>
    <w:uiPriority w:val="99"/>
    <w:unhideWhenUsed/>
    <w:rsid w:val="000862B0"/>
    <w:pPr>
      <w:tabs>
        <w:tab w:val="center" w:pos="4703"/>
        <w:tab w:val="right" w:pos="9406"/>
      </w:tabs>
      <w:spacing w:line="240" w:lineRule="auto"/>
    </w:pPr>
  </w:style>
  <w:style w:type="character" w:styleId="En-tteCar" w:customStyle="1">
    <w:name w:val="En-tête Car"/>
    <w:basedOn w:val="Policepardfaut"/>
    <w:link w:val="En-tte"/>
    <w:uiPriority w:val="99"/>
    <w:rsid w:val="000862B0"/>
    <w:rPr>
      <w:rFonts w:cs="Arial"/>
      <w:sz w:val="20"/>
    </w:rPr>
  </w:style>
  <w:style w:type="paragraph" w:styleId="Pieddepage">
    <w:name w:val="footer"/>
    <w:basedOn w:val="Normal"/>
    <w:link w:val="PieddepageCar"/>
    <w:uiPriority w:val="99"/>
    <w:unhideWhenUsed/>
    <w:rsid w:val="000862B0"/>
    <w:pPr>
      <w:tabs>
        <w:tab w:val="center" w:pos="4703"/>
        <w:tab w:val="right" w:pos="9406"/>
      </w:tabs>
      <w:spacing w:line="240" w:lineRule="auto"/>
    </w:pPr>
  </w:style>
  <w:style w:type="character" w:styleId="PieddepageCar" w:customStyle="1">
    <w:name w:val="Pied de page Car"/>
    <w:basedOn w:val="Policepardfaut"/>
    <w:link w:val="Pieddepage"/>
    <w:uiPriority w:val="99"/>
    <w:rsid w:val="000862B0"/>
    <w:rPr>
      <w:rFonts w:cs="Arial"/>
      <w:sz w:val="20"/>
    </w:rPr>
  </w:style>
  <w:style w:type="paragraph" w:styleId="Lgende">
    <w:name w:val="caption"/>
    <w:basedOn w:val="Normal"/>
    <w:next w:val="Normal"/>
    <w:uiPriority w:val="35"/>
    <w:unhideWhenUsed/>
    <w:qFormat/>
    <w:rsid w:val="00146333"/>
    <w:pPr>
      <w:spacing w:after="200" w:line="240" w:lineRule="auto"/>
    </w:pPr>
    <w:rPr>
      <w:i/>
      <w:iCs/>
      <w:color w:val="44546A" w:themeColor="text2"/>
      <w:sz w:val="18"/>
      <w:szCs w:val="18"/>
    </w:rPr>
  </w:style>
  <w:style w:type="paragraph" w:styleId="Sansinterligne">
    <w:name w:val="No Spacing"/>
    <w:aliases w:val="tables"/>
    <w:uiPriority w:val="1"/>
    <w:qFormat/>
    <w:rsid w:val="00A14022"/>
    <w:pPr>
      <w:spacing w:after="0" w:line="240" w:lineRule="auto"/>
      <w:jc w:val="both"/>
    </w:pPr>
    <w:rPr>
      <w:rFonts w:cs="Arial"/>
      <w:sz w:val="18"/>
    </w:rPr>
  </w:style>
  <w:style w:type="paragraph" w:styleId="EndNoteBibliographyTitle" w:customStyle="1">
    <w:name w:val="EndNote Bibliography Title"/>
    <w:basedOn w:val="Normal"/>
    <w:link w:val="EndNoteBibliographyTitleCar"/>
    <w:rsid w:val="00A14022"/>
    <w:pPr>
      <w:jc w:val="center"/>
    </w:pPr>
    <w:rPr>
      <w:rFonts w:ascii="Calibri" w:hAnsi="Calibri" w:cs="Calibri"/>
      <w:noProof/>
    </w:rPr>
  </w:style>
  <w:style w:type="character" w:styleId="EndNoteBibliographyTitleCar" w:customStyle="1">
    <w:name w:val="EndNote Bibliography Title Car"/>
    <w:basedOn w:val="Policepardfaut"/>
    <w:link w:val="EndNoteBibliographyTitle"/>
    <w:rsid w:val="00A14022"/>
    <w:rPr>
      <w:rFonts w:ascii="Calibri" w:hAnsi="Calibri" w:cs="Calibri"/>
      <w:noProof/>
      <w:sz w:val="20"/>
    </w:rPr>
  </w:style>
  <w:style w:type="paragraph" w:styleId="EndNoteBibliography" w:customStyle="1">
    <w:name w:val="EndNote Bibliography"/>
    <w:basedOn w:val="Normal"/>
    <w:link w:val="EndNoteBibliographyCar"/>
    <w:rsid w:val="00A14022"/>
    <w:pPr>
      <w:spacing w:line="240" w:lineRule="atLeast"/>
    </w:pPr>
    <w:rPr>
      <w:rFonts w:ascii="Calibri" w:hAnsi="Calibri" w:cs="Calibri"/>
      <w:noProof/>
    </w:rPr>
  </w:style>
  <w:style w:type="character" w:styleId="EndNoteBibliographyCar" w:customStyle="1">
    <w:name w:val="EndNote Bibliography Car"/>
    <w:basedOn w:val="Policepardfaut"/>
    <w:link w:val="EndNoteBibliography"/>
    <w:rsid w:val="00A14022"/>
    <w:rPr>
      <w:rFonts w:ascii="Calibri" w:hAnsi="Calibri" w:cs="Calibri"/>
      <w:noProof/>
      <w:sz w:val="20"/>
    </w:rPr>
  </w:style>
  <w:style w:type="character" w:styleId="Textedelespacerserv">
    <w:name w:val="Placeholder Text"/>
    <w:basedOn w:val="Policepardfaut"/>
    <w:uiPriority w:val="99"/>
    <w:semiHidden/>
    <w:rsid w:val="00BF59C3"/>
    <w:rPr>
      <w:color w:val="808080"/>
    </w:rPr>
  </w:style>
  <w:style w:type="table" w:styleId="TableauGrille1Clair">
    <w:name w:val="Grid Table 1 Light"/>
    <w:basedOn w:val="TableauNormal"/>
    <w:uiPriority w:val="46"/>
    <w:rsid w:val="00B622D6"/>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character" w:styleId="Titre4Car" w:customStyle="1">
    <w:name w:val="Titre 4 Car"/>
    <w:basedOn w:val="Policepardfaut"/>
    <w:link w:val="Titre4"/>
    <w:uiPriority w:val="9"/>
    <w:semiHidden/>
    <w:rsid w:val="005E6E26"/>
    <w:rPr>
      <w:rFonts w:asciiTheme="majorHAnsi" w:hAnsiTheme="majorHAnsi" w:eastAsiaTheme="majorEastAsia" w:cstheme="majorBidi"/>
      <w:i/>
      <w:iCs/>
      <w:color w:val="2E74B5" w:themeColor="accent1" w:themeShade="BF"/>
      <w:sz w:val="20"/>
    </w:rPr>
  </w:style>
  <w:style w:type="paragraph" w:styleId="noskip" w:customStyle="1">
    <w:name w:val="noskip"/>
    <w:basedOn w:val="Normal"/>
    <w:rsid w:val="005E6E26"/>
    <w:pPr>
      <w:spacing w:before="100" w:beforeAutospacing="1" w:after="100" w:afterAutospacing="1" w:line="240" w:lineRule="auto"/>
      <w:jc w:val="left"/>
    </w:pPr>
    <w:rPr>
      <w:rFonts w:ascii="Times New Roman" w:hAnsi="Times New Roman" w:eastAsia="Times New Roman" w:cs="Times New Roman"/>
      <w:sz w:val="24"/>
      <w:szCs w:val="24"/>
    </w:rPr>
  </w:style>
  <w:style w:type="paragraph" w:styleId="Textedebulles">
    <w:name w:val="Balloon Text"/>
    <w:basedOn w:val="Normal"/>
    <w:link w:val="TextedebullesCar"/>
    <w:uiPriority w:val="99"/>
    <w:semiHidden/>
    <w:unhideWhenUsed/>
    <w:rsid w:val="003B5860"/>
    <w:pPr>
      <w:spacing w:line="240" w:lineRule="auto"/>
    </w:pPr>
    <w:rPr>
      <w:rFonts w:ascii="Segoe UI" w:hAnsi="Segoe UI" w:cs="Segoe UI"/>
      <w:sz w:val="18"/>
      <w:szCs w:val="18"/>
    </w:rPr>
  </w:style>
  <w:style w:type="character" w:styleId="TextedebullesCar" w:customStyle="1">
    <w:name w:val="Texte de bulles Car"/>
    <w:basedOn w:val="Policepardfaut"/>
    <w:link w:val="Textedebulles"/>
    <w:uiPriority w:val="99"/>
    <w:semiHidden/>
    <w:rsid w:val="003B5860"/>
    <w:rPr>
      <w:rFonts w:ascii="Segoe UI" w:hAnsi="Segoe UI" w:cs="Segoe UI"/>
      <w:sz w:val="18"/>
      <w:szCs w:val="18"/>
    </w:rPr>
  </w:style>
  <w:style w:type="character" w:styleId="nbproduct" w:customStyle="1">
    <w:name w:val="nbproduct"/>
    <w:basedOn w:val="Policepardfaut"/>
    <w:rsid w:val="00276088"/>
  </w:style>
  <w:style w:type="table" w:styleId="Grilledutableau">
    <w:name w:val="Table Grid"/>
    <w:basedOn w:val="TableauNormal"/>
    <w:uiPriority w:val="39"/>
    <w:rsid w:val="00492BF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lledetableauclaire">
    <w:name w:val="Grid Table Light"/>
    <w:basedOn w:val="TableauNormal"/>
    <w:uiPriority w:val="40"/>
    <w:rsid w:val="002F1815"/>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En-ttedetabledesmatires">
    <w:name w:val="TOC Heading"/>
    <w:basedOn w:val="Titre1"/>
    <w:next w:val="Normal"/>
    <w:uiPriority w:val="39"/>
    <w:unhideWhenUsed/>
    <w:qFormat/>
    <w:rsid w:val="000C0D4E"/>
    <w:pPr>
      <w:keepNext/>
      <w:keepLines/>
      <w:spacing w:before="240" w:beforeAutospacing="0" w:after="0" w:afterAutospacing="0" w:line="259" w:lineRule="auto"/>
      <w:jc w:val="left"/>
      <w:outlineLvl w:val="9"/>
    </w:pPr>
    <w:rPr>
      <w:rFonts w:asciiTheme="majorHAnsi" w:hAnsiTheme="majorHAnsi" w:eastAsiaTheme="majorEastAsia" w:cstheme="majorBidi"/>
      <w:b w:val="0"/>
      <w:bCs w:val="0"/>
      <w:color w:val="2E74B5" w:themeColor="accent1" w:themeShade="BF"/>
      <w:kern w:val="0"/>
      <w:sz w:val="32"/>
      <w:szCs w:val="32"/>
    </w:rPr>
  </w:style>
  <w:style w:type="character" w:styleId="Titre3Car" w:customStyle="1">
    <w:name w:val="Titre 3 Car"/>
    <w:basedOn w:val="Policepardfaut"/>
    <w:link w:val="Titre3"/>
    <w:uiPriority w:val="9"/>
    <w:semiHidden/>
    <w:rsid w:val="000C0D4E"/>
    <w:rPr>
      <w:rFonts w:asciiTheme="majorHAnsi" w:hAnsiTheme="majorHAnsi" w:eastAsiaTheme="majorEastAsia" w:cstheme="majorBidi"/>
      <w:color w:val="1F4D78" w:themeColor="accent1" w:themeShade="7F"/>
      <w:sz w:val="24"/>
      <w:szCs w:val="24"/>
    </w:rPr>
  </w:style>
  <w:style w:type="paragraph" w:styleId="TM1">
    <w:name w:val="toc 1"/>
    <w:basedOn w:val="Normal"/>
    <w:next w:val="Normal"/>
    <w:autoRedefine/>
    <w:uiPriority w:val="39"/>
    <w:unhideWhenUsed/>
    <w:rsid w:val="005959C0"/>
    <w:pPr>
      <w:tabs>
        <w:tab w:val="right" w:leader="dot" w:pos="9737"/>
      </w:tabs>
      <w:spacing w:before="120" w:after="120"/>
      <w:jc w:val="left"/>
    </w:pPr>
    <w:rPr>
      <w:rFonts w:cstheme="minorHAnsi"/>
      <w:bCs/>
      <w:caps/>
      <w:noProof/>
      <w:szCs w:val="20"/>
    </w:rPr>
  </w:style>
  <w:style w:type="paragraph" w:styleId="TM2">
    <w:name w:val="toc 2"/>
    <w:basedOn w:val="Normal"/>
    <w:next w:val="Normal"/>
    <w:autoRedefine/>
    <w:uiPriority w:val="39"/>
    <w:unhideWhenUsed/>
    <w:rsid w:val="000C0D4E"/>
    <w:pPr>
      <w:ind w:left="200"/>
      <w:jc w:val="left"/>
    </w:pPr>
    <w:rPr>
      <w:rFonts w:cstheme="minorHAnsi"/>
      <w:smallCaps/>
      <w:szCs w:val="20"/>
    </w:rPr>
  </w:style>
  <w:style w:type="paragraph" w:styleId="Notedebasdepage">
    <w:name w:val="footnote text"/>
    <w:basedOn w:val="Normal"/>
    <w:link w:val="NotedebasdepageCar"/>
    <w:uiPriority w:val="99"/>
    <w:semiHidden/>
    <w:unhideWhenUsed/>
    <w:rsid w:val="000C475E"/>
    <w:pPr>
      <w:spacing w:line="240" w:lineRule="auto"/>
    </w:pPr>
    <w:rPr>
      <w:szCs w:val="20"/>
    </w:rPr>
  </w:style>
  <w:style w:type="character" w:styleId="NotedebasdepageCar" w:customStyle="1">
    <w:name w:val="Note de bas de page Car"/>
    <w:basedOn w:val="Policepardfaut"/>
    <w:link w:val="Notedebasdepage"/>
    <w:uiPriority w:val="99"/>
    <w:semiHidden/>
    <w:rsid w:val="000C475E"/>
    <w:rPr>
      <w:rFonts w:cs="Arial"/>
      <w:sz w:val="20"/>
      <w:szCs w:val="20"/>
    </w:rPr>
  </w:style>
  <w:style w:type="character" w:styleId="Appelnotedebasdep">
    <w:name w:val="footnote reference"/>
    <w:basedOn w:val="Policepardfaut"/>
    <w:uiPriority w:val="99"/>
    <w:semiHidden/>
    <w:unhideWhenUsed/>
    <w:rsid w:val="000C475E"/>
    <w:rPr>
      <w:vertAlign w:val="superscript"/>
    </w:rPr>
  </w:style>
  <w:style w:type="paragraph" w:styleId="Tabledesillustrations">
    <w:name w:val="table of figures"/>
    <w:basedOn w:val="Normal"/>
    <w:next w:val="Normal"/>
    <w:uiPriority w:val="99"/>
    <w:unhideWhenUsed/>
    <w:rsid w:val="005959C0"/>
    <w:pPr>
      <w:ind w:left="400" w:hanging="400"/>
      <w:jc w:val="left"/>
    </w:pPr>
    <w:rPr>
      <w:rFonts w:cstheme="minorHAnsi"/>
      <w:smallCaps/>
      <w:szCs w:val="20"/>
    </w:rPr>
  </w:style>
  <w:style w:type="paragraph" w:styleId="TM3">
    <w:name w:val="toc 3"/>
    <w:basedOn w:val="Normal"/>
    <w:next w:val="Normal"/>
    <w:autoRedefine/>
    <w:uiPriority w:val="39"/>
    <w:unhideWhenUsed/>
    <w:rsid w:val="005959C0"/>
    <w:pPr>
      <w:ind w:left="400"/>
      <w:jc w:val="left"/>
    </w:pPr>
    <w:rPr>
      <w:rFonts w:cstheme="minorHAnsi"/>
      <w:i/>
      <w:iCs/>
      <w:szCs w:val="20"/>
    </w:rPr>
  </w:style>
  <w:style w:type="paragraph" w:styleId="TitreTR">
    <w:name w:val="toa heading"/>
    <w:basedOn w:val="Normal"/>
    <w:next w:val="Normal"/>
    <w:uiPriority w:val="99"/>
    <w:semiHidden/>
    <w:unhideWhenUsed/>
    <w:rsid w:val="005959C0"/>
    <w:pPr>
      <w:spacing w:before="120"/>
    </w:pPr>
    <w:rPr>
      <w:rFonts w:asciiTheme="majorHAnsi" w:hAnsiTheme="majorHAnsi" w:eastAsiaTheme="majorEastAsia" w:cstheme="majorBidi"/>
      <w:b/>
      <w:bCs/>
      <w:sz w:val="24"/>
      <w:szCs w:val="24"/>
    </w:rPr>
  </w:style>
  <w:style w:type="paragraph" w:styleId="TM4">
    <w:name w:val="toc 4"/>
    <w:basedOn w:val="Normal"/>
    <w:next w:val="Normal"/>
    <w:autoRedefine/>
    <w:uiPriority w:val="39"/>
    <w:unhideWhenUsed/>
    <w:rsid w:val="005959C0"/>
    <w:pPr>
      <w:ind w:left="600"/>
      <w:jc w:val="left"/>
    </w:pPr>
    <w:rPr>
      <w:rFonts w:cstheme="minorHAnsi"/>
      <w:sz w:val="18"/>
      <w:szCs w:val="18"/>
    </w:rPr>
  </w:style>
  <w:style w:type="paragraph" w:styleId="TM5">
    <w:name w:val="toc 5"/>
    <w:basedOn w:val="Normal"/>
    <w:next w:val="Normal"/>
    <w:autoRedefine/>
    <w:uiPriority w:val="39"/>
    <w:unhideWhenUsed/>
    <w:rsid w:val="005959C0"/>
    <w:pPr>
      <w:ind w:left="800"/>
      <w:jc w:val="left"/>
    </w:pPr>
    <w:rPr>
      <w:rFonts w:cstheme="minorHAnsi"/>
      <w:sz w:val="18"/>
      <w:szCs w:val="18"/>
    </w:rPr>
  </w:style>
  <w:style w:type="paragraph" w:styleId="TM6">
    <w:name w:val="toc 6"/>
    <w:basedOn w:val="Normal"/>
    <w:next w:val="Normal"/>
    <w:autoRedefine/>
    <w:uiPriority w:val="39"/>
    <w:unhideWhenUsed/>
    <w:rsid w:val="005959C0"/>
    <w:pPr>
      <w:ind w:left="1000"/>
      <w:jc w:val="left"/>
    </w:pPr>
    <w:rPr>
      <w:rFonts w:cstheme="minorHAnsi"/>
      <w:sz w:val="18"/>
      <w:szCs w:val="18"/>
    </w:rPr>
  </w:style>
  <w:style w:type="paragraph" w:styleId="TM7">
    <w:name w:val="toc 7"/>
    <w:basedOn w:val="Normal"/>
    <w:next w:val="Normal"/>
    <w:autoRedefine/>
    <w:uiPriority w:val="39"/>
    <w:unhideWhenUsed/>
    <w:rsid w:val="005959C0"/>
    <w:pPr>
      <w:ind w:left="1200"/>
      <w:jc w:val="left"/>
    </w:pPr>
    <w:rPr>
      <w:rFonts w:cstheme="minorHAnsi"/>
      <w:sz w:val="18"/>
      <w:szCs w:val="18"/>
    </w:rPr>
  </w:style>
  <w:style w:type="paragraph" w:styleId="TM8">
    <w:name w:val="toc 8"/>
    <w:basedOn w:val="Normal"/>
    <w:next w:val="Normal"/>
    <w:autoRedefine/>
    <w:uiPriority w:val="39"/>
    <w:unhideWhenUsed/>
    <w:rsid w:val="005959C0"/>
    <w:pPr>
      <w:ind w:left="1400"/>
      <w:jc w:val="left"/>
    </w:pPr>
    <w:rPr>
      <w:rFonts w:cstheme="minorHAnsi"/>
      <w:sz w:val="18"/>
      <w:szCs w:val="18"/>
    </w:rPr>
  </w:style>
  <w:style w:type="paragraph" w:styleId="TM9">
    <w:name w:val="toc 9"/>
    <w:basedOn w:val="Normal"/>
    <w:next w:val="Normal"/>
    <w:autoRedefine/>
    <w:uiPriority w:val="39"/>
    <w:unhideWhenUsed/>
    <w:rsid w:val="005959C0"/>
    <w:pPr>
      <w:ind w:left="1600"/>
      <w:jc w:val="left"/>
    </w:pPr>
    <w:rPr>
      <w:rFonts w:cstheme="minorHAnsi"/>
      <w:sz w:val="18"/>
      <w:szCs w:val="18"/>
    </w:rPr>
  </w:style>
  <w:style w:type="character" w:styleId="Mentionnonrsolue">
    <w:name w:val="Unresolved Mention"/>
    <w:basedOn w:val="Policepardfaut"/>
    <w:uiPriority w:val="99"/>
    <w:semiHidden/>
    <w:unhideWhenUsed/>
    <w:rsid w:val="00E17DDE"/>
    <w:rPr>
      <w:color w:val="605E5C"/>
      <w:shd w:val="clear" w:color="auto" w:fill="E1DFDD"/>
    </w:rPr>
  </w:style>
  <w:style w:type="character" w:styleId="nomauteur" w:customStyle="1">
    <w:name w:val="nom_auteur"/>
    <w:basedOn w:val="Policepardfaut"/>
    <w:rsid w:val="007573E6"/>
  </w:style>
  <w:style w:type="character" w:styleId="CitationHTML">
    <w:name w:val="HTML Cite"/>
    <w:basedOn w:val="Policepardfaut"/>
    <w:uiPriority w:val="99"/>
    <w:semiHidden/>
    <w:unhideWhenUsed/>
    <w:rsid w:val="007573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50740">
      <w:bodyDiv w:val="1"/>
      <w:marLeft w:val="0"/>
      <w:marRight w:val="0"/>
      <w:marTop w:val="0"/>
      <w:marBottom w:val="0"/>
      <w:divBdr>
        <w:top w:val="none" w:sz="0" w:space="0" w:color="auto"/>
        <w:left w:val="none" w:sz="0" w:space="0" w:color="auto"/>
        <w:bottom w:val="none" w:sz="0" w:space="0" w:color="auto"/>
        <w:right w:val="none" w:sz="0" w:space="0" w:color="auto"/>
      </w:divBdr>
    </w:div>
    <w:div w:id="67534558">
      <w:bodyDiv w:val="1"/>
      <w:marLeft w:val="0"/>
      <w:marRight w:val="0"/>
      <w:marTop w:val="0"/>
      <w:marBottom w:val="0"/>
      <w:divBdr>
        <w:top w:val="none" w:sz="0" w:space="0" w:color="auto"/>
        <w:left w:val="none" w:sz="0" w:space="0" w:color="auto"/>
        <w:bottom w:val="none" w:sz="0" w:space="0" w:color="auto"/>
        <w:right w:val="none" w:sz="0" w:space="0" w:color="auto"/>
      </w:divBdr>
    </w:div>
    <w:div w:id="196429263">
      <w:bodyDiv w:val="1"/>
      <w:marLeft w:val="0"/>
      <w:marRight w:val="0"/>
      <w:marTop w:val="0"/>
      <w:marBottom w:val="0"/>
      <w:divBdr>
        <w:top w:val="none" w:sz="0" w:space="0" w:color="auto"/>
        <w:left w:val="none" w:sz="0" w:space="0" w:color="auto"/>
        <w:bottom w:val="none" w:sz="0" w:space="0" w:color="auto"/>
        <w:right w:val="none" w:sz="0" w:space="0" w:color="auto"/>
      </w:divBdr>
    </w:div>
    <w:div w:id="196897302">
      <w:bodyDiv w:val="1"/>
      <w:marLeft w:val="0"/>
      <w:marRight w:val="0"/>
      <w:marTop w:val="0"/>
      <w:marBottom w:val="0"/>
      <w:divBdr>
        <w:top w:val="none" w:sz="0" w:space="0" w:color="auto"/>
        <w:left w:val="none" w:sz="0" w:space="0" w:color="auto"/>
        <w:bottom w:val="none" w:sz="0" w:space="0" w:color="auto"/>
        <w:right w:val="none" w:sz="0" w:space="0" w:color="auto"/>
      </w:divBdr>
    </w:div>
    <w:div w:id="205990725">
      <w:bodyDiv w:val="1"/>
      <w:marLeft w:val="0"/>
      <w:marRight w:val="0"/>
      <w:marTop w:val="0"/>
      <w:marBottom w:val="0"/>
      <w:divBdr>
        <w:top w:val="none" w:sz="0" w:space="0" w:color="auto"/>
        <w:left w:val="none" w:sz="0" w:space="0" w:color="auto"/>
        <w:bottom w:val="none" w:sz="0" w:space="0" w:color="auto"/>
        <w:right w:val="none" w:sz="0" w:space="0" w:color="auto"/>
      </w:divBdr>
      <w:divsChild>
        <w:div w:id="180700765">
          <w:marLeft w:val="0"/>
          <w:marRight w:val="0"/>
          <w:marTop w:val="0"/>
          <w:marBottom w:val="0"/>
          <w:divBdr>
            <w:top w:val="none" w:sz="0" w:space="0" w:color="auto"/>
            <w:left w:val="none" w:sz="0" w:space="0" w:color="auto"/>
            <w:bottom w:val="none" w:sz="0" w:space="0" w:color="auto"/>
            <w:right w:val="none" w:sz="0" w:space="0" w:color="auto"/>
          </w:divBdr>
        </w:div>
        <w:div w:id="1889759793">
          <w:marLeft w:val="0"/>
          <w:marRight w:val="0"/>
          <w:marTop w:val="0"/>
          <w:marBottom w:val="0"/>
          <w:divBdr>
            <w:top w:val="none" w:sz="0" w:space="0" w:color="auto"/>
            <w:left w:val="none" w:sz="0" w:space="0" w:color="auto"/>
            <w:bottom w:val="none" w:sz="0" w:space="0" w:color="auto"/>
            <w:right w:val="none" w:sz="0" w:space="0" w:color="auto"/>
          </w:divBdr>
        </w:div>
        <w:div w:id="2008745106">
          <w:marLeft w:val="0"/>
          <w:marRight w:val="0"/>
          <w:marTop w:val="0"/>
          <w:marBottom w:val="0"/>
          <w:divBdr>
            <w:top w:val="none" w:sz="0" w:space="0" w:color="auto"/>
            <w:left w:val="none" w:sz="0" w:space="0" w:color="auto"/>
            <w:bottom w:val="none" w:sz="0" w:space="0" w:color="auto"/>
            <w:right w:val="none" w:sz="0" w:space="0" w:color="auto"/>
          </w:divBdr>
        </w:div>
        <w:div w:id="2116828982">
          <w:marLeft w:val="0"/>
          <w:marRight w:val="0"/>
          <w:marTop w:val="0"/>
          <w:marBottom w:val="0"/>
          <w:divBdr>
            <w:top w:val="none" w:sz="0" w:space="0" w:color="auto"/>
            <w:left w:val="none" w:sz="0" w:space="0" w:color="auto"/>
            <w:bottom w:val="none" w:sz="0" w:space="0" w:color="auto"/>
            <w:right w:val="none" w:sz="0" w:space="0" w:color="auto"/>
          </w:divBdr>
        </w:div>
      </w:divsChild>
    </w:div>
    <w:div w:id="327371628">
      <w:bodyDiv w:val="1"/>
      <w:marLeft w:val="0"/>
      <w:marRight w:val="0"/>
      <w:marTop w:val="0"/>
      <w:marBottom w:val="0"/>
      <w:divBdr>
        <w:top w:val="none" w:sz="0" w:space="0" w:color="auto"/>
        <w:left w:val="none" w:sz="0" w:space="0" w:color="auto"/>
        <w:bottom w:val="none" w:sz="0" w:space="0" w:color="auto"/>
        <w:right w:val="none" w:sz="0" w:space="0" w:color="auto"/>
      </w:divBdr>
    </w:div>
    <w:div w:id="514072290">
      <w:bodyDiv w:val="1"/>
      <w:marLeft w:val="0"/>
      <w:marRight w:val="0"/>
      <w:marTop w:val="0"/>
      <w:marBottom w:val="0"/>
      <w:divBdr>
        <w:top w:val="none" w:sz="0" w:space="0" w:color="auto"/>
        <w:left w:val="none" w:sz="0" w:space="0" w:color="auto"/>
        <w:bottom w:val="none" w:sz="0" w:space="0" w:color="auto"/>
        <w:right w:val="none" w:sz="0" w:space="0" w:color="auto"/>
      </w:divBdr>
    </w:div>
    <w:div w:id="566233498">
      <w:bodyDiv w:val="1"/>
      <w:marLeft w:val="0"/>
      <w:marRight w:val="0"/>
      <w:marTop w:val="0"/>
      <w:marBottom w:val="0"/>
      <w:divBdr>
        <w:top w:val="none" w:sz="0" w:space="0" w:color="auto"/>
        <w:left w:val="none" w:sz="0" w:space="0" w:color="auto"/>
        <w:bottom w:val="none" w:sz="0" w:space="0" w:color="auto"/>
        <w:right w:val="none" w:sz="0" w:space="0" w:color="auto"/>
      </w:divBdr>
      <w:divsChild>
        <w:div w:id="199974147">
          <w:marLeft w:val="0"/>
          <w:marRight w:val="0"/>
          <w:marTop w:val="0"/>
          <w:marBottom w:val="0"/>
          <w:divBdr>
            <w:top w:val="none" w:sz="0" w:space="0" w:color="auto"/>
            <w:left w:val="none" w:sz="0" w:space="0" w:color="auto"/>
            <w:bottom w:val="none" w:sz="0" w:space="0" w:color="auto"/>
            <w:right w:val="none" w:sz="0" w:space="0" w:color="auto"/>
          </w:divBdr>
        </w:div>
        <w:div w:id="1118837787">
          <w:marLeft w:val="0"/>
          <w:marRight w:val="0"/>
          <w:marTop w:val="0"/>
          <w:marBottom w:val="0"/>
          <w:divBdr>
            <w:top w:val="none" w:sz="0" w:space="0" w:color="auto"/>
            <w:left w:val="none" w:sz="0" w:space="0" w:color="auto"/>
            <w:bottom w:val="none" w:sz="0" w:space="0" w:color="auto"/>
            <w:right w:val="none" w:sz="0" w:space="0" w:color="auto"/>
          </w:divBdr>
        </w:div>
        <w:div w:id="1427537299">
          <w:marLeft w:val="0"/>
          <w:marRight w:val="0"/>
          <w:marTop w:val="0"/>
          <w:marBottom w:val="0"/>
          <w:divBdr>
            <w:top w:val="none" w:sz="0" w:space="0" w:color="auto"/>
            <w:left w:val="none" w:sz="0" w:space="0" w:color="auto"/>
            <w:bottom w:val="none" w:sz="0" w:space="0" w:color="auto"/>
            <w:right w:val="none" w:sz="0" w:space="0" w:color="auto"/>
          </w:divBdr>
        </w:div>
        <w:div w:id="1508903942">
          <w:marLeft w:val="0"/>
          <w:marRight w:val="0"/>
          <w:marTop w:val="0"/>
          <w:marBottom w:val="0"/>
          <w:divBdr>
            <w:top w:val="none" w:sz="0" w:space="0" w:color="auto"/>
            <w:left w:val="none" w:sz="0" w:space="0" w:color="auto"/>
            <w:bottom w:val="none" w:sz="0" w:space="0" w:color="auto"/>
            <w:right w:val="none" w:sz="0" w:space="0" w:color="auto"/>
          </w:divBdr>
        </w:div>
      </w:divsChild>
    </w:div>
    <w:div w:id="912423566">
      <w:bodyDiv w:val="1"/>
      <w:marLeft w:val="0"/>
      <w:marRight w:val="0"/>
      <w:marTop w:val="0"/>
      <w:marBottom w:val="0"/>
      <w:divBdr>
        <w:top w:val="none" w:sz="0" w:space="0" w:color="auto"/>
        <w:left w:val="none" w:sz="0" w:space="0" w:color="auto"/>
        <w:bottom w:val="none" w:sz="0" w:space="0" w:color="auto"/>
        <w:right w:val="none" w:sz="0" w:space="0" w:color="auto"/>
      </w:divBdr>
    </w:div>
    <w:div w:id="956567431">
      <w:bodyDiv w:val="1"/>
      <w:marLeft w:val="0"/>
      <w:marRight w:val="0"/>
      <w:marTop w:val="0"/>
      <w:marBottom w:val="0"/>
      <w:divBdr>
        <w:top w:val="none" w:sz="0" w:space="0" w:color="auto"/>
        <w:left w:val="none" w:sz="0" w:space="0" w:color="auto"/>
        <w:bottom w:val="none" w:sz="0" w:space="0" w:color="auto"/>
        <w:right w:val="none" w:sz="0" w:space="0" w:color="auto"/>
      </w:divBdr>
    </w:div>
    <w:div w:id="1012411717">
      <w:bodyDiv w:val="1"/>
      <w:marLeft w:val="0"/>
      <w:marRight w:val="0"/>
      <w:marTop w:val="0"/>
      <w:marBottom w:val="0"/>
      <w:divBdr>
        <w:top w:val="none" w:sz="0" w:space="0" w:color="auto"/>
        <w:left w:val="none" w:sz="0" w:space="0" w:color="auto"/>
        <w:bottom w:val="none" w:sz="0" w:space="0" w:color="auto"/>
        <w:right w:val="none" w:sz="0" w:space="0" w:color="auto"/>
      </w:divBdr>
    </w:div>
    <w:div w:id="1015038887">
      <w:bodyDiv w:val="1"/>
      <w:marLeft w:val="0"/>
      <w:marRight w:val="0"/>
      <w:marTop w:val="0"/>
      <w:marBottom w:val="0"/>
      <w:divBdr>
        <w:top w:val="none" w:sz="0" w:space="0" w:color="auto"/>
        <w:left w:val="none" w:sz="0" w:space="0" w:color="auto"/>
        <w:bottom w:val="none" w:sz="0" w:space="0" w:color="auto"/>
        <w:right w:val="none" w:sz="0" w:space="0" w:color="auto"/>
      </w:divBdr>
    </w:div>
    <w:div w:id="1035347431">
      <w:bodyDiv w:val="1"/>
      <w:marLeft w:val="0"/>
      <w:marRight w:val="0"/>
      <w:marTop w:val="0"/>
      <w:marBottom w:val="0"/>
      <w:divBdr>
        <w:top w:val="none" w:sz="0" w:space="0" w:color="auto"/>
        <w:left w:val="none" w:sz="0" w:space="0" w:color="auto"/>
        <w:bottom w:val="none" w:sz="0" w:space="0" w:color="auto"/>
        <w:right w:val="none" w:sz="0" w:space="0" w:color="auto"/>
      </w:divBdr>
    </w:div>
    <w:div w:id="1062483491">
      <w:bodyDiv w:val="1"/>
      <w:marLeft w:val="0"/>
      <w:marRight w:val="0"/>
      <w:marTop w:val="0"/>
      <w:marBottom w:val="0"/>
      <w:divBdr>
        <w:top w:val="none" w:sz="0" w:space="0" w:color="auto"/>
        <w:left w:val="none" w:sz="0" w:space="0" w:color="auto"/>
        <w:bottom w:val="none" w:sz="0" w:space="0" w:color="auto"/>
        <w:right w:val="none" w:sz="0" w:space="0" w:color="auto"/>
      </w:divBdr>
    </w:div>
    <w:div w:id="1157108476">
      <w:bodyDiv w:val="1"/>
      <w:marLeft w:val="0"/>
      <w:marRight w:val="0"/>
      <w:marTop w:val="0"/>
      <w:marBottom w:val="0"/>
      <w:divBdr>
        <w:top w:val="none" w:sz="0" w:space="0" w:color="auto"/>
        <w:left w:val="none" w:sz="0" w:space="0" w:color="auto"/>
        <w:bottom w:val="none" w:sz="0" w:space="0" w:color="auto"/>
        <w:right w:val="none" w:sz="0" w:space="0" w:color="auto"/>
      </w:divBdr>
    </w:div>
    <w:div w:id="1166825126">
      <w:bodyDiv w:val="1"/>
      <w:marLeft w:val="0"/>
      <w:marRight w:val="0"/>
      <w:marTop w:val="0"/>
      <w:marBottom w:val="0"/>
      <w:divBdr>
        <w:top w:val="none" w:sz="0" w:space="0" w:color="auto"/>
        <w:left w:val="none" w:sz="0" w:space="0" w:color="auto"/>
        <w:bottom w:val="none" w:sz="0" w:space="0" w:color="auto"/>
        <w:right w:val="none" w:sz="0" w:space="0" w:color="auto"/>
      </w:divBdr>
    </w:div>
    <w:div w:id="1382171060">
      <w:bodyDiv w:val="1"/>
      <w:marLeft w:val="0"/>
      <w:marRight w:val="0"/>
      <w:marTop w:val="0"/>
      <w:marBottom w:val="0"/>
      <w:divBdr>
        <w:top w:val="none" w:sz="0" w:space="0" w:color="auto"/>
        <w:left w:val="none" w:sz="0" w:space="0" w:color="auto"/>
        <w:bottom w:val="none" w:sz="0" w:space="0" w:color="auto"/>
        <w:right w:val="none" w:sz="0" w:space="0" w:color="auto"/>
      </w:divBdr>
      <w:divsChild>
        <w:div w:id="27872788">
          <w:marLeft w:val="0"/>
          <w:marRight w:val="0"/>
          <w:marTop w:val="0"/>
          <w:marBottom w:val="0"/>
          <w:divBdr>
            <w:top w:val="none" w:sz="0" w:space="0" w:color="auto"/>
            <w:left w:val="none" w:sz="0" w:space="0" w:color="auto"/>
            <w:bottom w:val="none" w:sz="0" w:space="0" w:color="auto"/>
            <w:right w:val="none" w:sz="0" w:space="0" w:color="auto"/>
          </w:divBdr>
        </w:div>
        <w:div w:id="242423619">
          <w:marLeft w:val="0"/>
          <w:marRight w:val="0"/>
          <w:marTop w:val="0"/>
          <w:marBottom w:val="0"/>
          <w:divBdr>
            <w:top w:val="none" w:sz="0" w:space="0" w:color="auto"/>
            <w:left w:val="none" w:sz="0" w:space="0" w:color="auto"/>
            <w:bottom w:val="none" w:sz="0" w:space="0" w:color="auto"/>
            <w:right w:val="none" w:sz="0" w:space="0" w:color="auto"/>
          </w:divBdr>
        </w:div>
        <w:div w:id="1106658000">
          <w:marLeft w:val="0"/>
          <w:marRight w:val="0"/>
          <w:marTop w:val="0"/>
          <w:marBottom w:val="0"/>
          <w:divBdr>
            <w:top w:val="none" w:sz="0" w:space="0" w:color="auto"/>
            <w:left w:val="none" w:sz="0" w:space="0" w:color="auto"/>
            <w:bottom w:val="none" w:sz="0" w:space="0" w:color="auto"/>
            <w:right w:val="none" w:sz="0" w:space="0" w:color="auto"/>
          </w:divBdr>
        </w:div>
        <w:div w:id="1994260665">
          <w:marLeft w:val="0"/>
          <w:marRight w:val="0"/>
          <w:marTop w:val="0"/>
          <w:marBottom w:val="0"/>
          <w:divBdr>
            <w:top w:val="none" w:sz="0" w:space="0" w:color="auto"/>
            <w:left w:val="none" w:sz="0" w:space="0" w:color="auto"/>
            <w:bottom w:val="none" w:sz="0" w:space="0" w:color="auto"/>
            <w:right w:val="none" w:sz="0" w:space="0" w:color="auto"/>
          </w:divBdr>
        </w:div>
      </w:divsChild>
    </w:div>
    <w:div w:id="1473716393">
      <w:bodyDiv w:val="1"/>
      <w:marLeft w:val="0"/>
      <w:marRight w:val="0"/>
      <w:marTop w:val="0"/>
      <w:marBottom w:val="0"/>
      <w:divBdr>
        <w:top w:val="none" w:sz="0" w:space="0" w:color="auto"/>
        <w:left w:val="none" w:sz="0" w:space="0" w:color="auto"/>
        <w:bottom w:val="none" w:sz="0" w:space="0" w:color="auto"/>
        <w:right w:val="none" w:sz="0" w:space="0" w:color="auto"/>
      </w:divBdr>
    </w:div>
    <w:div w:id="2076857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hyperlink" Target="mailto:thomas.rime@fr.ch" TargetMode="External" Id="rId8" /><Relationship Type="http://schemas.openxmlformats.org/officeDocument/2006/relationships/image" Target="media/image3.png"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2.png" Id="rId12" /><Relationship Type="http://schemas.openxmlformats.org/officeDocument/2006/relationships/theme" Target="theme/theme1.xml" Id="rId17" /><Relationship Type="http://schemas.openxmlformats.org/officeDocument/2006/relationships/numbering" Target="numbering.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www.psm.admin.ch/fr/kulturen/14729" TargetMode="External" Id="rId11" /><Relationship Type="http://schemas.openxmlformats.org/officeDocument/2006/relationships/webSettings" Target="webSettings.xml" Id="rId5" /><Relationship Type="http://schemas.openxmlformats.org/officeDocument/2006/relationships/image" Target="media/image5.emf" Id="rId15" /><Relationship Type="http://schemas.openxmlformats.org/officeDocument/2006/relationships/image" Target="media/image1.png" Id="rId10" /><Relationship Type="http://schemas.openxmlformats.org/officeDocument/2006/relationships/settings" Target="settings.xml" Id="rId4" /><Relationship Type="http://schemas.openxmlformats.org/officeDocument/2006/relationships/hyperlink" Target="file:///O:\Data-Work\22_Plant_Production-CH\226.63_Essais_FT\2021_NPR%20Fribourg_Smart_Farming\Etat%20de%20l'art\mildiou%20concombre\Etat%20de%20l'art%20mildiou%20concombre_2021_06_24.docx" TargetMode="External" Id="rId9" /><Relationship Type="http://schemas.openxmlformats.org/officeDocument/2006/relationships/image" Target="media/image4.emf" Id="rId14" /><Relationship Type="http://schemas.openxmlformats.org/officeDocument/2006/relationships/glossaryDocument" Target="/word/glossary/document.xml" Id="R200f70804ae74558" /></Relationships>
</file>

<file path=word/_rels/footnotes.xml.rels><?xml version="1.0" encoding="UTF-8" standalone="yes"?>
<Relationships xmlns="http://schemas.openxmlformats.org/package/2006/relationships"><Relationship Id="rId1" Type="http://schemas.openxmlformats.org/officeDocument/2006/relationships/hyperlink" Target="https://www.bioactualites.ch/cultures/grandes-cultures-bio/autres-cultures/generalites/chanvre-culture-et-dutilisation.html"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66757b4-189f-466c-bf28-c461bf778a55}"/>
      </w:docPartPr>
      <w:docPartBody>
        <w:p w14:paraId="19937C5E">
          <w:r>
            <w:rPr>
              <w:rStyle w:val="PlaceholderText"/>
            </w:rPr>
            <w:t/>
          </w:r>
        </w:p>
      </w:docPartBody>
    </w:docPart>
  </w:docParts>
</w:glossaryDocument>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F7985-41BB-4C47-BB8C-193824157D8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Bundesverwaltung</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Camps Cédric Agroscope</dc:creator>
  <keywords/>
  <dc:description/>
  <lastModifiedBy>dylan.mamie@master.hes-so.ch</lastModifiedBy>
  <revision>249</revision>
  <lastPrinted>2021-06-24T09:29:00.0000000Z</lastPrinted>
  <dcterms:created xsi:type="dcterms:W3CDTF">2021-09-24T09:18:00.0000000Z</dcterms:created>
  <dcterms:modified xsi:type="dcterms:W3CDTF">2021-09-24T09:19:03.9325626Z</dcterms:modified>
</coreProperties>
</file>