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Default="00F03FA1">
      <w:r>
        <w:t>A novel approach to detecting changes in dynamic rules governing population fluctuations</w:t>
      </w:r>
    </w:p>
    <w:p w:rsidR="00F03FA1" w:rsidRDefault="00F03FA1"/>
    <w:p w:rsidR="00F03FA1" w:rsidRDefault="00F03FA1">
      <w:r>
        <w:t>C.A. Bahlai</w:t>
      </w:r>
      <w:r w:rsidR="00925826" w:rsidRPr="001F1F22">
        <w:rPr>
          <w:vertAlign w:val="superscript"/>
        </w:rPr>
        <w:t>1,2</w:t>
      </w:r>
      <w:r w:rsidRPr="001F1F22">
        <w:rPr>
          <w:vertAlign w:val="superscript"/>
        </w:rPr>
        <w:t xml:space="preserve"> </w:t>
      </w:r>
      <w:r>
        <w:t>And E.F. Zipkin</w:t>
      </w:r>
      <w:r w:rsidR="001F1F22" w:rsidRPr="001F1F22">
        <w:rPr>
          <w:vertAlign w:val="superscript"/>
        </w:rPr>
        <w:t>2</w:t>
      </w:r>
    </w:p>
    <w:p w:rsidR="001F1F22" w:rsidRDefault="001F1F22">
      <w:r>
        <w:t xml:space="preserve">1 Department of Biological Sciences, Kent State University. Kent, Ohio, </w:t>
      </w:r>
      <w:proofErr w:type="spellStart"/>
      <w:r>
        <w:t>Unitied</w:t>
      </w:r>
      <w:proofErr w:type="spellEnd"/>
      <w:r>
        <w:t xml:space="preserve"> States of America. Email for correspondence: </w:t>
      </w:r>
      <w:hyperlink r:id="rId5" w:history="1">
        <w:r w:rsidRPr="006F2F95">
          <w:rPr>
            <w:rStyle w:val="Hyperlink"/>
          </w:rPr>
          <w:t>cbahlai@kent.edu</w:t>
        </w:r>
      </w:hyperlink>
    </w:p>
    <w:p w:rsidR="001F1F22" w:rsidRDefault="001F1F22">
      <w:r>
        <w:t>2 Department of Integrative Biology, Program in Ecology, Evolutionary Biology and Behavior, Michigan State University, East Lansing, Michigan, United States of America.</w:t>
      </w:r>
    </w:p>
    <w:p w:rsidR="001F1F22" w:rsidRDefault="001F1F22"/>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202B26">
      <w:r>
        <w:t xml:space="preserve">It is well-established that the </w:t>
      </w:r>
      <w:r w:rsidR="00A755B5">
        <w:t xml:space="preserve">dynamics of populations are governed both by internal, biotic rules, and abiotic (or external biotic) influences, leading to roughly equal weighting of stochastic and deterministic forces governing population fluctuation patterns </w:t>
      </w:r>
      <w:r w:rsidR="00A755B5">
        <w:fldChar w:fldCharType="begin"/>
      </w:r>
      <w:r w:rsidR="00A755B5">
        <w:instrText xml:space="preserve"> ADDIN ZOTERO_ITEM CSL_CITATION {"citationID":"a1bkgnboncm","properties":{"formattedCitation":"{\\rtf (Bj\\uc0\\u248{}rnstad and Grenfell 2001)}","plainCitation":"(Bjørnstad and Grenfell 2001)"},"citationItems":[{"id":1756,"uris":["http://zotero.org/users/3015424/items/VKRFNM7S"],"uri":["http://zotero.org/users/3015424/items/VKRFNM7S"],"itemData":{"id":1756,"type":"article-journal","title":"Noisy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A755B5">
        <w:fldChar w:fldCharType="separate"/>
      </w:r>
      <w:r w:rsidR="00A755B5" w:rsidRPr="00A755B5">
        <w:rPr>
          <w:rFonts w:ascii="Calibri" w:hAnsi="Calibri" w:cs="Calibri"/>
          <w:szCs w:val="24"/>
        </w:rPr>
        <w:t>(</w:t>
      </w:r>
      <w:proofErr w:type="spellStart"/>
      <w:r w:rsidR="00A755B5" w:rsidRPr="00A755B5">
        <w:rPr>
          <w:rFonts w:ascii="Calibri" w:hAnsi="Calibri" w:cs="Calibri"/>
          <w:szCs w:val="24"/>
        </w:rPr>
        <w:t>Bjørnstad</w:t>
      </w:r>
      <w:proofErr w:type="spellEnd"/>
      <w:r w:rsidR="00A755B5" w:rsidRPr="00A755B5">
        <w:rPr>
          <w:rFonts w:ascii="Calibri" w:hAnsi="Calibri" w:cs="Calibri"/>
          <w:szCs w:val="24"/>
        </w:rPr>
        <w:t xml:space="preserve"> and Grenfell 2001)</w:t>
      </w:r>
      <w:r w:rsidR="00A755B5">
        <w:fldChar w:fldCharType="end"/>
      </w:r>
      <w:r w:rsidR="00A755B5">
        <w:t>.</w:t>
      </w:r>
    </w:p>
    <w:p w:rsidR="00202B26" w:rsidRDefault="00202B26">
      <w:r>
        <w:t>However, practical problem of identifying when what changed and why still is …problematic.</w:t>
      </w:r>
    </w:p>
    <w:p w:rsidR="00A755B5" w:rsidRDefault="00A755B5">
      <w:r>
        <w:t>Simple density dependent interactions (paradigm of the 1950s and 1960s)</w:t>
      </w:r>
    </w:p>
    <w:p w:rsidR="00C766D5" w:rsidRDefault="00C766D5" w:rsidP="00C766D5">
      <w:r>
        <w:t>Why these models work well for insects</w:t>
      </w:r>
      <w:r w:rsidR="00EC6DEF">
        <w:t>- long term monitoring, strong density dependence in the population growth</w:t>
      </w:r>
      <w:bookmarkStart w:id="0" w:name="_GoBack"/>
      <w:bookmarkEnd w:id="0"/>
    </w:p>
    <w:p w:rsidR="00C766D5" w:rsidRDefault="00C766D5">
      <w:r>
        <w:t>Can be used as a model for internal rules under changing environmental scenarios</w:t>
      </w:r>
    </w:p>
    <w:p w:rsidR="00C766D5" w:rsidRDefault="00C766D5">
      <w:r>
        <w:t>Other ways of identifying when an ecological system is changing state</w:t>
      </w:r>
    </w:p>
    <w:p w:rsidR="00C766D5" w:rsidRDefault="00C766D5">
      <w:r>
        <w:t xml:space="preserve">Changes to the internal rules represent state changes- </w:t>
      </w:r>
      <w:proofErr w:type="spellStart"/>
      <w:r>
        <w:t>ie</w:t>
      </w:r>
      <w:proofErr w:type="spellEnd"/>
      <w:r>
        <w:t xml:space="preserve"> regime shifts in the population. Need decision rules to identify when sustained changes have occurred. </w:t>
      </w:r>
    </w:p>
    <w:p w:rsidR="00A755B5" w:rsidRDefault="00C766D5">
      <w:r>
        <w:t>Implications for species management</w:t>
      </w:r>
    </w:p>
    <w:p w:rsidR="001707D6" w:rsidRDefault="001707D6" w:rsidP="001707D6">
      <w:r>
        <w:t xml:space="preserve">In this paper, we develop a generalizable tool for </w:t>
      </w:r>
      <w:r w:rsidR="00202B26">
        <w:t xml:space="preserve">adapting a simple density dependent model to </w:t>
      </w:r>
      <w:r>
        <w:t xml:space="preserve">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for the presence, location, and magnitude of shifts in dynamic reg</w:t>
      </w:r>
      <w:r w:rsidR="00C766D5">
        <w:t xml:space="preserve">ime, and examines the performance of this tool with simulated data and real-world case studies of two populations of </w:t>
      </w:r>
      <w:r w:rsidR="00202B26">
        <w:t>conservation and economic concern.</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6"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w:t>
      </w:r>
      <w:proofErr w:type="spellStart"/>
      <w:r w:rsidR="00F75BFC" w:rsidRPr="00F75BFC">
        <w:rPr>
          <w:rFonts w:ascii="Calibri" w:hAnsi="Calibri" w:cs="Calibri"/>
        </w:rPr>
        <w:t>Turchin</w:t>
      </w:r>
      <w:proofErr w:type="spellEnd"/>
      <w:r w:rsidR="00F75BFC" w:rsidRPr="00F75BFC">
        <w:rPr>
          <w:rFonts w:ascii="Calibri" w:hAnsi="Calibri" w:cs="Calibri"/>
        </w:rPr>
        <w:t xml:space="preserve"> 2003)</w:t>
      </w:r>
      <w:r w:rsidR="00F75BFC">
        <w:fldChar w:fldCharType="end"/>
      </w:r>
      <w:r>
        <w:t xml:space="preserve">.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lastRenderedPageBreak/>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w:t>
      </w:r>
      <w:hyperlink r:id="rId7" w:history="1">
        <w:r w:rsidR="00CA175B" w:rsidRPr="006F2F95">
          <w:rPr>
            <w:rStyle w:val="Hyperlink"/>
          </w:rPr>
          <w:t>https://github.com/cbahlai/monarch_regime/blob/master/regime_shift_detector.R</w:t>
        </w:r>
      </w:hyperlink>
      <w:r w:rsidR="00CA175B">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and compiles the AICs and break points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xml:space="preserve">: has enough points to not violate the rule we set to only fit series with </w:t>
      </w:r>
      <w:r w:rsidR="007F1F77">
        <w:t>four or greater</w:t>
      </w:r>
      <w:r>
        <w:t xml:space="preserve"> points)</w:t>
      </w:r>
      <w:r w:rsidR="00E65549">
        <w:t>.</w:t>
      </w:r>
    </w:p>
    <w:p w:rsidR="00017A9D" w:rsidRDefault="00017A9D">
      <w:proofErr w:type="spellStart"/>
      <w:r>
        <w:t>subsequentsplit</w:t>
      </w:r>
      <w:proofErr w:type="spellEnd"/>
      <w:r>
        <w:t xml:space="preserve">- used output from </w:t>
      </w:r>
      <w:proofErr w:type="spellStart"/>
      <w:r>
        <w:t>findbreak</w:t>
      </w:r>
      <w:r w:rsidR="007F1F77">
        <w:t>able</w:t>
      </w:r>
      <w:proofErr w:type="spellEnd"/>
      <w:r w:rsidR="007F1F77">
        <w:t xml:space="preserve"> function to identify cases</w:t>
      </w:r>
      <w:r>
        <w:t xml:space="preserve"> where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rsidR="007F1F77">
        <w:t>,</w:t>
      </w:r>
      <w:r>
        <w:t xml:space="preserve"> and returns these values as a data frame.</w:t>
      </w:r>
    </w:p>
    <w:p w:rsidR="006871C7" w:rsidRDefault="006871C7">
      <w:proofErr w:type="spellStart"/>
      <w:r>
        <w:lastRenderedPageBreak/>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r w:rsidR="007F1F77">
        <w:t>, resulting in summary statistics for all possible break point combination fits for the input data series</w:t>
      </w:r>
      <w:r>
        <w:t>.</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the dynamic rule</w:t>
      </w:r>
      <w:r w:rsidR="007F1F77">
        <w:t xml:space="preserve"> changes</w:t>
      </w:r>
      <w:r>
        <w:t xml:space="preserve"> found by fitting the model changes at each break point.</w:t>
      </w:r>
    </w:p>
    <w:p w:rsidR="001117D0" w:rsidRDefault="001117D0">
      <w:proofErr w:type="spellStart"/>
      <w:r>
        <w:t>modelspecification</w:t>
      </w:r>
      <w:proofErr w:type="spellEnd"/>
      <w:r>
        <w:t>- in case a user w</w:t>
      </w:r>
      <w:r w:rsidR="007F1F77">
        <w:t>ishes</w:t>
      </w:r>
      <w:r>
        <w:t xml:space="preserve">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w:t>
      </w:r>
      <w:r w:rsidR="00C766D5">
        <w:t xml:space="preserve">a continuous interval from 100% minus noise to 100% plus </w:t>
      </w:r>
      <w:r>
        <w:t xml:space="preserve">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lastRenderedPageBreak/>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xml:space="preserve">, and the impact of sampling error was tested at 1, 5, 10%, and every 10% interval thereafter to 90%. Each of these scenarios was run on </w:t>
      </w:r>
      <w:r w:rsidR="007F1F77">
        <w:t xml:space="preserve">simulated data with </w:t>
      </w:r>
      <w:r w:rsidR="0075339F">
        <w:t>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8"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lastRenderedPageBreak/>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w:t>
      </w:r>
      <w:r w:rsidR="00202B26">
        <w:t xml:space="preserve"> of this population </w:t>
      </w:r>
      <w:r w:rsidR="00742C1A">
        <w:t>(1994-2015)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9"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compiled from th</w:t>
      </w:r>
      <w:r w:rsidR="000E79AB">
        <w:t>ese surveys by MonarchWatch.org (note that the northern hemisphere overwintering season overlaps two calendar years, in this study we have used the year in which the winter started, i.e. 1995 from the winter of 1995-1996, to define the year of observation).</w:t>
      </w:r>
      <w:r w:rsidR="00574DB7">
        <w:t xml:space="preserve">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 xml:space="preserve">one break was missed by the </w:t>
      </w:r>
      <w:r w:rsidR="00DC4847">
        <w:lastRenderedPageBreak/>
        <w:t>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lastRenderedPageBreak/>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1A45B8" w:rsidRDefault="001A45B8">
      <w:pPr>
        <w:rPr>
          <w:b/>
        </w:rPr>
      </w:pPr>
    </w:p>
    <w:p w:rsidR="00F03FA1" w:rsidRDefault="00F03FA1">
      <w:pPr>
        <w:rPr>
          <w:b/>
        </w:rPr>
      </w:pPr>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 xml:space="preserve">environmental variable). Similarly, this approach is not </w:t>
      </w:r>
      <w:r w:rsidR="005F5665">
        <w:lastRenderedPageBreak/>
        <w:t>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t>Simulations</w:t>
      </w:r>
    </w:p>
    <w:p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xml:space="preserve">), a behavior that is, in general, </w:t>
      </w:r>
      <w:r w:rsidR="00321265">
        <w:lastRenderedPageBreak/>
        <w:t>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rsidR="00986C0E" w:rsidRDefault="00C90043">
      <w:pPr>
        <w:rPr>
          <w:i/>
        </w:rPr>
      </w:pPr>
      <w:r w:rsidRPr="00C90043">
        <w:rPr>
          <w:i/>
        </w:rPr>
        <w:t>Case studies</w:t>
      </w:r>
    </w:p>
    <w:p w:rsidR="005636B6" w:rsidRDefault="00612797">
      <w:r>
        <w:t>Our case studies 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xml:space="preserve">, dynamics of </w:t>
      </w:r>
      <w:r w:rsidR="00B35DE1">
        <w:t>th</w:t>
      </w:r>
      <w:r w:rsidR="00372BCA">
        <w:t>is predacious species is</w:t>
      </w:r>
      <w:r w:rsidR="0096009C">
        <w:t xml:space="preserve"> believed to be closely coupled with</w:t>
      </w:r>
      <w:r w:rsidR="00372BCA">
        <w:t xml:space="preserve"> prey availability</w:t>
      </w:r>
      <w:r w:rsidR="00C26D6E">
        <w:t xml:space="preserve"> </w:t>
      </w:r>
      <w:r w:rsidR="00C26D6E">
        <w:fldChar w:fldCharType="begin"/>
      </w:r>
      <w:r w:rsidR="00B35DE1">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2015)"},"citationItems":[{"id":1017,"uris":["http://zotero.org/users/3015424/items/Q83C5EAQ"],"uri":["http://zotero.org/users/3015424/items/Q83C5EAQ"],"itemData":{"id":1017,"type":"article-journal","title":"Population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K."}],"issued":{"date-parts":[["2009"]]}}},{"id":378,"uris":["http://zotero.org/users/3015424/items/9M3EFWVI"],"uri":["http://zotero.org/users/3015424/items/9M3EFWVI"],"itemData":{"id":378,"type":"article-journal","title":"European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237,"uris":["http://zotero.org/users/3015424/items/63S8PB2U"],"uri":["http://zotero.org/users/3015424/items/63S8PB2U"],"itemData":{"id":237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26D6E">
        <w:fldChar w:fldCharType="separate"/>
      </w:r>
      <w:r w:rsidR="00B35DE1" w:rsidRPr="00B35DE1">
        <w:rPr>
          <w:rFonts w:ascii="Calibri" w:hAnsi="Calibri" w:cs="Calibri"/>
        </w:rPr>
        <w:t xml:space="preserve">(Bahlai and Sears 2009, Heimpel et al. 2010, </w:t>
      </w:r>
      <w:proofErr w:type="spellStart"/>
      <w:r w:rsidR="00B35DE1" w:rsidRPr="00B35DE1">
        <w:rPr>
          <w:rFonts w:ascii="Calibri" w:hAnsi="Calibri" w:cs="Calibri"/>
        </w:rPr>
        <w:t>Rhainds</w:t>
      </w:r>
      <w:proofErr w:type="spellEnd"/>
      <w:r w:rsidR="00B35DE1" w:rsidRPr="00B35DE1">
        <w:rPr>
          <w:rFonts w:ascii="Calibri" w:hAnsi="Calibri" w:cs="Calibri"/>
        </w:rPr>
        <w:t xml:space="preserve"> et al. 2010, Bahlai, Colunga-Garcia, et al. 2015)</w:t>
      </w:r>
      <w:r w:rsidR="00C26D6E">
        <w:fldChar w:fldCharType="end"/>
      </w:r>
      <w:r w:rsidR="00372BCA">
        <w:t>, which, in turn, is driven by documented pest management practices</w:t>
      </w:r>
      <w:r w:rsidR="00B35DE1">
        <w:fldChar w:fldCharType="begin"/>
      </w:r>
      <w:r w:rsidR="00B35DE1">
        <w:instrText xml:space="preserve"> ADDIN ZOTERO_ITEM CSL_CITATION {"citationID":"a1qn46qh5k6","properties":{"formattedCitation":"(Bahlai,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5DE1">
        <w:fldChar w:fldCharType="separate"/>
      </w:r>
      <w:r w:rsidR="00B35DE1" w:rsidRPr="00B35DE1">
        <w:rPr>
          <w:rFonts w:ascii="Calibri" w:hAnsi="Calibri" w:cs="Calibri"/>
        </w:rPr>
        <w:t>(Bahlai, vander Werf, et al. 2015)</w:t>
      </w:r>
      <w:r w:rsidR="00B35DE1">
        <w:fldChar w:fldCharType="end"/>
      </w:r>
      <w:r w:rsidR="00372BCA">
        <w:t>- leading to relatively simple pulsed changes in dynamics. With Monarch butterflies, drivers of population dynamics are complex and result from drivers at local and continental scales</w:t>
      </w:r>
      <w:r w:rsidR="004357F0">
        <w:t xml:space="preserve"> </w:t>
      </w:r>
      <w:r w:rsidR="004357F0">
        <w:fldChar w:fldCharType="begin"/>
      </w:r>
      <w:r w:rsidR="004357F0">
        <w:instrText xml:space="preserve"> ADDIN ZOTERO_ITEM CSL_CITATION {"citationID":"a2i7trmq63f","properties":{"formattedCitation":"(Saunders et al. 2017)","plainCitation":"(Saunders et al. 2017)"},"citationItems":[{"id":1772,"uris":["http://zotero.org/users/3015424/items/IT77ZTI6"],"uri":["http://zotero.org/users/3015424/items/IT77ZTI6"],"itemData":{"id":1772,"type":"article-journal","title":"Local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4357F0">
        <w:fldChar w:fldCharType="separate"/>
      </w:r>
      <w:r w:rsidR="004357F0" w:rsidRPr="004357F0">
        <w:rPr>
          <w:rFonts w:ascii="Calibri" w:hAnsi="Calibri" w:cs="Calibri"/>
        </w:rPr>
        <w:t>(Saunders et al. 2017)</w:t>
      </w:r>
      <w:r w:rsidR="004357F0">
        <w:fldChar w:fldCharType="end"/>
      </w:r>
      <w:r w:rsidR="00372BCA">
        <w:t>: previous studies have implicated climate</w:t>
      </w:r>
      <w:r w:rsidR="004357F0">
        <w:t xml:space="preserve"> </w:t>
      </w:r>
      <w:r w:rsidR="004357F0">
        <w:fldChar w:fldCharType="begin"/>
      </w:r>
      <w:r w:rsidR="004357F0">
        <w:instrText xml:space="preserve"> ADDIN ZOTERO_ITEM CSL_CITATION {"citationID":"a1q25ckc7jk","properties":{"formattedCitation":"(Zipkin et al. 2012)","plainCitation":"(Zipkin et al. 2012)"},"citationItems":[{"id":1773,"uris":["http://zotero.org/users/3015424/items/JRUA6RZK"],"uri":["http://zotero.org/users/3015424/items/JRUA6RZK"],"itemData":{"id":1773,"type":"article-journal","title":"Tracking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4357F0">
        <w:fldChar w:fldCharType="separate"/>
      </w:r>
      <w:r w:rsidR="004357F0" w:rsidRPr="004357F0">
        <w:rPr>
          <w:rFonts w:ascii="Calibri" w:hAnsi="Calibri" w:cs="Calibri"/>
        </w:rPr>
        <w:t>(Zipkin et al. 2012)</w:t>
      </w:r>
      <w:r w:rsidR="004357F0">
        <w:fldChar w:fldCharType="end"/>
      </w:r>
      <w:r w:rsidR="00372BCA">
        <w:t>, specific weather events</w:t>
      </w:r>
      <w:r w:rsidR="004357F0">
        <w:t xml:space="preserve"> </w:t>
      </w:r>
      <w:r w:rsidR="004357F0">
        <w:fldChar w:fldCharType="begin"/>
      </w:r>
      <w:r w:rsidR="004357F0">
        <w:instrText xml:space="preserve"> ADDIN ZOTERO_ITEM CSL_CITATION {"citationID":"a28t0hbcl1g","properties":{"formattedCitation":"(Brower et al. 2004)","plainCitation":"(Brower et al. 2004)"},"citationItems":[{"id":1774,"uris":["http://zotero.org/users/3015424/items/R6HTQIHT"],"uri":["http://zotero.org/users/3015424/items/R6HTQIHT"],"itemData":{"id":1774,"type":"article-journal","title":"Catastrophic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4357F0">
        <w:fldChar w:fldCharType="separate"/>
      </w:r>
      <w:r w:rsidR="004357F0" w:rsidRPr="004357F0">
        <w:rPr>
          <w:rFonts w:ascii="Calibri" w:hAnsi="Calibri" w:cs="Calibri"/>
        </w:rPr>
        <w:t>(Brower et al. 2004)</w:t>
      </w:r>
      <w:r w:rsidR="004357F0">
        <w:fldChar w:fldCharType="end"/>
      </w:r>
      <w:r w:rsidR="00372BCA">
        <w:t>, changing land use</w:t>
      </w:r>
      <w:r w:rsidR="007A7749">
        <w:t xml:space="preserve"> and habitat availability</w:t>
      </w:r>
      <w:r w:rsidR="004357F0">
        <w:t xml:space="preserve"> </w:t>
      </w:r>
      <w:r w:rsidR="004357F0">
        <w:fldChar w:fldCharType="begin"/>
      </w:r>
      <w:r w:rsidR="004357F0">
        <w:instrText xml:space="preserve"> ADDIN ZOTERO_ITEM CSL_CITATION {"citationID":"a1hnagcerbh","properties":{"formattedCitation":"{\\rtf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 xml:space="preserve">(Vidal and </w:t>
      </w:r>
      <w:proofErr w:type="spellStart"/>
      <w:r w:rsidR="004357F0" w:rsidRPr="004357F0">
        <w:rPr>
          <w:rFonts w:ascii="Calibri" w:hAnsi="Calibri" w:cs="Calibri"/>
          <w:szCs w:val="24"/>
        </w:rPr>
        <w:t>Rendón</w:t>
      </w:r>
      <w:proofErr w:type="spellEnd"/>
      <w:r w:rsidR="004357F0" w:rsidRPr="004357F0">
        <w:rPr>
          <w:rFonts w:ascii="Calibri" w:hAnsi="Calibri" w:cs="Calibri"/>
          <w:szCs w:val="24"/>
        </w:rPr>
        <w:t>-Salinas 2014)</w:t>
      </w:r>
      <w:r w:rsidR="004357F0">
        <w:fldChar w:fldCharType="end"/>
      </w:r>
      <w:r w:rsidR="00372BCA">
        <w:t>, and management practice</w:t>
      </w:r>
      <w:r w:rsidR="004357F0">
        <w:t xml:space="preserve">  </w:t>
      </w:r>
      <w:r w:rsidR="004357F0">
        <w:fldChar w:fldCharType="begin"/>
      </w:r>
      <w:r w:rsidR="004357F0">
        <w:instrText xml:space="preserve"> ADDIN ZOTERO_ITEM CSL_CITATION {"citationID":"a22krvpejul","properties":{"formattedCitation":"(Pleasants and Oberhauser 2013)","plainCitation":"(Pleasants and Oberhauser 2013)"},"citationItems":[{"id":870,"uris":["http://zotero.org/users/3015424/items/KGI2F39G"],"uri":["http://zotero.org/users/3015424/items/KGI2F39G"],"itemData":{"id":870,"type":"article-journal","title":"Milkweed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rsidR="004357F0">
        <w:fldChar w:fldCharType="separate"/>
      </w:r>
      <w:r w:rsidR="004357F0" w:rsidRPr="004357F0">
        <w:rPr>
          <w:rFonts w:ascii="Calibri" w:hAnsi="Calibri" w:cs="Calibri"/>
        </w:rPr>
        <w:t xml:space="preserve">(Pleasants and </w:t>
      </w:r>
      <w:proofErr w:type="spellStart"/>
      <w:r w:rsidR="004357F0" w:rsidRPr="004357F0">
        <w:rPr>
          <w:rFonts w:ascii="Calibri" w:hAnsi="Calibri" w:cs="Calibri"/>
        </w:rPr>
        <w:t>Oberhauser</w:t>
      </w:r>
      <w:proofErr w:type="spellEnd"/>
      <w:r w:rsidR="004357F0" w:rsidRPr="004357F0">
        <w:rPr>
          <w:rFonts w:ascii="Calibri" w:hAnsi="Calibri" w:cs="Calibri"/>
        </w:rPr>
        <w:t xml:space="preserve"> 2013)</w:t>
      </w:r>
      <w:r w:rsidR="004357F0">
        <w:fldChar w:fldCharType="end"/>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br/>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w:t>
      </w:r>
      <w:r w:rsidR="004357F0">
        <w:t xml:space="preserve"> </w:t>
      </w:r>
      <w:r w:rsidR="004357F0">
        <w:fldChar w:fldCharType="begin"/>
      </w:r>
      <w:r w:rsidR="004357F0">
        <w:instrText xml:space="preserve"> ADDIN ZOTERO_ITEM CSL_CITATION {"citationID":"a2pi5ol3bjj","properties":{"formattedCitation":"(Bahlai,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4357F0">
        <w:fldChar w:fldCharType="separate"/>
      </w:r>
      <w:r w:rsidR="004357F0" w:rsidRPr="004357F0">
        <w:rPr>
          <w:rFonts w:ascii="Calibri" w:hAnsi="Calibri" w:cs="Calibri"/>
        </w:rPr>
        <w:t>(Bahlai, vander Werf, et al. 2015)</w:t>
      </w:r>
      <w:r w:rsidR="004357F0">
        <w:fldChar w:fldCharType="end"/>
      </w:r>
      <w:r w:rsidR="007A7749">
        <w:t>. However, when updated data, including observations from 2014-2015 were included in analysis, the post-2005 regime shift was no longer detected. 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from the population pattern observed in 2006-2013, in fact, they appear to be more </w:t>
      </w:r>
      <w:proofErr w:type="gramStart"/>
      <w:r w:rsidR="005636B6">
        <w:t>similar to</w:t>
      </w:r>
      <w:proofErr w:type="gramEnd"/>
      <w:r w:rsidR="005636B6">
        <w:t xml:space="preserve"> the dynamic observed during 2001-2005, when prey populations were uncontrolled by neonicotinoids. 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w:t>
      </w:r>
      <w:r w:rsidR="003E3172">
        <w:lastRenderedPageBreak/>
        <w:t xml:space="preserve">so the script finds that the new, </w:t>
      </w:r>
      <w:proofErr w:type="spellStart"/>
      <w:r w:rsidR="003E3172">
        <w:t>post 2006</w:t>
      </w:r>
      <w:proofErr w:type="spellEnd"/>
      <w:r w:rsidR="003E3172">
        <w:t xml:space="preserve"> phase integrating the 2014-2015 data does not differ from the explosive dynamics of 2001-2005. </w:t>
      </w:r>
      <w:r w:rsidR="00C10F60">
        <w:t>Thus,</w:t>
      </w:r>
      <w:r w:rsidR="003E3172">
        <w:t xml:space="preserve"> it </w:t>
      </w:r>
      <w:r w:rsidR="002F3300">
        <w:t>seems probable</w:t>
      </w:r>
      <w:r w:rsidR="003E3172">
        <w:t xml:space="preserve"> that the script’s performance was compromised in this situation with the very earliest signs of a new shift in dynamic regime.</w:t>
      </w:r>
    </w:p>
    <w:p w:rsidR="00DC161A" w:rsidRDefault="005636B6">
      <w:r>
        <w:t xml:space="preserve">There are several possible biological explanations for </w:t>
      </w:r>
      <w:r w:rsidRPr="005636B6">
        <w:rPr>
          <w:i/>
        </w:rPr>
        <w:t xml:space="preserve">H. </w:t>
      </w:r>
      <w:proofErr w:type="spellStart"/>
      <w:r w:rsidRPr="005636B6">
        <w:rPr>
          <w:i/>
        </w:rPr>
        <w:t>axyridis</w:t>
      </w:r>
      <w:proofErr w:type="spellEnd"/>
      <w:r w:rsidRPr="005636B6">
        <w:rPr>
          <w:i/>
        </w:rPr>
        <w:t xml:space="preserve">’ </w:t>
      </w:r>
      <w:r>
        <w:t xml:space="preserve">return to explosive population dynamics relating to prey availability. The resultant dynamic could be indicative of </w:t>
      </w:r>
      <w:r w:rsidR="00FB4B02">
        <w:t xml:space="preserve">recent </w:t>
      </w:r>
      <w:r>
        <w:t>changing use patterns in neonicotinoids in central North America. Indeed, neonicotinoid insecticides are a subject of considerable controversy implicated with environmental impacts</w:t>
      </w:r>
      <w:r w:rsidR="00C10F60">
        <w:t xml:space="preserve"> </w:t>
      </w:r>
      <w:r w:rsidR="00C10F60">
        <w:fldChar w:fldCharType="begin"/>
      </w:r>
      <w:r w:rsidR="00F8199D">
        <w:instrText xml:space="preserve"> ADDIN ZOTERO_ITEM CSL_CITATION {"citationID":"a2prv79pjea","properties":{"formattedCitation":"(Goulson 2013)","plainCitation":"(Goulson 2013)"},"citationItems":[{"id":1777,"uris":["http://zotero.org/users/3015424/items/P8B4GRW8"],"uri":["http://zotero.org/users/3015424/items/P8B4GRW8"],"itemData":{"id":1777,"type":"article-journal","title":"An overview of the environmental risks posed by neonicotinoid insecticides","container-title":"Journal of Applied Ecology","page":"977-987","volume":"50","issue":"4","abstract":"* Neonicotinoids are now the most widely used insecticides in the world. They act systemically, travelling through plant tissues and protecting all parts of the crop, and are widely applied as seed dressings. As neurotoxins with high toxicity to most arthropods, they provide effective pest control and have numerous uses in arable farming and horticulture.\n\n\n* However, the prophylactic use of broad-spectrum pesticides goes against the long-established principles of integrated pest management (IPM), leading to environmental concerns.\n\n\n* It has recently emerged that neonicotinoids can persist and accumulate in soils. They are water soluble and prone to leaching into waterways. Being systemic, they are found in nectar and pollen of treated crops. Reported levels in soils, waterways, field margin plants and floral resources overlap substantially with concentrations that are sufficient to control pests in crops, and commonly exceed the LC50 (the concentration which kills 50% of individuals) for beneficial organisms. Concentrations in nectar and pollen in crops are sufficient to impact substantially on colony reproduction in bumblebees.\n\n\n* Although vertebrates are less susceptible than arthropods, consumption of small numbers of dressed seeds offers a route to direct mortality in birds and mammals.\n\n\n* Synthesis and applications. Major knowledge gaps remain, but current use of neonicotinoids is likely to be impacting on a broad range of non-target taxa including pollinators and soil and aquatic invertebrates and hence threatens a range of ecosystem services.","DOI":"10.1111/1365-2664.12111","ISSN":"1365-2664","journalAbbreviation":"J Appl Ecol","author":[{"family":"Goulson","given":"Dave"}],"issued":{"date-parts":[["2013",8,1]]}}}],"schema":"https://github.com/citation-style-language/schema/raw/master/csl-citation.json"} </w:instrText>
      </w:r>
      <w:r w:rsidR="00C10F60">
        <w:fldChar w:fldCharType="separate"/>
      </w:r>
      <w:r w:rsidR="00C10F60" w:rsidRPr="00C10F60">
        <w:rPr>
          <w:rFonts w:ascii="Calibri" w:hAnsi="Calibri" w:cs="Calibri"/>
        </w:rPr>
        <w:t>(</w:t>
      </w:r>
      <w:proofErr w:type="spellStart"/>
      <w:r w:rsidR="00C10F60" w:rsidRPr="00C10F60">
        <w:rPr>
          <w:rFonts w:ascii="Calibri" w:hAnsi="Calibri" w:cs="Calibri"/>
        </w:rPr>
        <w:t>Goulson</w:t>
      </w:r>
      <w:proofErr w:type="spellEnd"/>
      <w:r w:rsidR="00C10F60" w:rsidRPr="00C10F60">
        <w:rPr>
          <w:rFonts w:ascii="Calibri" w:hAnsi="Calibri" w:cs="Calibri"/>
        </w:rPr>
        <w:t xml:space="preserve"> 2013)</w:t>
      </w:r>
      <w:r w:rsidR="00C10F60">
        <w:fldChar w:fldCharType="end"/>
      </w:r>
      <w:r>
        <w:t>,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ments</w:t>
      </w:r>
      <w:r w:rsidR="00F8199D">
        <w:t xml:space="preserve"> </w:t>
      </w:r>
      <w:r w:rsidR="00F8199D">
        <w:fldChar w:fldCharType="begin"/>
      </w:r>
      <w:r w:rsidR="00F8199D">
        <w:instrText xml:space="preserve"> ADDIN ZOTERO_ITEM CSL_CITATION {"citationID":"arup3uji44","properties":{"formattedCitation":"(Nauen and Denholm 2005, Puinean et al. 2010, Herron and Wilson 2011)","plainCitation":"(Nauen and Denholm 2005, Puinean et al. 2010, Herron and Wilson 2011)"},"citationItems":[{"id":1781,"uris":["http://zotero.org/users/3015424/items/I4J7X65D"],"uri":["http://zotero.org/users/3015424/items/I4J7X65D"],"itemData":{"id":1781,"type":"article-journal","title":"Resistance of insect pests to neonicotinoid insecticides: Current status and future prospects","container-title":"Archives of Insect Biochemistry and Physiology","page":"200-215","volume":"58","issue":"4","abstract":"The first neonicotinoid insecticide introduced to the market was imidacloprid in 1991 followed by several others belonging to the same chemical class and with the same mode of action. The development of neonicotinoid insecticides has provided growers with invaluable new tools for managing some of the world's most destructive crop pests, primarily those of the order Hemiptera (aphids, whiteflies, and planthoppers) and Coleoptera (beetles), including species with a long history of resistance to earlier-used products. To date, neonicotinoids have proved relatively resilient to the development of resistance, especially when considering aphids such as Myzus persicae and Phorodon humuli. Although the susceptibility of M. persicae may vary up to 20-fold between populations, this does not appear to compromise the field performance of neonicotinoids. Stronger resistance has been confirmed in some populations of the whitefly, Bemisia tabaci, and the Colorado potato beetle, Leptinotarsa decemlineata. Resistance in B- and Q-type B. tabaci appears to be linked to enhanced oxidative detoxification of neonicotinoids due to overexpression of monooxygenases. No evidence for target-site resistance has been found in whiteflies, whereas the possibility of target-site resistance in L. decemlineata is being investigated further. Strategies to combat neonicotinoid resistance must take account of the cross-resistance characteristics of these mechanisms, the ecology of target pests on different host plants, and the implications of increasing diversification of the neonicotinoid market due to a continuing introduction of new molecules. Arch. Insect Biochem. Physiol. 58:200–215, 2005. © 2005 Wiley-Liss, Inc.","DOI":"10.1002/arch.20043","ISSN":"1520-6327","journalAbbreviation":"Arch. Insect Biochem. Physiol.","author":[{"family":"Nauen","given":"Ralf"},{"family":"Denholm","given":"Ian"}],"issued":{"date-parts":[["2005",4,1]]}}},{"id":1780,"uris":["http://zotero.org/users/3015424/items/NU2V8Q4S"],"uri":["http://zotero.org/users/3015424/items/NU2V8Q4S"],"itemData":{"id":1780,"type":"article-journal","title":"Amplification of a Cytochrome P450 Gene Is Associated with Resistance to Neonicotinoid Insecticides in the Aphid Myzus persicae","container-title":"PLOS Genetics","page":"e1000999","volume":"6","issue":"6","abstract":"Author Summary M. persicae is the most economically important aphid pest in many regions of the world due to its large host range and the damage it causes through direct feeding and through the transmission of plant viruses. This species has developed resistance to most classes of insecticide; and although, to date, the neonicotinoids have remained an effective control measure, recent reports of resistance in M. persicae represent a threat to the long-term effectiveness of this chemical class. Work on other insect species has shown that resistance can arise through increased production of metabolic enzymes (such as cytochrome P450s) that detoxify the insecticide. In this study we made use of recent advances in genomics to quantify the expression of all genes encoding detoxification enzymes in a resistant strain of M. persicae. We found resistance correlated with the over-expression of a single P450 gene, and we show that this is due to gene amplification. We also showed that over-expression of cuticular proteins and reduced penetration of insecticide through the cuticle may also play a role in resistance. These findings will influence the design and monitoring of management strategies that aim to slow or prevent the development of resistance.","DOI":"10.1371/journal.pgen.1000999","journalAbbreviation":"PLOS Genetics","author":[{"family":"Puinean","given":"Alin M."},{"family":"Foster","given":"Stephen P."},{"family":"Oliphant","given":"Linda"},{"family":"Denholm","given":"Ian"},{"family":"Field","given":"Linda M."},{"family":"Millar","given":"Neil S."},{"family":"Williamson","given":"Martin S."},{"family":"Bass","given":"Chris"}],"issued":{"date-parts":[["2010",6,24]]}}},{"id":1779,"uris":["http://zotero.org/users/3015424/items/QNFT4TJV"],"uri":["http://zotero.org/users/3015424/items/QNFT4TJV"],"itemData":{"id":1779,"type":"article-journal","title":"Neonicotinoid resistance in Aphis gossypii Glover (Aphididae: Hemiptera) from Australian cotton","container-title":"Australian Journal of Entomology","page":"93-98","volume":"50","issue":"1","abstract":"Cotton or melon aphid, Aphis gossypii Glover, is an important pest of cotton, and recently the neonicotinoid group of insecticides has provided a key option for control where they are used as seed treatments and foliar sprays. Here we document for the first time in Australian cotton, resistance to three neonicotinoids (acetamiprid, clothianidin and thiamethoxam) in A. gossypii via diagnostic discriminating concentration assays that were also associated with field control failure. Subsequent full log dose probit analysis on strains with discriminating dose survivors confirmed acetamiprid, clothianidin and thiamethoxam resistance at 6.4-, 10- and 22-fold, respectively. Further laboratory pressuring of strains caused acetamiprid resistance to significantly increase to 22-fold but resistance factors to clothianidin and thiamethoxam were unchanged. Clearly there is a need to reduce overall neonicotinoid selection to prevent or slow any increase in neonicotinoid resistance. An effective method to contain resistance would be to move away from the more persistent neonicotinoid seed dressings to either organophosphate or carbamate-based products and to limit the use of neonicotinoid foliar sprays.","DOI":"10.1111/j.1440-6055.2010.00788.x","ISSN":"1440-6055","author":[{"family":"Herron","given":"Grant A"},{"family":"Wilson","given":"Lewis J"}],"issued":{"date-parts":[["2011",2,1]]}}}],"schema":"https://github.com/citation-style-language/schema/raw/master/csl-citation.json"} </w:instrText>
      </w:r>
      <w:r w:rsidR="00F8199D">
        <w:fldChar w:fldCharType="separate"/>
      </w:r>
      <w:r w:rsidR="00F8199D" w:rsidRPr="00F8199D">
        <w:rPr>
          <w:rFonts w:ascii="Calibri" w:hAnsi="Calibri" w:cs="Calibri"/>
        </w:rPr>
        <w:t>(</w:t>
      </w:r>
      <w:proofErr w:type="spellStart"/>
      <w:r w:rsidR="00F8199D" w:rsidRPr="00F8199D">
        <w:rPr>
          <w:rFonts w:ascii="Calibri" w:hAnsi="Calibri" w:cs="Calibri"/>
        </w:rPr>
        <w:t>Nauen</w:t>
      </w:r>
      <w:proofErr w:type="spellEnd"/>
      <w:r w:rsidR="00F8199D" w:rsidRPr="00F8199D">
        <w:rPr>
          <w:rFonts w:ascii="Calibri" w:hAnsi="Calibri" w:cs="Calibri"/>
        </w:rPr>
        <w:t xml:space="preserve"> and Denholm 2005, </w:t>
      </w:r>
      <w:proofErr w:type="spellStart"/>
      <w:r w:rsidR="00F8199D" w:rsidRPr="00F8199D">
        <w:rPr>
          <w:rFonts w:ascii="Calibri" w:hAnsi="Calibri" w:cs="Calibri"/>
        </w:rPr>
        <w:t>Puinean</w:t>
      </w:r>
      <w:proofErr w:type="spellEnd"/>
      <w:r w:rsidR="00F8199D" w:rsidRPr="00F8199D">
        <w:rPr>
          <w:rFonts w:ascii="Calibri" w:hAnsi="Calibri" w:cs="Calibri"/>
        </w:rPr>
        <w:t xml:space="preserve"> et al. 2010, Herron and Wilson 2011)</w:t>
      </w:r>
      <w:r w:rsidR="00F8199D">
        <w:fldChar w:fldCharType="end"/>
      </w:r>
      <w:r w:rsidR="005270FD">
        <w:t xml:space="preserve">.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dynamics.</w:t>
      </w:r>
    </w:p>
    <w:p w:rsidR="00DC161A" w:rsidRDefault="00DC161A">
      <w:r>
        <w:t xml:space="preserve">The findings of the regime shift detector script on the Monarch overwintering population was, as expected, more ambiguous than that for </w:t>
      </w:r>
      <w:r w:rsidRPr="00DC161A">
        <w:rPr>
          <w:i/>
        </w:rPr>
        <w:t xml:space="preserve">H. </w:t>
      </w:r>
      <w:proofErr w:type="spellStart"/>
      <w:r w:rsidRPr="00DC161A">
        <w:rPr>
          <w:i/>
        </w:rPr>
        <w:t>axyridis</w:t>
      </w:r>
      <w:proofErr w:type="spellEnd"/>
      <w:r>
        <w:t xml:space="preserve">, but still provides useful information in interpreting the timing of events effecting population density and cycling of the butterfly.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 xml:space="preserve">Using </w:t>
      </w:r>
      <w:proofErr w:type="spellStart"/>
      <w:r w:rsidR="005E5969">
        <w:t>AICc</w:t>
      </w:r>
      <w:proofErr w:type="spellEnd"/>
      <w:r w:rsidR="005E5969">
        <w:t>, a more conservative decision rule down-ranking more complex models, a model assuming the carrying capacity was undergoing a linear decline was favored over all break-point models tested by the regime shift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p>
    <w:p w:rsidR="00220E9B" w:rsidRDefault="00AD50EF">
      <w:r>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w:t>
      </w:r>
      <w:proofErr w:type="gramStart"/>
      <w:r>
        <w:t>particular signature</w:t>
      </w:r>
      <w:proofErr w:type="gramEnd"/>
      <w:r>
        <w:t xml:space="preserve"> on the overwintering data because these drivers are progressive and not reversible in the short term. Indeed, changes of these kinds are well-documented. </w:t>
      </w:r>
      <w:r w:rsidR="00AC2705">
        <w:t xml:space="preserve">Although the monarch’s overwintering habitat has been protected by various conservation strategies directed by the Mexican government dating back to 1980 </w:t>
      </w:r>
      <w:r w:rsidR="00AC2705">
        <w:fldChar w:fldCharType="begin"/>
      </w:r>
      <w:r w:rsidR="00AC2705">
        <w:instrText xml:space="preserve"> ADDIN ZOTERO_ITEM CSL_CITATION {"citationID":"a2dh7qpuvg0","properties":{"formattedCitation":"(Vidal et al. 2014)","plainCitation":"(Vidal et al. 2014)"},"citationItems":[{"id":1785,"uris":["http://zotero.org/users/3015424/items/USJQSQJJ"],"uri":["http://zotero.org/users/3015424/items/USJQSQJJ"],"itemData":{"id":1785,"type":"article-journal","title":"Trends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r w:rsidR="00AC2705">
        <w:fldChar w:fldCharType="separate"/>
      </w:r>
      <w:r w:rsidR="00AC2705" w:rsidRPr="00AC2705">
        <w:rPr>
          <w:rFonts w:ascii="Calibri" w:hAnsi="Calibri" w:cs="Calibri"/>
        </w:rPr>
        <w:t>(Vidal et al. 2014)</w:t>
      </w:r>
      <w:r w:rsidR="00AC2705">
        <w:fldChar w:fldCharType="end"/>
      </w:r>
      <w:r w:rsidR="00AC2705">
        <w:t xml:space="preserve">, illegal logging activity in the overwintering zone has occurred as recently as 2015 </w:t>
      </w:r>
      <w:r w:rsidR="00AC2705">
        <w:fldChar w:fldCharType="begin"/>
      </w:r>
      <w:r w:rsidR="00AC2705">
        <w:instrText xml:space="preserve"> ADDIN ZOTERO_ITEM CSL_CITATION {"citationID":"a18pqoftr6q","properties":{"formattedCitation":"(Brower et al. 2016)","plainCitation":"(Brower et al. 2016)"},"citationItems":[{"id":1784,"uris":["http://zotero.org/users/3015424/items/C79PDABB"],"uri":["http://zotero.org/users/3015424/items/C79PDABB"],"itemData":{"id":1784,"type":"article-journal","title":"Illegal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r w:rsidR="00AC2705">
        <w:fldChar w:fldCharType="separate"/>
      </w:r>
      <w:r w:rsidR="00AC2705" w:rsidRPr="00AC2705">
        <w:rPr>
          <w:rFonts w:ascii="Calibri" w:hAnsi="Calibri" w:cs="Calibri"/>
        </w:rPr>
        <w:t>(Brower et al. 2016)</w:t>
      </w:r>
      <w:r w:rsidR="00AC2705">
        <w:fldChar w:fldCharType="end"/>
      </w:r>
      <w:r w:rsidR="00AC2705">
        <w:t>.</w:t>
      </w:r>
      <w:r w:rsidR="00ED431F">
        <w:t xml:space="preserve"> Systematic prairie loss in the monarch’s breeding habitat has also been implicated with their decline </w:t>
      </w:r>
      <w:r w:rsidR="00ED431F">
        <w:fldChar w:fldCharType="begin"/>
      </w:r>
      <w:r w:rsidR="00ED431F">
        <w:instrText xml:space="preserve"> ADDIN ZOTERO_ITEM CSL_CITATION {"citationID":"a2n50738n2h","properties":{"formattedCitation":"(Mueller and Baum 2014)","plainCitation":"(Mueller and Baum 2014)"},"citationItems":[{"id":1786,"uris":["http://zotero.org/users/3015424/items/QTWMXIMX"],"uri":["http://zotero.org/users/3015424/items/QTWMXIMX"],"itemData":{"id":1786,"type":"article-journal","title":"Monarch-parasite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instrText>
      </w:r>
      <w:r w:rsidR="00ED431F">
        <w:fldChar w:fldCharType="separate"/>
      </w:r>
      <w:r w:rsidR="00ED431F" w:rsidRPr="00ED431F">
        <w:rPr>
          <w:rFonts w:ascii="Calibri" w:hAnsi="Calibri" w:cs="Calibri"/>
        </w:rPr>
        <w:t>(Mueller and Baum 2014)</w:t>
      </w:r>
      <w:r w:rsidR="00ED431F">
        <w:fldChar w:fldCharType="end"/>
      </w:r>
      <w:r w:rsidR="00ED431F">
        <w:t xml:space="preserve">, however, this loss has largely plateaued in recent decades </w:t>
      </w:r>
      <w:r w:rsidR="00ED431F">
        <w:fldChar w:fldCharType="begin"/>
      </w:r>
      <w:r w:rsidR="00ED431F">
        <w:instrText xml:space="preserve"> ADDIN ZOTERO_ITEM CSL_CITATION {"citationID":"a2cq6dubbo1","properties":{"formattedCitation":"(Zaya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ED431F">
        <w:fldChar w:fldCharType="separate"/>
      </w:r>
      <w:r w:rsidR="00ED431F" w:rsidRPr="00ED431F">
        <w:rPr>
          <w:rFonts w:ascii="Calibri" w:hAnsi="Calibri" w:cs="Calibri"/>
        </w:rPr>
        <w:t>(Zaya et al. 2017)</w:t>
      </w:r>
      <w:r w:rsidR="00ED431F">
        <w:fldChar w:fldCharType="end"/>
      </w:r>
      <w:r w:rsidR="00ED431F">
        <w:t>.</w:t>
      </w:r>
      <w:r>
        <w:t xml:space="preserve"> </w:t>
      </w:r>
      <w:r w:rsidR="00220E9B">
        <w:t xml:space="preserve">Climate change, in the form of gradual shifts to less favorable conditions for overwintering, breeding, or feeding </w:t>
      </w:r>
      <w:r w:rsidR="00ED431F">
        <w:t xml:space="preserve">is also probable </w:t>
      </w:r>
      <w:r w:rsidR="00ED431F">
        <w:fldChar w:fldCharType="begin"/>
      </w:r>
      <w:r w:rsidR="00ED431F">
        <w:instrText xml:space="preserve"> ADDIN ZOTERO_ITEM CSL_CITATION {"citationID":"an1l29u0i1","properties":{"formattedCitation":"(Batalden et al. 2007)","plainCitation":"(Batalden et al. 2007)"},"citationItems":[{"id":1787,"uris":["http://zotero.org/users/3015424/items/WXC6ITW5"],"uri":["http://zotero.org/users/3015424/items/WXC6ITW5"],"itemData":{"id":1787,"type":"article-journal","title":"Ecological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r w:rsidR="00ED431F">
        <w:fldChar w:fldCharType="separate"/>
      </w:r>
      <w:r w:rsidR="00ED431F" w:rsidRPr="00ED431F">
        <w:rPr>
          <w:rFonts w:ascii="Calibri" w:hAnsi="Calibri" w:cs="Calibri"/>
        </w:rPr>
        <w:t>(</w:t>
      </w:r>
      <w:proofErr w:type="spellStart"/>
      <w:r w:rsidR="00ED431F" w:rsidRPr="00ED431F">
        <w:rPr>
          <w:rFonts w:ascii="Calibri" w:hAnsi="Calibri" w:cs="Calibri"/>
        </w:rPr>
        <w:t>Batalden</w:t>
      </w:r>
      <w:proofErr w:type="spellEnd"/>
      <w:r w:rsidR="00ED431F" w:rsidRPr="00ED431F">
        <w:rPr>
          <w:rFonts w:ascii="Calibri" w:hAnsi="Calibri" w:cs="Calibri"/>
        </w:rPr>
        <w:t xml:space="preserve"> et al. 2007)</w:t>
      </w:r>
      <w:r w:rsidR="00ED431F">
        <w:fldChar w:fldCharType="end"/>
      </w:r>
      <w:r w:rsidR="00ED431F">
        <w:t>, and c</w:t>
      </w:r>
      <w:r w:rsidR="00220E9B">
        <w:t xml:space="preserve">ould also manifest in an observed smooth decline. </w:t>
      </w:r>
    </w:p>
    <w:p w:rsidR="00F03FA1" w:rsidRDefault="00AD50EF">
      <w:pPr>
        <w:rPr>
          <w:b/>
        </w:rPr>
      </w:pPr>
      <w:r>
        <w:t xml:space="preserve">Pulsed changes in carrying capacity would be observed due to specific climatic events and changing land management practices.  Several extreme climate events affecting monarch overwintering survival have been documented in the past decades </w:t>
      </w:r>
      <w:r w:rsidR="00A9411C">
        <w:fldChar w:fldCharType="begin"/>
      </w:r>
      <w:r w:rsidR="00A9411C">
        <w:instrText xml:space="preserve"> ADDIN ZOTERO_ITEM CSL_CITATION {"citationID":"af3jvfa54g","properties":{"formattedCitation":"(Brower et al. 2004, 2015, Zalucki et al. 2015)","plainCitation":"(Brower et al. 2004, 2015, Zalucki et al. 2015)"},"citationItems":[{"id":1774,"uris":["http://zotero.org/users/3015424/items/R6HTQIHT"],"uri":["http://zotero.org/users/3015424/items/R6HTQIHT"],"itemData":{"id":1774,"type":"article-journal","title":"Catastrophic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Rey","given":"C"},{"family":"Pape","given":"Karen"}],"issued":{"date-parts":[["2004"]]}}},{"id":1789,"uris":["http://zotero.org/users/3015424/items/QB6ZFIUG"],"uri":["http://zotero.org/users/3015424/items/QB6ZFIUG"],"itemData":{"id":1789,"type":"chapter","title":"Effect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Isabel"}],"issued":{"date-parts":[["2015"]]}}},{"id":1790,"uris":["http://zotero.org/users/3015424/items/HF7J3S8G"],"uri":["http://zotero.org/users/3015424/items/HF7J3S8G"],"itemData":{"id":1790,"type":"article-journal","title":"Estimating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r w:rsidR="00A9411C">
        <w:fldChar w:fldCharType="separate"/>
      </w:r>
      <w:r w:rsidR="00A9411C" w:rsidRPr="00A9411C">
        <w:rPr>
          <w:rFonts w:ascii="Calibri" w:hAnsi="Calibri" w:cs="Calibri"/>
        </w:rPr>
        <w:t xml:space="preserve">(Brower et al. 2004, 2015, </w:t>
      </w:r>
      <w:proofErr w:type="spellStart"/>
      <w:r w:rsidR="00A9411C" w:rsidRPr="00A9411C">
        <w:rPr>
          <w:rFonts w:ascii="Calibri" w:hAnsi="Calibri" w:cs="Calibri"/>
        </w:rPr>
        <w:t>Zalucki</w:t>
      </w:r>
      <w:proofErr w:type="spellEnd"/>
      <w:r w:rsidR="00A9411C" w:rsidRPr="00A9411C">
        <w:rPr>
          <w:rFonts w:ascii="Calibri" w:hAnsi="Calibri" w:cs="Calibri"/>
        </w:rPr>
        <w:t xml:space="preserve"> et al. 2015)</w:t>
      </w:r>
      <w:r w:rsidR="00A9411C">
        <w:fldChar w:fldCharType="end"/>
      </w:r>
      <w:r w:rsidR="00C37E17">
        <w:t>.</w:t>
      </w:r>
      <w:r w:rsidR="00220E9B">
        <w:t xml:space="preserve"> However, </w:t>
      </w:r>
      <w:r w:rsidR="00220E9B">
        <w:lastRenderedPageBreak/>
        <w:t>assuming condi</w:t>
      </w:r>
      <w:r w:rsidR="00E4705D">
        <w:t>ti</w:t>
      </w:r>
      <w:r w:rsidR="00220E9B">
        <w:t>ons</w:t>
      </w:r>
      <w:r w:rsidR="00E4705D">
        <w:t xml:space="preserve"> largely return to previous averages after the climate event, we would not expect any one single extreme climate event to have</w:t>
      </w:r>
      <w:r w:rsidR="003F79D2">
        <w:t xml:space="preserve"> lasting,</w:t>
      </w:r>
      <w:r w:rsidR="00E4705D">
        <w:t xml:space="preserve"> multiple year impacts on the internal dynamic rule governing monarch population fluctuations. </w:t>
      </w:r>
      <w:r w:rsidR="00220E9B">
        <w:t xml:space="preserve"> </w:t>
      </w:r>
      <w:r w:rsidR="00110925">
        <w:t xml:space="preserve">Indeed, we observe </w:t>
      </w:r>
      <w:r w:rsidR="004E2AD0">
        <w:t>population densities at an outlying low density in 2013</w:t>
      </w:r>
      <w:r w:rsidR="004357F0">
        <w:t xml:space="preserve">-2014 (as described in </w:t>
      </w:r>
      <w:r w:rsidR="004357F0">
        <w:fldChar w:fldCharType="begin"/>
      </w:r>
      <w:r w:rsidR="004357F0">
        <w:instrText xml:space="preserve"> ADDIN ZOTERO_ITEM CSL_CITATION {"citationID":"a1j1pj38cts","properties":{"formattedCitation":"{\\rtf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 xml:space="preserve">(Vidal and </w:t>
      </w:r>
      <w:proofErr w:type="spellStart"/>
      <w:r w:rsidR="004357F0" w:rsidRPr="004357F0">
        <w:rPr>
          <w:rFonts w:ascii="Calibri" w:hAnsi="Calibri" w:cs="Calibri"/>
          <w:szCs w:val="24"/>
        </w:rPr>
        <w:t>Rendón</w:t>
      </w:r>
      <w:proofErr w:type="spellEnd"/>
      <w:r w:rsidR="004357F0" w:rsidRPr="004357F0">
        <w:rPr>
          <w:rFonts w:ascii="Calibri" w:hAnsi="Calibri" w:cs="Calibri"/>
          <w:szCs w:val="24"/>
        </w:rPr>
        <w:t>-Salinas 2014)</w:t>
      </w:r>
      <w:r w:rsidR="004357F0">
        <w:fldChar w:fldCharType="end"/>
      </w:r>
      <w:r w:rsidR="004357F0">
        <w:t>)</w:t>
      </w:r>
      <w:r w:rsidR="004E2AD0">
        <w:t xml:space="preserve"> return to previous dynamics in subsequent years.</w:t>
      </w:r>
      <w:r w:rsidR="00220E9B">
        <w:t xml:space="preserve"> </w:t>
      </w:r>
      <w:r w:rsidR="00E4705D">
        <w:t xml:space="preserve"> C</w:t>
      </w:r>
      <w:r w:rsidR="00C37E17">
        <w:t xml:space="preserve">hanging herbicide use practices </w:t>
      </w:r>
      <w:r w:rsidR="00220E9B">
        <w:t>in central North Amer</w:t>
      </w:r>
      <w:r w:rsidR="00E4705D">
        <w:t xml:space="preserve">ica, however, represent pulsed changes to new management states, and </w:t>
      </w:r>
      <w:r w:rsidR="00220E9B">
        <w:t>h</w:t>
      </w:r>
      <w:r w:rsidR="00E4705D">
        <w:t>ave</w:t>
      </w:r>
      <w:r w:rsidR="00220E9B">
        <w:t xml:space="preserve"> largely eliminated milkwee</w:t>
      </w:r>
      <w:r w:rsidR="00E4705D">
        <w:t>d from agricultural field crops</w:t>
      </w:r>
      <w:r w:rsidR="000E79AB">
        <w:t xml:space="preserve"> </w:t>
      </w:r>
      <w:r w:rsidR="000E79AB">
        <w:fldChar w:fldCharType="begin"/>
      </w:r>
      <w:r w:rsidR="000E79AB">
        <w:instrText xml:space="preserve"> ADDIN ZOTERO_ITEM CSL_CITATION {"citationID":"a23i0e7e6ii","properties":{"formattedCitation":"(Zaya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0E79AB">
        <w:fldChar w:fldCharType="separate"/>
      </w:r>
      <w:r w:rsidR="000E79AB" w:rsidRPr="000E79AB">
        <w:rPr>
          <w:rFonts w:ascii="Calibri" w:hAnsi="Calibri" w:cs="Calibri"/>
        </w:rPr>
        <w:t>(Zaya et al. 2017)</w:t>
      </w:r>
      <w:r w:rsidR="000E79AB">
        <w:fldChar w:fldCharType="end"/>
      </w:r>
      <w:r w:rsidR="00E4705D">
        <w:t>. This change in management, brought about by the introduction of glyphosate resistant soybeans and maize, has had the effect of</w:t>
      </w:r>
      <w:r w:rsidR="00220E9B">
        <w:t xml:space="preserve"> dramatically reducing </w:t>
      </w:r>
      <w:r w:rsidR="00E4705D">
        <w:t>the density of agricultural weeds, including milkweed, within agricultural fields.</w:t>
      </w:r>
      <w:r w:rsidR="002806C0">
        <w:t xml:space="preserve"> Indeed, although glyphosate tolerant soybeans and maize were </w:t>
      </w:r>
      <w:r w:rsidR="00731895">
        <w:t>introduced to the US market in 1996</w:t>
      </w:r>
      <w:r w:rsidR="002806C0">
        <w:t xml:space="preserve"> and </w:t>
      </w:r>
      <w:r w:rsidR="00731895">
        <w:t>1998</w:t>
      </w:r>
      <w:r w:rsidR="002806C0">
        <w:t xml:space="preserve"> respectively</w:t>
      </w:r>
      <w:r w:rsidR="00731895">
        <w:t xml:space="preserve"> </w:t>
      </w:r>
      <w:r w:rsidR="00731895">
        <w:fldChar w:fldCharType="begin"/>
      </w:r>
      <w:r w:rsidR="00731895">
        <w:instrText xml:space="preserve"> ADDIN ZOTERO_ITEM CSL_CITATION {"citationID":"a85p3n616h","properties":{"formattedCitation":"(Powles 2010)","plainCitation":"(Powles 2010)"},"citationItems":[{"id":1770,"uris":["http://zotero.org/users/3015424/items/MRPSQNIJ"],"uri":["http://zotero.org/users/3015424/items/MRPSQNIJ"],"itemData":{"id":1770,"type":"article-journal","title":"Glyphosate-resistant crops and weeds: now and in the future","author":[{"family":"Powles","given":"Stephen O Duke Stephen B"}],"issued":{"date-parts":[["2010"]]}}}],"schema":"https://github.com/citation-style-language/schema/raw/master/csl-citation.json"} </w:instrText>
      </w:r>
      <w:r w:rsidR="00731895">
        <w:fldChar w:fldCharType="separate"/>
      </w:r>
      <w:r w:rsidR="00731895" w:rsidRPr="00731895">
        <w:rPr>
          <w:rFonts w:ascii="Calibri" w:hAnsi="Calibri" w:cs="Calibri"/>
        </w:rPr>
        <w:t>(Powles 2010)</w:t>
      </w:r>
      <w:r w:rsidR="00731895">
        <w:fldChar w:fldCharType="end"/>
      </w:r>
      <w:r w:rsidR="002806C0">
        <w:t xml:space="preserve">,  </w:t>
      </w:r>
      <w:r w:rsidR="001A7639">
        <w:t xml:space="preserve">actual </w:t>
      </w:r>
      <w:r w:rsidR="002806C0">
        <w:t>glyphosate use lagged behind, with dramatic increased in use of the pesticide in 1998- 2003 in soybean</w:t>
      </w:r>
      <w:r w:rsidR="00731895">
        <w:t xml:space="preserve">, and 2007-2008 in maize </w:t>
      </w:r>
      <w:r w:rsidR="00731895">
        <w:fldChar w:fldCharType="begin"/>
      </w:r>
      <w:r w:rsidR="00731895">
        <w:instrText xml:space="preserve"> ADDIN ZOTERO_ITEM CSL_CITATION {"citationID":"a1hl1lc5gv6","properties":{"formattedCitation":"(Baker 2017)","plainCitation":"(Baker 2017)"},"citationItems":[{"id":1769,"uris":["http://zotero.org/users/3015424/items/THSXFBHU"],"uri":["http://zotero.org/users/3015424/items/THSXFBHU"],"itemData":{"id":1769,"type":"article-journal","title":"Estimated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731895">
        <w:fldChar w:fldCharType="separate"/>
      </w:r>
      <w:r w:rsidR="00731895" w:rsidRPr="00731895">
        <w:rPr>
          <w:rFonts w:ascii="Calibri" w:hAnsi="Calibri" w:cs="Calibri"/>
        </w:rPr>
        <w:t>(Baker 2017)</w:t>
      </w:r>
      <w:r w:rsidR="00731895">
        <w:fldChar w:fldCharType="end"/>
      </w:r>
      <w:r w:rsidR="001A7639">
        <w:t>. This pulsed increase in glyphosate use</w:t>
      </w:r>
      <w:r w:rsidR="00731895">
        <w:t xml:space="preserve"> roughly correspond to shifts detected by our script</w:t>
      </w:r>
      <w:r w:rsidR="001A7639">
        <w:t xml:space="preserve">, and glyphosate use in these crops has been implicated in monarch decline by multiple previous authors. </w:t>
      </w:r>
      <w:r w:rsidR="004E2AD0">
        <w:t xml:space="preserve"> Thus, findings from our regime shift detector tool could be used to pinpoint thresholds of herbicide use or critical areas of adoption in future investigations.</w:t>
      </w:r>
      <w:r w:rsidR="001A7639">
        <w:br/>
      </w:r>
      <w:r w:rsidR="001A7639">
        <w:br/>
      </w:r>
      <w:r w:rsidR="00F03FA1" w:rsidRPr="00633A5C">
        <w:rPr>
          <w:b/>
        </w:rPr>
        <w:t>Conclusions</w:t>
      </w:r>
    </w:p>
    <w:p w:rsidR="001207E1" w:rsidRDefault="004E2AD0" w:rsidP="00C90043">
      <w:r>
        <w:t xml:space="preserve">The regime shift detector script provides a new objective tool for examining </w:t>
      </w:r>
      <w:r w:rsidR="001207E1">
        <w:t xml:space="preserve">population regulation </w:t>
      </w:r>
      <w:r>
        <w:t xml:space="preserve">pattern shifts in natural populations. </w:t>
      </w:r>
      <w:r w:rsidR="001207E1">
        <w:t xml:space="preserve">However, like most quantitative analytical methods, its use is not without caveats, and results produced by the script should be critically examined within the context of what is known about species biology and ecology. </w:t>
      </w:r>
    </w:p>
    <w:p w:rsidR="00C90043" w:rsidRDefault="001207E1" w:rsidP="00C90043">
      <w:r>
        <w:t xml:space="preserve">The </w:t>
      </w:r>
      <w:r w:rsidR="00BD1F08">
        <w:t xml:space="preserve">regime shift detector </w:t>
      </w:r>
      <w:r>
        <w:t>tool, as is, represents a compromise between sensitivity and simplicity.  We have illustrated through case studies how the i</w:t>
      </w:r>
      <w:r w:rsidR="00C90043">
        <w:t>nformation criteria used and decision rules for cutoff have a dramatic impact on the results</w:t>
      </w:r>
      <w:r>
        <w:t xml:space="preserve"> of the script, and thus </w:t>
      </w:r>
      <w:r w:rsidR="00C90043">
        <w:t xml:space="preserve">should be considered critically before drawing any conclusions </w:t>
      </w:r>
      <w:proofErr w:type="gramStart"/>
      <w:r w:rsidR="00C90043">
        <w:t>by the use of</w:t>
      </w:r>
      <w:proofErr w:type="gramEnd"/>
      <w:r w:rsidR="00C90043">
        <w:t xml:space="preserve"> this tool.</w:t>
      </w:r>
      <w:r>
        <w:t xml:space="preserve">  Similarly, we recommend a user carefully consider the limitations of the tool in the context of the raw data presented: if phases of change are too short to be detected by the script</w:t>
      </w:r>
      <w:r w:rsidR="00BD1F08">
        <w:t>, its ability to detect these shifts will be limited, and the resultant variation may reduce the script’s sensitivity for detecting other shifts in the data.</w:t>
      </w:r>
      <w:r w:rsidR="003F79D2">
        <w:t xml:space="preserve"> As we have demonstrated herein, alternate dyn</w:t>
      </w:r>
      <w:r w:rsidR="008D37F3">
        <w:t>amics should be considered, and compared to script outputs, for a holistic interpretation.</w:t>
      </w:r>
    </w:p>
    <w:p w:rsidR="00C90043" w:rsidRDefault="00BD1F08" w:rsidP="00C90043">
      <w:r>
        <w:t xml:space="preserve">When interpreted in the context of known species biology, the regime shift detector script has the potential to aide management decisions and identify, and rank critical drivers of change in </w:t>
      </w:r>
      <w:proofErr w:type="gramStart"/>
      <w:r>
        <w:t>a species internal dynamics</w:t>
      </w:r>
      <w:proofErr w:type="gramEnd"/>
      <w:r>
        <w:t xml:space="preserve">. </w:t>
      </w:r>
      <w:r w:rsidRPr="00BD1F08">
        <w:t xml:space="preserve">In an era of rapid global change affecting species dynamics, it is critical to use tools which allow better understanding of changes to internal regulators of population, and not base management decisions on population numbers alone.  </w:t>
      </w:r>
    </w:p>
    <w:p w:rsidR="00C90043" w:rsidRDefault="00C90043">
      <w:pPr>
        <w:rPr>
          <w:b/>
        </w:rPr>
      </w:pPr>
    </w:p>
    <w:p w:rsidR="00C90043" w:rsidRPr="00633A5C" w:rsidRDefault="00C90043">
      <w:pPr>
        <w:rPr>
          <w:b/>
        </w:rPr>
      </w:pPr>
    </w:p>
    <w:p w:rsidR="00F03FA1" w:rsidRPr="00633A5C" w:rsidRDefault="00F03FA1">
      <w:pPr>
        <w:rPr>
          <w:b/>
        </w:rPr>
      </w:pPr>
      <w:r w:rsidRPr="00633A5C">
        <w:rPr>
          <w:b/>
        </w:rPr>
        <w:t>References</w:t>
      </w:r>
    </w:p>
    <w:p w:rsidR="00A755B5" w:rsidRPr="00A755B5" w:rsidRDefault="005F269F" w:rsidP="00A755B5">
      <w:pPr>
        <w:pStyle w:val="Bibliography"/>
        <w:rPr>
          <w:rFonts w:ascii="Calibri" w:hAnsi="Calibri" w:cs="Calibri"/>
        </w:rPr>
      </w:pPr>
      <w:r>
        <w:fldChar w:fldCharType="begin"/>
      </w:r>
      <w:r w:rsidR="00AC2705">
        <w:instrText xml:space="preserve"> ADDIN ZOTERO_BIBL {"custom":[]} CSL_BIBLIOGRAPHY </w:instrText>
      </w:r>
      <w:r>
        <w:fldChar w:fldCharType="separate"/>
      </w:r>
      <w:r w:rsidR="00A755B5" w:rsidRPr="00A755B5">
        <w:rPr>
          <w:rFonts w:ascii="Calibri" w:hAnsi="Calibri" w:cs="Calibri"/>
          <w:b/>
          <w:bCs/>
        </w:rPr>
        <w:t>Bahlai, C. A., M. Colunga-Garcia, S. H. Gage, and D. A. Landis</w:t>
      </w:r>
      <w:r w:rsidR="00A755B5" w:rsidRPr="00A755B5">
        <w:rPr>
          <w:rFonts w:ascii="Calibri" w:hAnsi="Calibri" w:cs="Calibri"/>
        </w:rPr>
        <w:t xml:space="preserve">. </w:t>
      </w:r>
      <w:r w:rsidR="00A755B5" w:rsidRPr="00A755B5">
        <w:rPr>
          <w:rFonts w:ascii="Calibri" w:hAnsi="Calibri" w:cs="Calibri"/>
          <w:b/>
          <w:bCs/>
        </w:rPr>
        <w:t>2013</w:t>
      </w:r>
      <w:r w:rsidR="00A755B5" w:rsidRPr="00A755B5">
        <w:rPr>
          <w:rFonts w:ascii="Calibri" w:hAnsi="Calibri" w:cs="Calibri"/>
        </w:rPr>
        <w:t xml:space="preserve">. Long term functional dynamics of an </w:t>
      </w:r>
      <w:proofErr w:type="spellStart"/>
      <w:r w:rsidR="00A755B5" w:rsidRPr="00A755B5">
        <w:rPr>
          <w:rFonts w:ascii="Calibri" w:hAnsi="Calibri" w:cs="Calibri"/>
        </w:rPr>
        <w:t>aphidophagous</w:t>
      </w:r>
      <w:proofErr w:type="spellEnd"/>
      <w:r w:rsidR="00A755B5" w:rsidRPr="00A755B5">
        <w:rPr>
          <w:rFonts w:ascii="Calibri" w:hAnsi="Calibri" w:cs="Calibri"/>
        </w:rPr>
        <w:t xml:space="preserve"> coccinellid community are unchanged in response to repeated invasion. </w:t>
      </w:r>
      <w:proofErr w:type="spellStart"/>
      <w:r w:rsidR="00A755B5" w:rsidRPr="00A755B5">
        <w:rPr>
          <w:rFonts w:ascii="Calibri" w:hAnsi="Calibri" w:cs="Calibri"/>
        </w:rPr>
        <w:t>PLoS</w:t>
      </w:r>
      <w:proofErr w:type="spellEnd"/>
      <w:r w:rsidR="00A755B5" w:rsidRPr="00A755B5">
        <w:rPr>
          <w:rFonts w:ascii="Calibri" w:hAnsi="Calibri" w:cs="Calibri"/>
        </w:rPr>
        <w:t xml:space="preserve"> One. 8: e83407.</w:t>
      </w:r>
    </w:p>
    <w:p w:rsidR="00A755B5" w:rsidRPr="00A755B5" w:rsidRDefault="00A755B5" w:rsidP="00A755B5">
      <w:pPr>
        <w:pStyle w:val="Bibliography"/>
        <w:rPr>
          <w:rFonts w:ascii="Calibri" w:hAnsi="Calibri" w:cs="Calibri"/>
        </w:rPr>
      </w:pPr>
      <w:r w:rsidRPr="00A755B5">
        <w:rPr>
          <w:rFonts w:ascii="Calibri" w:hAnsi="Calibri" w:cs="Calibri"/>
          <w:b/>
          <w:bCs/>
        </w:rPr>
        <w:lastRenderedPageBreak/>
        <w:t>Bahlai, C. A., and M. K. Sears</w:t>
      </w:r>
      <w:r w:rsidRPr="00A755B5">
        <w:rPr>
          <w:rFonts w:ascii="Calibri" w:hAnsi="Calibri" w:cs="Calibri"/>
        </w:rPr>
        <w:t xml:space="preserve">. </w:t>
      </w:r>
      <w:r w:rsidRPr="00A755B5">
        <w:rPr>
          <w:rFonts w:ascii="Calibri" w:hAnsi="Calibri" w:cs="Calibri"/>
          <w:b/>
          <w:bCs/>
        </w:rPr>
        <w:t>2009</w:t>
      </w:r>
      <w:r w:rsidRPr="00A755B5">
        <w:rPr>
          <w:rFonts w:ascii="Calibri" w:hAnsi="Calibri" w:cs="Calibri"/>
        </w:rPr>
        <w:t xml:space="preserve">. Population dynamics of Harmonia </w:t>
      </w:r>
      <w:proofErr w:type="spellStart"/>
      <w:r w:rsidRPr="00A755B5">
        <w:rPr>
          <w:rFonts w:ascii="Calibri" w:hAnsi="Calibri" w:cs="Calibri"/>
        </w:rPr>
        <w:t>axyridis</w:t>
      </w:r>
      <w:proofErr w:type="spellEnd"/>
      <w:r w:rsidRPr="00A755B5">
        <w:rPr>
          <w:rFonts w:ascii="Calibri" w:hAnsi="Calibri" w:cs="Calibri"/>
        </w:rPr>
        <w:t xml:space="preserve"> and Aphis </w:t>
      </w:r>
      <w:proofErr w:type="spellStart"/>
      <w:r w:rsidRPr="00A755B5">
        <w:rPr>
          <w:rFonts w:ascii="Calibri" w:hAnsi="Calibri" w:cs="Calibri"/>
        </w:rPr>
        <w:t>glycines</w:t>
      </w:r>
      <w:proofErr w:type="spellEnd"/>
      <w:r w:rsidRPr="00A755B5">
        <w:rPr>
          <w:rFonts w:ascii="Calibri" w:hAnsi="Calibri" w:cs="Calibri"/>
        </w:rPr>
        <w:t xml:space="preserve"> in Niagara Peninsula soybean fields and vineyards. Journal of the Entomological Society of Ontario. 140: 27–39.</w:t>
      </w:r>
    </w:p>
    <w:p w:rsidR="00A755B5" w:rsidRPr="00A755B5" w:rsidRDefault="00A755B5" w:rsidP="00A755B5">
      <w:pPr>
        <w:pStyle w:val="Bibliography"/>
        <w:rPr>
          <w:rFonts w:ascii="Calibri" w:hAnsi="Calibri" w:cs="Calibri"/>
        </w:rPr>
      </w:pPr>
      <w:r w:rsidRPr="00A755B5">
        <w:rPr>
          <w:rFonts w:ascii="Calibri" w:hAnsi="Calibri" w:cs="Calibri"/>
          <w:b/>
          <w:bCs/>
        </w:rPr>
        <w:t>Bahlai, C. A., W. vander Werf, M. O’Neal, L. Hemerik, and D. A. Landis</w:t>
      </w:r>
      <w:r w:rsidRPr="00A755B5">
        <w:rPr>
          <w:rFonts w:ascii="Calibri" w:hAnsi="Calibri" w:cs="Calibri"/>
        </w:rPr>
        <w:t xml:space="preserve">. </w:t>
      </w:r>
      <w:r w:rsidRPr="00A755B5">
        <w:rPr>
          <w:rFonts w:ascii="Calibri" w:hAnsi="Calibri" w:cs="Calibri"/>
          <w:b/>
          <w:bCs/>
        </w:rPr>
        <w:t>2015</w:t>
      </w:r>
      <w:r w:rsidRPr="00A755B5">
        <w:rPr>
          <w:rFonts w:ascii="Calibri" w:hAnsi="Calibri" w:cs="Calibri"/>
        </w:rPr>
        <w:t>. Shifts in dynamic regime of an invasive lady beetle are linked to the invasion and insecticidal management of its prey. Ecological Applications.</w:t>
      </w:r>
    </w:p>
    <w:p w:rsidR="00A755B5" w:rsidRPr="00A755B5" w:rsidRDefault="00A755B5" w:rsidP="00A755B5">
      <w:pPr>
        <w:pStyle w:val="Bibliography"/>
        <w:rPr>
          <w:rFonts w:ascii="Calibri" w:hAnsi="Calibri" w:cs="Calibri"/>
        </w:rPr>
      </w:pPr>
      <w:r w:rsidRPr="00A755B5">
        <w:rPr>
          <w:rFonts w:ascii="Calibri" w:hAnsi="Calibri" w:cs="Calibri"/>
          <w:b/>
          <w:bCs/>
        </w:rPr>
        <w:t>Bahlai, C., M. Colunga-Garcia, S. Gage, and D. Landis</w:t>
      </w:r>
      <w:r w:rsidRPr="00A755B5">
        <w:rPr>
          <w:rFonts w:ascii="Calibri" w:hAnsi="Calibri" w:cs="Calibri"/>
        </w:rPr>
        <w:t xml:space="preserve">. </w:t>
      </w:r>
      <w:r w:rsidRPr="00A755B5">
        <w:rPr>
          <w:rFonts w:ascii="Calibri" w:hAnsi="Calibri" w:cs="Calibri"/>
          <w:b/>
          <w:bCs/>
        </w:rPr>
        <w:t>2015</w:t>
      </w:r>
      <w:r w:rsidRPr="00A755B5">
        <w:rPr>
          <w:rFonts w:ascii="Calibri" w:hAnsi="Calibri" w:cs="Calibri"/>
        </w:rPr>
        <w:t xml:space="preserve">. The role of exotic ladybeetles in the decline of native ladybeetle populations: evidence from long-term monitoring. </w:t>
      </w:r>
      <w:proofErr w:type="spellStart"/>
      <w:r w:rsidRPr="00A755B5">
        <w:rPr>
          <w:rFonts w:ascii="Calibri" w:hAnsi="Calibri" w:cs="Calibri"/>
        </w:rPr>
        <w:t>Biol</w:t>
      </w:r>
      <w:proofErr w:type="spellEnd"/>
      <w:r w:rsidRPr="00A755B5">
        <w:rPr>
          <w:rFonts w:ascii="Calibri" w:hAnsi="Calibri" w:cs="Calibri"/>
        </w:rPr>
        <w:t xml:space="preserve"> Invasions. 17: 1005–1024.</w:t>
      </w:r>
    </w:p>
    <w:p w:rsidR="00A755B5" w:rsidRPr="00A755B5" w:rsidRDefault="00A755B5" w:rsidP="00A755B5">
      <w:pPr>
        <w:pStyle w:val="Bibliography"/>
        <w:rPr>
          <w:rFonts w:ascii="Calibri" w:hAnsi="Calibri" w:cs="Calibri"/>
        </w:rPr>
      </w:pPr>
      <w:r w:rsidRPr="00A755B5">
        <w:rPr>
          <w:rFonts w:ascii="Calibri" w:hAnsi="Calibri" w:cs="Calibri"/>
          <w:b/>
          <w:bCs/>
        </w:rPr>
        <w:t>Baker, N. T.</w:t>
      </w:r>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Estimated annual agricultural pesticide use by crop group for states of the conterminous United States, 1992-2014. National Water Quality Assessment Program.</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Batalden</w:t>
      </w:r>
      <w:proofErr w:type="spellEnd"/>
      <w:r w:rsidRPr="00A755B5">
        <w:rPr>
          <w:rFonts w:ascii="Calibri" w:hAnsi="Calibri" w:cs="Calibri"/>
          <w:b/>
          <w:bCs/>
        </w:rPr>
        <w:t xml:space="preserve">, R. V., K. </w:t>
      </w:r>
      <w:proofErr w:type="spellStart"/>
      <w:r w:rsidRPr="00A755B5">
        <w:rPr>
          <w:rFonts w:ascii="Calibri" w:hAnsi="Calibri" w:cs="Calibri"/>
          <w:b/>
          <w:bCs/>
        </w:rPr>
        <w:t>Oberhauser</w:t>
      </w:r>
      <w:proofErr w:type="spellEnd"/>
      <w:r w:rsidRPr="00A755B5">
        <w:rPr>
          <w:rFonts w:ascii="Calibri" w:hAnsi="Calibri" w:cs="Calibri"/>
          <w:b/>
          <w:bCs/>
        </w:rPr>
        <w:t>, and A. T. Peterson</w:t>
      </w:r>
      <w:r w:rsidRPr="00A755B5">
        <w:rPr>
          <w:rFonts w:ascii="Calibri" w:hAnsi="Calibri" w:cs="Calibri"/>
        </w:rPr>
        <w:t xml:space="preserve">. </w:t>
      </w:r>
      <w:r w:rsidRPr="00A755B5">
        <w:rPr>
          <w:rFonts w:ascii="Calibri" w:hAnsi="Calibri" w:cs="Calibri"/>
          <w:b/>
          <w:bCs/>
        </w:rPr>
        <w:t>2007</w:t>
      </w:r>
      <w:r w:rsidRPr="00A755B5">
        <w:rPr>
          <w:rFonts w:ascii="Calibri" w:hAnsi="Calibri" w:cs="Calibri"/>
        </w:rPr>
        <w:t xml:space="preserve">. Ecological Niches in Sequential Generations of Eastern North American Monarch Butterflies (Lepidoptera: </w:t>
      </w:r>
      <w:proofErr w:type="spellStart"/>
      <w:r w:rsidRPr="00A755B5">
        <w:rPr>
          <w:rFonts w:ascii="Calibri" w:hAnsi="Calibri" w:cs="Calibri"/>
        </w:rPr>
        <w:t>Danaidae</w:t>
      </w:r>
      <w:proofErr w:type="spellEnd"/>
      <w:r w:rsidRPr="00A755B5">
        <w:rPr>
          <w:rFonts w:ascii="Calibri" w:hAnsi="Calibri" w:cs="Calibri"/>
        </w:rPr>
        <w:t>): The Ecology of Migration and Likely Climate Change Implications. Environmental Entomology. 36: 1365–1373.</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Bjørnstad</w:t>
      </w:r>
      <w:proofErr w:type="spellEnd"/>
      <w:r w:rsidRPr="00A755B5">
        <w:rPr>
          <w:rFonts w:ascii="Calibri" w:hAnsi="Calibri" w:cs="Calibri"/>
          <w:b/>
          <w:bCs/>
        </w:rPr>
        <w:t>, O. N., and B. T. Grenfell</w:t>
      </w:r>
      <w:r w:rsidRPr="00A755B5">
        <w:rPr>
          <w:rFonts w:ascii="Calibri" w:hAnsi="Calibri" w:cs="Calibri"/>
        </w:rPr>
        <w:t xml:space="preserve">. </w:t>
      </w:r>
      <w:r w:rsidRPr="00A755B5">
        <w:rPr>
          <w:rFonts w:ascii="Calibri" w:hAnsi="Calibri" w:cs="Calibri"/>
          <w:b/>
          <w:bCs/>
        </w:rPr>
        <w:t>2001</w:t>
      </w:r>
      <w:r w:rsidRPr="00A755B5">
        <w:rPr>
          <w:rFonts w:ascii="Calibri" w:hAnsi="Calibri" w:cs="Calibri"/>
        </w:rPr>
        <w:t>. Noisy Clockwork: Time Series Analysis of Population Fluctuations in Animals. Science. 293: 638.</w:t>
      </w:r>
    </w:p>
    <w:p w:rsidR="00A755B5" w:rsidRPr="00A755B5" w:rsidRDefault="00A755B5" w:rsidP="00A755B5">
      <w:pPr>
        <w:pStyle w:val="Bibliography"/>
        <w:rPr>
          <w:rFonts w:ascii="Calibri" w:hAnsi="Calibri" w:cs="Calibri"/>
        </w:rPr>
      </w:pPr>
      <w:r w:rsidRPr="00A755B5">
        <w:rPr>
          <w:rFonts w:ascii="Calibri" w:hAnsi="Calibri" w:cs="Calibri"/>
          <w:b/>
          <w:bCs/>
        </w:rPr>
        <w:t xml:space="preserve">Brower, L. P., L. S. Fink, R. J. </w:t>
      </w:r>
      <w:proofErr w:type="spellStart"/>
      <w:r w:rsidRPr="00A755B5">
        <w:rPr>
          <w:rFonts w:ascii="Calibri" w:hAnsi="Calibri" w:cs="Calibri"/>
          <w:b/>
          <w:bCs/>
        </w:rPr>
        <w:t>Kiphart</w:t>
      </w:r>
      <w:proofErr w:type="spellEnd"/>
      <w:r w:rsidRPr="00A755B5">
        <w:rPr>
          <w:rFonts w:ascii="Calibri" w:hAnsi="Calibri" w:cs="Calibri"/>
          <w:b/>
          <w:bCs/>
        </w:rPr>
        <w:t xml:space="preserve">, V. </w:t>
      </w:r>
      <w:proofErr w:type="spellStart"/>
      <w:r w:rsidRPr="00A755B5">
        <w:rPr>
          <w:rFonts w:ascii="Calibri" w:hAnsi="Calibri" w:cs="Calibri"/>
          <w:b/>
          <w:bCs/>
        </w:rPr>
        <w:t>Pocius</w:t>
      </w:r>
      <w:proofErr w:type="spellEnd"/>
      <w:r w:rsidRPr="00A755B5">
        <w:rPr>
          <w:rFonts w:ascii="Calibri" w:hAnsi="Calibri" w:cs="Calibri"/>
          <w:b/>
          <w:bCs/>
        </w:rPr>
        <w:t xml:space="preserve">, R. R. </w:t>
      </w:r>
      <w:proofErr w:type="spellStart"/>
      <w:r w:rsidRPr="00A755B5">
        <w:rPr>
          <w:rFonts w:ascii="Calibri" w:hAnsi="Calibri" w:cs="Calibri"/>
          <w:b/>
          <w:bCs/>
        </w:rPr>
        <w:t>Zubieta</w:t>
      </w:r>
      <w:proofErr w:type="spellEnd"/>
      <w:r w:rsidRPr="00A755B5">
        <w:rPr>
          <w:rFonts w:ascii="Calibri" w:hAnsi="Calibri" w:cs="Calibri"/>
          <w:b/>
          <w:bCs/>
        </w:rPr>
        <w:t>, and M. I. Ramírez</w:t>
      </w:r>
      <w:r w:rsidRPr="00A755B5">
        <w:rPr>
          <w:rFonts w:ascii="Calibri" w:hAnsi="Calibri" w:cs="Calibri"/>
        </w:rPr>
        <w:t xml:space="preserve">. </w:t>
      </w:r>
      <w:r w:rsidRPr="00A755B5">
        <w:rPr>
          <w:rFonts w:ascii="Calibri" w:hAnsi="Calibri" w:cs="Calibri"/>
          <w:b/>
          <w:bCs/>
        </w:rPr>
        <w:t>2015</w:t>
      </w:r>
      <w:r w:rsidRPr="00A755B5">
        <w:rPr>
          <w:rFonts w:ascii="Calibri" w:hAnsi="Calibri" w:cs="Calibri"/>
        </w:rPr>
        <w:t xml:space="preserve">. Effect of the 2010–2011 drought on the lipid content of monarchs migrating through Texas to overwintering sites in Mexico, pp. 117–129. </w:t>
      </w:r>
      <w:r w:rsidRPr="00A755B5">
        <w:rPr>
          <w:rFonts w:ascii="Calibri" w:hAnsi="Calibri" w:cs="Calibri"/>
          <w:i/>
          <w:iCs/>
        </w:rPr>
        <w:t>In</w:t>
      </w:r>
      <w:r w:rsidRPr="00A755B5">
        <w:rPr>
          <w:rFonts w:ascii="Calibri" w:hAnsi="Calibri" w:cs="Calibri"/>
        </w:rPr>
        <w:t xml:space="preserve"> Monarchs in a Changing World: Biology and Conservation of an Iconic Butterfly. Cornell University Press.</w:t>
      </w:r>
    </w:p>
    <w:p w:rsidR="00A755B5" w:rsidRPr="00A755B5" w:rsidRDefault="00A755B5" w:rsidP="00A755B5">
      <w:pPr>
        <w:pStyle w:val="Bibliography"/>
        <w:rPr>
          <w:rFonts w:ascii="Calibri" w:hAnsi="Calibri" w:cs="Calibri"/>
        </w:rPr>
      </w:pPr>
      <w:r w:rsidRPr="00A755B5">
        <w:rPr>
          <w:rFonts w:ascii="Calibri" w:hAnsi="Calibri" w:cs="Calibri"/>
          <w:b/>
          <w:bCs/>
        </w:rPr>
        <w:t xml:space="preserve">Brower, L. P., D. R. </w:t>
      </w:r>
      <w:proofErr w:type="spellStart"/>
      <w:r w:rsidRPr="00A755B5">
        <w:rPr>
          <w:rFonts w:ascii="Calibri" w:hAnsi="Calibri" w:cs="Calibri"/>
          <w:b/>
          <w:bCs/>
        </w:rPr>
        <w:t>Kust</w:t>
      </w:r>
      <w:proofErr w:type="spellEnd"/>
      <w:r w:rsidRPr="00A755B5">
        <w:rPr>
          <w:rFonts w:ascii="Calibri" w:hAnsi="Calibri" w:cs="Calibri"/>
          <w:b/>
          <w:bCs/>
        </w:rPr>
        <w:t xml:space="preserve">, E. Rendon-Salinas, E. G. Serrano, K. R. </w:t>
      </w:r>
      <w:proofErr w:type="spellStart"/>
      <w:r w:rsidRPr="00A755B5">
        <w:rPr>
          <w:rFonts w:ascii="Calibri" w:hAnsi="Calibri" w:cs="Calibri"/>
          <w:b/>
          <w:bCs/>
        </w:rPr>
        <w:t>Kust</w:t>
      </w:r>
      <w:proofErr w:type="spellEnd"/>
      <w:r w:rsidRPr="00A755B5">
        <w:rPr>
          <w:rFonts w:ascii="Calibri" w:hAnsi="Calibri" w:cs="Calibri"/>
          <w:b/>
          <w:bCs/>
        </w:rPr>
        <w:t>, J. Miller, C. Fernandez del Rey, and K. Pape</w:t>
      </w:r>
      <w:r w:rsidRPr="00A755B5">
        <w:rPr>
          <w:rFonts w:ascii="Calibri" w:hAnsi="Calibri" w:cs="Calibri"/>
        </w:rPr>
        <w:t xml:space="preserve">. </w:t>
      </w:r>
      <w:r w:rsidRPr="00A755B5">
        <w:rPr>
          <w:rFonts w:ascii="Calibri" w:hAnsi="Calibri" w:cs="Calibri"/>
          <w:b/>
          <w:bCs/>
        </w:rPr>
        <w:t>2004</w:t>
      </w:r>
      <w:r w:rsidRPr="00A755B5">
        <w:rPr>
          <w:rFonts w:ascii="Calibri" w:hAnsi="Calibri" w:cs="Calibri"/>
        </w:rPr>
        <w:t>. Catastrophic winter storm mortality of monarch butterflies in Mexico during January 2002. The Monarch butterfly: biology and conservation. 151–166.</w:t>
      </w:r>
    </w:p>
    <w:p w:rsidR="00A755B5" w:rsidRPr="00A755B5" w:rsidRDefault="00A755B5" w:rsidP="00A755B5">
      <w:pPr>
        <w:pStyle w:val="Bibliography"/>
        <w:rPr>
          <w:rFonts w:ascii="Calibri" w:hAnsi="Calibri" w:cs="Calibri"/>
        </w:rPr>
      </w:pPr>
      <w:r w:rsidRPr="00A755B5">
        <w:rPr>
          <w:rFonts w:ascii="Calibri" w:hAnsi="Calibri" w:cs="Calibri"/>
          <w:b/>
          <w:bCs/>
        </w:rPr>
        <w:t xml:space="preserve">Brower, L. P., D. A. </w:t>
      </w:r>
      <w:proofErr w:type="spellStart"/>
      <w:r w:rsidRPr="00A755B5">
        <w:rPr>
          <w:rFonts w:ascii="Calibri" w:hAnsi="Calibri" w:cs="Calibri"/>
          <w:b/>
          <w:bCs/>
        </w:rPr>
        <w:t>Slayback</w:t>
      </w:r>
      <w:proofErr w:type="spellEnd"/>
      <w:r w:rsidRPr="00A755B5">
        <w:rPr>
          <w:rFonts w:ascii="Calibri" w:hAnsi="Calibri" w:cs="Calibri"/>
          <w:b/>
          <w:bCs/>
        </w:rPr>
        <w:t xml:space="preserve">, P. Jaramillo-López, I. Ramirez, K. S. </w:t>
      </w:r>
      <w:proofErr w:type="spellStart"/>
      <w:r w:rsidRPr="00A755B5">
        <w:rPr>
          <w:rFonts w:ascii="Calibri" w:hAnsi="Calibri" w:cs="Calibri"/>
          <w:b/>
          <w:bCs/>
        </w:rPr>
        <w:t>Oberhauser</w:t>
      </w:r>
      <w:proofErr w:type="spellEnd"/>
      <w:r w:rsidRPr="00A755B5">
        <w:rPr>
          <w:rFonts w:ascii="Calibri" w:hAnsi="Calibri" w:cs="Calibri"/>
          <w:b/>
          <w:bCs/>
        </w:rPr>
        <w:t>, E. H. Williams, and L. S. Fink</w:t>
      </w:r>
      <w:r w:rsidRPr="00A755B5">
        <w:rPr>
          <w:rFonts w:ascii="Calibri" w:hAnsi="Calibri" w:cs="Calibri"/>
        </w:rPr>
        <w:t xml:space="preserve">. </w:t>
      </w:r>
      <w:r w:rsidRPr="00A755B5">
        <w:rPr>
          <w:rFonts w:ascii="Calibri" w:hAnsi="Calibri" w:cs="Calibri"/>
          <w:b/>
          <w:bCs/>
        </w:rPr>
        <w:t>2016</w:t>
      </w:r>
      <w:r w:rsidRPr="00A755B5">
        <w:rPr>
          <w:rFonts w:ascii="Calibri" w:hAnsi="Calibri" w:cs="Calibri"/>
        </w:rPr>
        <w:t xml:space="preserve">. Illegal logging of 10 hectares of forest in the Sierra </w:t>
      </w:r>
      <w:proofErr w:type="spellStart"/>
      <w:r w:rsidRPr="00A755B5">
        <w:rPr>
          <w:rFonts w:ascii="Calibri" w:hAnsi="Calibri" w:cs="Calibri"/>
        </w:rPr>
        <w:t>Chincua</w:t>
      </w:r>
      <w:proofErr w:type="spellEnd"/>
      <w:r w:rsidRPr="00A755B5">
        <w:rPr>
          <w:rFonts w:ascii="Calibri" w:hAnsi="Calibri" w:cs="Calibri"/>
        </w:rPr>
        <w:t xml:space="preserve"> monarch butterfly overwintering area in Mexico. American Entomologist. 62: 92–97.</w:t>
      </w:r>
    </w:p>
    <w:p w:rsidR="00A755B5" w:rsidRPr="00A755B5" w:rsidRDefault="00A755B5" w:rsidP="00A755B5">
      <w:pPr>
        <w:pStyle w:val="Bibliography"/>
        <w:rPr>
          <w:rFonts w:ascii="Calibri" w:hAnsi="Calibri" w:cs="Calibri"/>
        </w:rPr>
      </w:pPr>
      <w:r w:rsidRPr="00A755B5">
        <w:rPr>
          <w:rFonts w:ascii="Calibri" w:hAnsi="Calibri" w:cs="Calibri"/>
          <w:b/>
          <w:bCs/>
        </w:rPr>
        <w:t>Burnham, K. P., and D. R. Anderson</w:t>
      </w:r>
      <w:r w:rsidRPr="00A755B5">
        <w:rPr>
          <w:rFonts w:ascii="Calibri" w:hAnsi="Calibri" w:cs="Calibri"/>
        </w:rPr>
        <w:t xml:space="preserve">. </w:t>
      </w:r>
      <w:r w:rsidRPr="00A755B5">
        <w:rPr>
          <w:rFonts w:ascii="Calibri" w:hAnsi="Calibri" w:cs="Calibri"/>
          <w:b/>
          <w:bCs/>
        </w:rPr>
        <w:t>2002</w:t>
      </w:r>
      <w:r w:rsidRPr="00A755B5">
        <w:rPr>
          <w:rFonts w:ascii="Calibri" w:hAnsi="Calibri" w:cs="Calibri"/>
        </w:rPr>
        <w:t>. Model selection and multimodal inference: a practical information-theoretic approach, 2nd ed. Springer Science + Business Media, LLC, New York.</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Elzhov</w:t>
      </w:r>
      <w:proofErr w:type="spellEnd"/>
      <w:r w:rsidRPr="00A755B5">
        <w:rPr>
          <w:rFonts w:ascii="Calibri" w:hAnsi="Calibri" w:cs="Calibri"/>
          <w:b/>
          <w:bCs/>
        </w:rPr>
        <w:t xml:space="preserve">, T. V., K. M. Mullen, A.-N. </w:t>
      </w:r>
      <w:proofErr w:type="spellStart"/>
      <w:r w:rsidRPr="00A755B5">
        <w:rPr>
          <w:rFonts w:ascii="Calibri" w:hAnsi="Calibri" w:cs="Calibri"/>
          <w:b/>
          <w:bCs/>
        </w:rPr>
        <w:t>Spiess</w:t>
      </w:r>
      <w:proofErr w:type="spellEnd"/>
      <w:r w:rsidRPr="00A755B5">
        <w:rPr>
          <w:rFonts w:ascii="Calibri" w:hAnsi="Calibri" w:cs="Calibri"/>
          <w:b/>
          <w:bCs/>
        </w:rPr>
        <w:t xml:space="preserve">, and B. </w:t>
      </w:r>
      <w:proofErr w:type="spellStart"/>
      <w:r w:rsidRPr="00A755B5">
        <w:rPr>
          <w:rFonts w:ascii="Calibri" w:hAnsi="Calibri" w:cs="Calibri"/>
          <w:b/>
          <w:bCs/>
        </w:rPr>
        <w:t>Bolker</w:t>
      </w:r>
      <w:proofErr w:type="spellEnd"/>
      <w:r w:rsidRPr="00A755B5">
        <w:rPr>
          <w:rFonts w:ascii="Calibri" w:hAnsi="Calibri" w:cs="Calibri"/>
        </w:rPr>
        <w:t xml:space="preserve">. </w:t>
      </w:r>
      <w:r w:rsidRPr="00A755B5">
        <w:rPr>
          <w:rFonts w:ascii="Calibri" w:hAnsi="Calibri" w:cs="Calibri"/>
          <w:b/>
          <w:bCs/>
        </w:rPr>
        <w:t>2016</w:t>
      </w:r>
      <w:r w:rsidRPr="00A755B5">
        <w:rPr>
          <w:rFonts w:ascii="Calibri" w:hAnsi="Calibri" w:cs="Calibri"/>
        </w:rPr>
        <w:t xml:space="preserve">. </w:t>
      </w:r>
      <w:proofErr w:type="spellStart"/>
      <w:r w:rsidRPr="00A755B5">
        <w:rPr>
          <w:rFonts w:ascii="Calibri" w:hAnsi="Calibri" w:cs="Calibri"/>
        </w:rPr>
        <w:t>minpack</w:t>
      </w:r>
      <w:proofErr w:type="spellEnd"/>
      <w:r w:rsidRPr="00A755B5">
        <w:rPr>
          <w:rFonts w:ascii="Calibri" w:hAnsi="Calibri" w:cs="Calibri"/>
        </w:rPr>
        <w:t xml:space="preserve">. </w:t>
      </w:r>
      <w:proofErr w:type="spellStart"/>
      <w:r w:rsidRPr="00A755B5">
        <w:rPr>
          <w:rFonts w:ascii="Calibri" w:hAnsi="Calibri" w:cs="Calibri"/>
        </w:rPr>
        <w:t>lm</w:t>
      </w:r>
      <w:proofErr w:type="spellEnd"/>
      <w:r w:rsidRPr="00A755B5">
        <w:rPr>
          <w:rFonts w:ascii="Calibri" w:hAnsi="Calibri" w:cs="Calibri"/>
        </w:rPr>
        <w:t xml:space="preserve">: R Interface to the </w:t>
      </w:r>
      <w:proofErr w:type="spellStart"/>
      <w:r w:rsidRPr="00A755B5">
        <w:rPr>
          <w:rFonts w:ascii="Calibri" w:hAnsi="Calibri" w:cs="Calibri"/>
        </w:rPr>
        <w:t>Levenberg</w:t>
      </w:r>
      <w:proofErr w:type="spellEnd"/>
      <w:r w:rsidRPr="00A755B5">
        <w:rPr>
          <w:rFonts w:ascii="Calibri" w:hAnsi="Calibri" w:cs="Calibri"/>
        </w:rPr>
        <w:t>-Marquardt Nonlinear Least-Squares Algorithm Found in MINPACK, R package version 1.2-1.</w:t>
      </w:r>
    </w:p>
    <w:p w:rsidR="00A755B5" w:rsidRPr="00A755B5" w:rsidRDefault="00A755B5" w:rsidP="00A755B5">
      <w:pPr>
        <w:pStyle w:val="Bibliography"/>
        <w:rPr>
          <w:rFonts w:ascii="Calibri" w:hAnsi="Calibri" w:cs="Calibri"/>
        </w:rPr>
      </w:pPr>
      <w:r w:rsidRPr="00A755B5">
        <w:rPr>
          <w:rFonts w:ascii="Calibri" w:hAnsi="Calibri" w:cs="Calibri"/>
          <w:b/>
          <w:bCs/>
        </w:rPr>
        <w:t xml:space="preserve">Flockhart, D. T. T., L. P. Brower, M. I. Ramirez, K. A. Hobson, L. I. Wassenaar, S. </w:t>
      </w:r>
      <w:proofErr w:type="spellStart"/>
      <w:r w:rsidRPr="00A755B5">
        <w:rPr>
          <w:rFonts w:ascii="Calibri" w:hAnsi="Calibri" w:cs="Calibri"/>
          <w:b/>
          <w:bCs/>
        </w:rPr>
        <w:t>Altizer</w:t>
      </w:r>
      <w:proofErr w:type="spellEnd"/>
      <w:r w:rsidRPr="00A755B5">
        <w:rPr>
          <w:rFonts w:ascii="Calibri" w:hAnsi="Calibri" w:cs="Calibri"/>
          <w:b/>
          <w:bCs/>
        </w:rPr>
        <w:t>, and D. R. Norris</w:t>
      </w:r>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Regional climate on the breeding grounds predicts variation in the natal origin of monarch butterflies overwintering in Mexico over 38 years. Glob Change Biol. 23: 2565–2576.</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Goulson</w:t>
      </w:r>
      <w:proofErr w:type="spellEnd"/>
      <w:r w:rsidRPr="00A755B5">
        <w:rPr>
          <w:rFonts w:ascii="Calibri" w:hAnsi="Calibri" w:cs="Calibri"/>
          <w:b/>
          <w:bCs/>
        </w:rPr>
        <w:t>, D.</w:t>
      </w:r>
      <w:r w:rsidRPr="00A755B5">
        <w:rPr>
          <w:rFonts w:ascii="Calibri" w:hAnsi="Calibri" w:cs="Calibri"/>
        </w:rPr>
        <w:t xml:space="preserve"> </w:t>
      </w:r>
      <w:r w:rsidRPr="00A755B5">
        <w:rPr>
          <w:rFonts w:ascii="Calibri" w:hAnsi="Calibri" w:cs="Calibri"/>
          <w:b/>
          <w:bCs/>
        </w:rPr>
        <w:t>2013</w:t>
      </w:r>
      <w:r w:rsidRPr="00A755B5">
        <w:rPr>
          <w:rFonts w:ascii="Calibri" w:hAnsi="Calibri" w:cs="Calibri"/>
        </w:rPr>
        <w:t xml:space="preserve">. An overview of the environmental risks posed by neonicotinoid insecticides. J </w:t>
      </w:r>
      <w:proofErr w:type="spellStart"/>
      <w:r w:rsidRPr="00A755B5">
        <w:rPr>
          <w:rFonts w:ascii="Calibri" w:hAnsi="Calibri" w:cs="Calibri"/>
        </w:rPr>
        <w:t>Appl</w:t>
      </w:r>
      <w:proofErr w:type="spellEnd"/>
      <w:r w:rsidRPr="00A755B5">
        <w:rPr>
          <w:rFonts w:ascii="Calibri" w:hAnsi="Calibri" w:cs="Calibri"/>
        </w:rPr>
        <w:t xml:space="preserve"> Ecol. 50: 977–987.</w:t>
      </w:r>
    </w:p>
    <w:p w:rsidR="00A755B5" w:rsidRPr="00A755B5" w:rsidRDefault="00A755B5" w:rsidP="00A755B5">
      <w:pPr>
        <w:pStyle w:val="Bibliography"/>
        <w:rPr>
          <w:rFonts w:ascii="Calibri" w:hAnsi="Calibri" w:cs="Calibri"/>
        </w:rPr>
      </w:pPr>
      <w:r w:rsidRPr="00A755B5">
        <w:rPr>
          <w:rFonts w:ascii="Calibri" w:hAnsi="Calibri" w:cs="Calibri"/>
          <w:b/>
          <w:bCs/>
        </w:rPr>
        <w:t xml:space="preserve">Heimpel, G., L. </w:t>
      </w:r>
      <w:proofErr w:type="spellStart"/>
      <w:r w:rsidRPr="00A755B5">
        <w:rPr>
          <w:rFonts w:ascii="Calibri" w:hAnsi="Calibri" w:cs="Calibri"/>
          <w:b/>
          <w:bCs/>
        </w:rPr>
        <w:t>Frelich</w:t>
      </w:r>
      <w:proofErr w:type="spellEnd"/>
      <w:r w:rsidRPr="00A755B5">
        <w:rPr>
          <w:rFonts w:ascii="Calibri" w:hAnsi="Calibri" w:cs="Calibri"/>
          <w:b/>
          <w:bCs/>
        </w:rPr>
        <w:t xml:space="preserve">, D. Landis, K. Hopper, K. </w:t>
      </w:r>
      <w:proofErr w:type="spellStart"/>
      <w:r w:rsidRPr="00A755B5">
        <w:rPr>
          <w:rFonts w:ascii="Calibri" w:hAnsi="Calibri" w:cs="Calibri"/>
          <w:b/>
          <w:bCs/>
        </w:rPr>
        <w:t>Hoelmer</w:t>
      </w:r>
      <w:proofErr w:type="spellEnd"/>
      <w:r w:rsidRPr="00A755B5">
        <w:rPr>
          <w:rFonts w:ascii="Calibri" w:hAnsi="Calibri" w:cs="Calibri"/>
          <w:b/>
          <w:bCs/>
        </w:rPr>
        <w:t xml:space="preserve">, Z. </w:t>
      </w:r>
      <w:proofErr w:type="spellStart"/>
      <w:r w:rsidRPr="00A755B5">
        <w:rPr>
          <w:rFonts w:ascii="Calibri" w:hAnsi="Calibri" w:cs="Calibri"/>
          <w:b/>
          <w:bCs/>
        </w:rPr>
        <w:t>Sezen</w:t>
      </w:r>
      <w:proofErr w:type="spellEnd"/>
      <w:r w:rsidRPr="00A755B5">
        <w:rPr>
          <w:rFonts w:ascii="Calibri" w:hAnsi="Calibri" w:cs="Calibri"/>
          <w:b/>
          <w:bCs/>
        </w:rPr>
        <w:t>, M. Asplen, and K. Wu</w:t>
      </w:r>
      <w:r w:rsidRPr="00A755B5">
        <w:rPr>
          <w:rFonts w:ascii="Calibri" w:hAnsi="Calibri" w:cs="Calibri"/>
        </w:rPr>
        <w:t xml:space="preserve">. </w:t>
      </w:r>
      <w:r w:rsidRPr="00A755B5">
        <w:rPr>
          <w:rFonts w:ascii="Calibri" w:hAnsi="Calibri" w:cs="Calibri"/>
          <w:b/>
          <w:bCs/>
        </w:rPr>
        <w:t>2010</w:t>
      </w:r>
      <w:r w:rsidRPr="00A755B5">
        <w:rPr>
          <w:rFonts w:ascii="Calibri" w:hAnsi="Calibri" w:cs="Calibri"/>
        </w:rPr>
        <w:t xml:space="preserve">. European buckthorn and Asian soybean aphid as components of an extensive </w:t>
      </w:r>
      <w:proofErr w:type="spellStart"/>
      <w:r w:rsidRPr="00A755B5">
        <w:rPr>
          <w:rFonts w:ascii="Calibri" w:hAnsi="Calibri" w:cs="Calibri"/>
        </w:rPr>
        <w:t>invasional</w:t>
      </w:r>
      <w:proofErr w:type="spellEnd"/>
      <w:r w:rsidRPr="00A755B5">
        <w:rPr>
          <w:rFonts w:ascii="Calibri" w:hAnsi="Calibri" w:cs="Calibri"/>
        </w:rPr>
        <w:t xml:space="preserve"> meltdown in North America. Biological Invasions. 12: 2913–2931.</w:t>
      </w:r>
    </w:p>
    <w:p w:rsidR="00A755B5" w:rsidRPr="00A755B5" w:rsidRDefault="00A755B5" w:rsidP="00A755B5">
      <w:pPr>
        <w:pStyle w:val="Bibliography"/>
        <w:rPr>
          <w:rFonts w:ascii="Calibri" w:hAnsi="Calibri" w:cs="Calibri"/>
        </w:rPr>
      </w:pPr>
      <w:r w:rsidRPr="00A755B5">
        <w:rPr>
          <w:rFonts w:ascii="Calibri" w:hAnsi="Calibri" w:cs="Calibri"/>
          <w:b/>
          <w:bCs/>
        </w:rPr>
        <w:t>Herron, G. A., and L. J. Wilson</w:t>
      </w:r>
      <w:r w:rsidRPr="00A755B5">
        <w:rPr>
          <w:rFonts w:ascii="Calibri" w:hAnsi="Calibri" w:cs="Calibri"/>
        </w:rPr>
        <w:t xml:space="preserve">. </w:t>
      </w:r>
      <w:r w:rsidRPr="00A755B5">
        <w:rPr>
          <w:rFonts w:ascii="Calibri" w:hAnsi="Calibri" w:cs="Calibri"/>
          <w:b/>
          <w:bCs/>
        </w:rPr>
        <w:t>2011</w:t>
      </w:r>
      <w:r w:rsidRPr="00A755B5">
        <w:rPr>
          <w:rFonts w:ascii="Calibri" w:hAnsi="Calibri" w:cs="Calibri"/>
        </w:rPr>
        <w:t xml:space="preserve">. Neonicotinoid resistance in Aphis </w:t>
      </w:r>
      <w:proofErr w:type="spellStart"/>
      <w:r w:rsidRPr="00A755B5">
        <w:rPr>
          <w:rFonts w:ascii="Calibri" w:hAnsi="Calibri" w:cs="Calibri"/>
        </w:rPr>
        <w:t>gossypii</w:t>
      </w:r>
      <w:proofErr w:type="spellEnd"/>
      <w:r w:rsidRPr="00A755B5">
        <w:rPr>
          <w:rFonts w:ascii="Calibri" w:hAnsi="Calibri" w:cs="Calibri"/>
        </w:rPr>
        <w:t xml:space="preserve"> Glover (</w:t>
      </w:r>
      <w:proofErr w:type="spellStart"/>
      <w:r w:rsidRPr="00A755B5">
        <w:rPr>
          <w:rFonts w:ascii="Calibri" w:hAnsi="Calibri" w:cs="Calibri"/>
        </w:rPr>
        <w:t>Aphididae</w:t>
      </w:r>
      <w:proofErr w:type="spellEnd"/>
      <w:r w:rsidRPr="00A755B5">
        <w:rPr>
          <w:rFonts w:ascii="Calibri" w:hAnsi="Calibri" w:cs="Calibri"/>
        </w:rPr>
        <w:t xml:space="preserve">: </w:t>
      </w:r>
      <w:proofErr w:type="spellStart"/>
      <w:r w:rsidRPr="00A755B5">
        <w:rPr>
          <w:rFonts w:ascii="Calibri" w:hAnsi="Calibri" w:cs="Calibri"/>
        </w:rPr>
        <w:t>Hemiptera</w:t>
      </w:r>
      <w:proofErr w:type="spellEnd"/>
      <w:r w:rsidRPr="00A755B5">
        <w:rPr>
          <w:rFonts w:ascii="Calibri" w:hAnsi="Calibri" w:cs="Calibri"/>
        </w:rPr>
        <w:t>) from Australian cotton. Australian Journal of Entomology. 50: 93–98.</w:t>
      </w:r>
    </w:p>
    <w:p w:rsidR="00A755B5" w:rsidRPr="00A755B5" w:rsidRDefault="00A755B5" w:rsidP="00A755B5">
      <w:pPr>
        <w:pStyle w:val="Bibliography"/>
        <w:rPr>
          <w:rFonts w:ascii="Calibri" w:hAnsi="Calibri" w:cs="Calibri"/>
        </w:rPr>
      </w:pPr>
      <w:r w:rsidRPr="00A755B5">
        <w:rPr>
          <w:rFonts w:ascii="Calibri" w:hAnsi="Calibri" w:cs="Calibri"/>
          <w:b/>
          <w:bCs/>
        </w:rPr>
        <w:t>Lovett, J.</w:t>
      </w:r>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Monarch Population Status.</w:t>
      </w:r>
    </w:p>
    <w:p w:rsidR="00A755B5" w:rsidRPr="00A755B5" w:rsidRDefault="00A755B5" w:rsidP="00A755B5">
      <w:pPr>
        <w:pStyle w:val="Bibliography"/>
        <w:rPr>
          <w:rFonts w:ascii="Calibri" w:hAnsi="Calibri" w:cs="Calibri"/>
        </w:rPr>
      </w:pPr>
      <w:r w:rsidRPr="00A755B5">
        <w:rPr>
          <w:rFonts w:ascii="Calibri" w:hAnsi="Calibri" w:cs="Calibri"/>
          <w:b/>
          <w:bCs/>
        </w:rPr>
        <w:t>Mueller, E. K., and K. A. Baum</w:t>
      </w:r>
      <w:r w:rsidRPr="00A755B5">
        <w:rPr>
          <w:rFonts w:ascii="Calibri" w:hAnsi="Calibri" w:cs="Calibri"/>
        </w:rPr>
        <w:t xml:space="preserve">. </w:t>
      </w:r>
      <w:r w:rsidRPr="00A755B5">
        <w:rPr>
          <w:rFonts w:ascii="Calibri" w:hAnsi="Calibri" w:cs="Calibri"/>
          <w:b/>
          <w:bCs/>
        </w:rPr>
        <w:t>2014</w:t>
      </w:r>
      <w:r w:rsidRPr="00A755B5">
        <w:rPr>
          <w:rFonts w:ascii="Calibri" w:hAnsi="Calibri" w:cs="Calibri"/>
        </w:rPr>
        <w:t>. Monarch-parasite interactions in managed and roadside prairies. Journal of insect conservation. 18: 847.</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Nauen</w:t>
      </w:r>
      <w:proofErr w:type="spellEnd"/>
      <w:r w:rsidRPr="00A755B5">
        <w:rPr>
          <w:rFonts w:ascii="Calibri" w:hAnsi="Calibri" w:cs="Calibri"/>
          <w:b/>
          <w:bCs/>
        </w:rPr>
        <w:t>, R., and I. Denholm</w:t>
      </w:r>
      <w:r w:rsidRPr="00A755B5">
        <w:rPr>
          <w:rFonts w:ascii="Calibri" w:hAnsi="Calibri" w:cs="Calibri"/>
        </w:rPr>
        <w:t xml:space="preserve">. </w:t>
      </w:r>
      <w:r w:rsidRPr="00A755B5">
        <w:rPr>
          <w:rFonts w:ascii="Calibri" w:hAnsi="Calibri" w:cs="Calibri"/>
          <w:b/>
          <w:bCs/>
        </w:rPr>
        <w:t>2005</w:t>
      </w:r>
      <w:r w:rsidRPr="00A755B5">
        <w:rPr>
          <w:rFonts w:ascii="Calibri" w:hAnsi="Calibri" w:cs="Calibri"/>
        </w:rPr>
        <w:t xml:space="preserve">. Resistance of insect pests to neonicotinoid insecticides: </w:t>
      </w:r>
      <w:proofErr w:type="gramStart"/>
      <w:r w:rsidRPr="00A755B5">
        <w:rPr>
          <w:rFonts w:ascii="Calibri" w:hAnsi="Calibri" w:cs="Calibri"/>
        </w:rPr>
        <w:t>Current status</w:t>
      </w:r>
      <w:proofErr w:type="gramEnd"/>
      <w:r w:rsidRPr="00A755B5">
        <w:rPr>
          <w:rFonts w:ascii="Calibri" w:hAnsi="Calibri" w:cs="Calibri"/>
        </w:rPr>
        <w:t xml:space="preserve"> and future prospects. Arch. Insect </w:t>
      </w:r>
      <w:proofErr w:type="spellStart"/>
      <w:r w:rsidRPr="00A755B5">
        <w:rPr>
          <w:rFonts w:ascii="Calibri" w:hAnsi="Calibri" w:cs="Calibri"/>
        </w:rPr>
        <w:t>Biochem</w:t>
      </w:r>
      <w:proofErr w:type="spellEnd"/>
      <w:r w:rsidRPr="00A755B5">
        <w:rPr>
          <w:rFonts w:ascii="Calibri" w:hAnsi="Calibri" w:cs="Calibri"/>
        </w:rPr>
        <w:t>. Physiol. 58: 200–215.</w:t>
      </w:r>
    </w:p>
    <w:p w:rsidR="00A755B5" w:rsidRPr="00A755B5" w:rsidRDefault="00A755B5" w:rsidP="00A755B5">
      <w:pPr>
        <w:pStyle w:val="Bibliography"/>
        <w:rPr>
          <w:rFonts w:ascii="Calibri" w:hAnsi="Calibri" w:cs="Calibri"/>
        </w:rPr>
      </w:pPr>
      <w:r w:rsidRPr="00A755B5">
        <w:rPr>
          <w:rFonts w:ascii="Calibri" w:hAnsi="Calibri" w:cs="Calibri"/>
          <w:b/>
          <w:bCs/>
        </w:rPr>
        <w:t xml:space="preserve">Pleasants, J. M., and K. S. </w:t>
      </w:r>
      <w:proofErr w:type="spellStart"/>
      <w:r w:rsidRPr="00A755B5">
        <w:rPr>
          <w:rFonts w:ascii="Calibri" w:hAnsi="Calibri" w:cs="Calibri"/>
          <w:b/>
          <w:bCs/>
        </w:rPr>
        <w:t>Oberhauser</w:t>
      </w:r>
      <w:proofErr w:type="spellEnd"/>
      <w:r w:rsidRPr="00A755B5">
        <w:rPr>
          <w:rFonts w:ascii="Calibri" w:hAnsi="Calibri" w:cs="Calibri"/>
        </w:rPr>
        <w:t xml:space="preserve">. </w:t>
      </w:r>
      <w:r w:rsidRPr="00A755B5">
        <w:rPr>
          <w:rFonts w:ascii="Calibri" w:hAnsi="Calibri" w:cs="Calibri"/>
          <w:b/>
          <w:bCs/>
        </w:rPr>
        <w:t>2013</w:t>
      </w:r>
      <w:r w:rsidRPr="00A755B5">
        <w:rPr>
          <w:rFonts w:ascii="Calibri" w:hAnsi="Calibri" w:cs="Calibri"/>
        </w:rPr>
        <w:t>. Milkweed loss in agricultural fields because of herbicide use: effect on the monarch butterfly population. Insect Conservation and Diversity. 6: 135–144.</w:t>
      </w:r>
    </w:p>
    <w:p w:rsidR="00A755B5" w:rsidRPr="00A755B5" w:rsidRDefault="00A755B5" w:rsidP="00A755B5">
      <w:pPr>
        <w:pStyle w:val="Bibliography"/>
        <w:rPr>
          <w:rFonts w:ascii="Calibri" w:hAnsi="Calibri" w:cs="Calibri"/>
        </w:rPr>
      </w:pPr>
      <w:r w:rsidRPr="00A755B5">
        <w:rPr>
          <w:rFonts w:ascii="Calibri" w:hAnsi="Calibri" w:cs="Calibri"/>
          <w:b/>
          <w:bCs/>
        </w:rPr>
        <w:t>Powles, S. O. D. S. B.</w:t>
      </w:r>
      <w:r w:rsidRPr="00A755B5">
        <w:rPr>
          <w:rFonts w:ascii="Calibri" w:hAnsi="Calibri" w:cs="Calibri"/>
        </w:rPr>
        <w:t xml:space="preserve"> </w:t>
      </w:r>
      <w:r w:rsidRPr="00A755B5">
        <w:rPr>
          <w:rFonts w:ascii="Calibri" w:hAnsi="Calibri" w:cs="Calibri"/>
          <w:b/>
          <w:bCs/>
        </w:rPr>
        <w:t>2010</w:t>
      </w:r>
      <w:r w:rsidRPr="00A755B5">
        <w:rPr>
          <w:rFonts w:ascii="Calibri" w:hAnsi="Calibri" w:cs="Calibri"/>
        </w:rPr>
        <w:t>. Glyphosate-resistant crops and weeds: now and in the future.</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lastRenderedPageBreak/>
        <w:t>Puinean</w:t>
      </w:r>
      <w:proofErr w:type="spellEnd"/>
      <w:r w:rsidRPr="00A755B5">
        <w:rPr>
          <w:rFonts w:ascii="Calibri" w:hAnsi="Calibri" w:cs="Calibri"/>
          <w:b/>
          <w:bCs/>
        </w:rPr>
        <w:t>, A. M., S. P. Foster, L. Oliphant, I. Denholm, L. M. Field, N. S. Millar, M. S. Williamson, and C. Bass</w:t>
      </w:r>
      <w:r w:rsidRPr="00A755B5">
        <w:rPr>
          <w:rFonts w:ascii="Calibri" w:hAnsi="Calibri" w:cs="Calibri"/>
        </w:rPr>
        <w:t xml:space="preserve">. </w:t>
      </w:r>
      <w:r w:rsidRPr="00A755B5">
        <w:rPr>
          <w:rFonts w:ascii="Calibri" w:hAnsi="Calibri" w:cs="Calibri"/>
          <w:b/>
          <w:bCs/>
        </w:rPr>
        <w:t>2010</w:t>
      </w:r>
      <w:r w:rsidRPr="00A755B5">
        <w:rPr>
          <w:rFonts w:ascii="Calibri" w:hAnsi="Calibri" w:cs="Calibri"/>
        </w:rPr>
        <w:t xml:space="preserve">. Amplification of a Cytochrome P450 Gene Is Associated with Resistance to Neonicotinoid Insecticides in the Aphid </w:t>
      </w:r>
      <w:proofErr w:type="spellStart"/>
      <w:r w:rsidRPr="00A755B5">
        <w:rPr>
          <w:rFonts w:ascii="Calibri" w:hAnsi="Calibri" w:cs="Calibri"/>
        </w:rPr>
        <w:t>Myzus</w:t>
      </w:r>
      <w:proofErr w:type="spellEnd"/>
      <w:r w:rsidRPr="00A755B5">
        <w:rPr>
          <w:rFonts w:ascii="Calibri" w:hAnsi="Calibri" w:cs="Calibri"/>
        </w:rPr>
        <w:t xml:space="preserve"> </w:t>
      </w:r>
      <w:proofErr w:type="spellStart"/>
      <w:r w:rsidRPr="00A755B5">
        <w:rPr>
          <w:rFonts w:ascii="Calibri" w:hAnsi="Calibri" w:cs="Calibri"/>
        </w:rPr>
        <w:t>persicae</w:t>
      </w:r>
      <w:proofErr w:type="spellEnd"/>
      <w:r w:rsidRPr="00A755B5">
        <w:rPr>
          <w:rFonts w:ascii="Calibri" w:hAnsi="Calibri" w:cs="Calibri"/>
        </w:rPr>
        <w:t>. PLOS Genetics. 6: e1000999.</w:t>
      </w:r>
    </w:p>
    <w:p w:rsidR="00A755B5" w:rsidRPr="00A755B5" w:rsidRDefault="00A755B5" w:rsidP="00A755B5">
      <w:pPr>
        <w:pStyle w:val="Bibliography"/>
        <w:rPr>
          <w:rFonts w:ascii="Calibri" w:hAnsi="Calibri" w:cs="Calibri"/>
        </w:rPr>
      </w:pPr>
      <w:r w:rsidRPr="00A755B5">
        <w:rPr>
          <w:rFonts w:ascii="Calibri" w:hAnsi="Calibri" w:cs="Calibri"/>
          <w:b/>
          <w:bCs/>
        </w:rPr>
        <w:t>R Development Core Team</w:t>
      </w:r>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R: A Language and Environment for Statistical Computing 3.3.3. R Foundation for Statistical Computing.</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Rhainds</w:t>
      </w:r>
      <w:proofErr w:type="spellEnd"/>
      <w:r w:rsidRPr="00A755B5">
        <w:rPr>
          <w:rFonts w:ascii="Calibri" w:hAnsi="Calibri" w:cs="Calibri"/>
          <w:b/>
          <w:bCs/>
        </w:rPr>
        <w:t xml:space="preserve">, M., H. J. S. </w:t>
      </w:r>
      <w:proofErr w:type="spellStart"/>
      <w:r w:rsidRPr="00A755B5">
        <w:rPr>
          <w:rFonts w:ascii="Calibri" w:hAnsi="Calibri" w:cs="Calibri"/>
          <w:b/>
          <w:bCs/>
        </w:rPr>
        <w:t>Yoo</w:t>
      </w:r>
      <w:proofErr w:type="spellEnd"/>
      <w:r w:rsidRPr="00A755B5">
        <w:rPr>
          <w:rFonts w:ascii="Calibri" w:hAnsi="Calibri" w:cs="Calibri"/>
          <w:b/>
          <w:bCs/>
        </w:rPr>
        <w:t xml:space="preserve">, P. </w:t>
      </w:r>
      <w:proofErr w:type="spellStart"/>
      <w:r w:rsidRPr="00A755B5">
        <w:rPr>
          <w:rFonts w:ascii="Calibri" w:hAnsi="Calibri" w:cs="Calibri"/>
          <w:b/>
          <w:bCs/>
        </w:rPr>
        <w:t>Kindlmann</w:t>
      </w:r>
      <w:proofErr w:type="spellEnd"/>
      <w:r w:rsidRPr="00A755B5">
        <w:rPr>
          <w:rFonts w:ascii="Calibri" w:hAnsi="Calibri" w:cs="Calibri"/>
          <w:b/>
          <w:bCs/>
        </w:rPr>
        <w:t xml:space="preserve">, D. Voegtlin, D. Castillo, C. Rutledge, C. </w:t>
      </w:r>
      <w:proofErr w:type="spellStart"/>
      <w:r w:rsidRPr="00A755B5">
        <w:rPr>
          <w:rFonts w:ascii="Calibri" w:hAnsi="Calibri" w:cs="Calibri"/>
          <w:b/>
          <w:bCs/>
        </w:rPr>
        <w:t>Sadof</w:t>
      </w:r>
      <w:proofErr w:type="spellEnd"/>
      <w:r w:rsidRPr="00A755B5">
        <w:rPr>
          <w:rFonts w:ascii="Calibri" w:hAnsi="Calibri" w:cs="Calibri"/>
          <w:b/>
          <w:bCs/>
        </w:rPr>
        <w:t xml:space="preserve">, S. </w:t>
      </w:r>
      <w:proofErr w:type="spellStart"/>
      <w:r w:rsidRPr="00A755B5">
        <w:rPr>
          <w:rFonts w:ascii="Calibri" w:hAnsi="Calibri" w:cs="Calibri"/>
          <w:b/>
          <w:bCs/>
        </w:rPr>
        <w:t>Yaninek</w:t>
      </w:r>
      <w:proofErr w:type="spellEnd"/>
      <w:r w:rsidRPr="00A755B5">
        <w:rPr>
          <w:rFonts w:ascii="Calibri" w:hAnsi="Calibri" w:cs="Calibri"/>
          <w:b/>
          <w:bCs/>
        </w:rPr>
        <w:t>, and R. J. O’Neil</w:t>
      </w:r>
      <w:r w:rsidRPr="00A755B5">
        <w:rPr>
          <w:rFonts w:ascii="Calibri" w:hAnsi="Calibri" w:cs="Calibri"/>
        </w:rPr>
        <w:t xml:space="preserve">. </w:t>
      </w:r>
      <w:r w:rsidRPr="00A755B5">
        <w:rPr>
          <w:rFonts w:ascii="Calibri" w:hAnsi="Calibri" w:cs="Calibri"/>
          <w:b/>
          <w:bCs/>
        </w:rPr>
        <w:t>2010</w:t>
      </w:r>
      <w:r w:rsidRPr="00A755B5">
        <w:rPr>
          <w:rFonts w:ascii="Calibri" w:hAnsi="Calibri" w:cs="Calibri"/>
        </w:rPr>
        <w:t>. Two-year oscillation cycle in abundance of soybean aphid in Indiana. Agricultural and Forest Entomology. 12: 251–257.</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RStudio</w:t>
      </w:r>
      <w:proofErr w:type="spellEnd"/>
      <w:r w:rsidRPr="00A755B5">
        <w:rPr>
          <w:rFonts w:ascii="Calibri" w:hAnsi="Calibri" w:cs="Calibri"/>
          <w:b/>
          <w:bCs/>
        </w:rPr>
        <w:t xml:space="preserve"> Team</w:t>
      </w:r>
      <w:r w:rsidRPr="00A755B5">
        <w:rPr>
          <w:rFonts w:ascii="Calibri" w:hAnsi="Calibri" w:cs="Calibri"/>
        </w:rPr>
        <w:t xml:space="preserve">. </w:t>
      </w:r>
      <w:r w:rsidRPr="00A755B5">
        <w:rPr>
          <w:rFonts w:ascii="Calibri" w:hAnsi="Calibri" w:cs="Calibri"/>
          <w:b/>
          <w:bCs/>
        </w:rPr>
        <w:t>2015</w:t>
      </w:r>
      <w:r w:rsidRPr="00A755B5">
        <w:rPr>
          <w:rFonts w:ascii="Calibri" w:hAnsi="Calibri" w:cs="Calibri"/>
        </w:rPr>
        <w:t xml:space="preserve">. </w:t>
      </w:r>
      <w:proofErr w:type="spellStart"/>
      <w:r w:rsidRPr="00A755B5">
        <w:rPr>
          <w:rFonts w:ascii="Calibri" w:hAnsi="Calibri" w:cs="Calibri"/>
        </w:rPr>
        <w:t>RStudio</w:t>
      </w:r>
      <w:proofErr w:type="spellEnd"/>
      <w:r w:rsidRPr="00A755B5">
        <w:rPr>
          <w:rFonts w:ascii="Calibri" w:hAnsi="Calibri" w:cs="Calibri"/>
        </w:rPr>
        <w:t>: Integrated Development for R (</w:t>
      </w:r>
      <w:proofErr w:type="spellStart"/>
      <w:r w:rsidRPr="00A755B5">
        <w:rPr>
          <w:rFonts w:ascii="Calibri" w:hAnsi="Calibri" w:cs="Calibri"/>
        </w:rPr>
        <w:t>RStudio</w:t>
      </w:r>
      <w:proofErr w:type="spellEnd"/>
      <w:r w:rsidRPr="00A755B5">
        <w:rPr>
          <w:rFonts w:ascii="Calibri" w:hAnsi="Calibri" w:cs="Calibri"/>
        </w:rPr>
        <w:t xml:space="preserve">, Inc., Boston, MA, 2015). URL: https://www. </w:t>
      </w:r>
      <w:proofErr w:type="spellStart"/>
      <w:r w:rsidRPr="00A755B5">
        <w:rPr>
          <w:rFonts w:ascii="Calibri" w:hAnsi="Calibri" w:cs="Calibri"/>
        </w:rPr>
        <w:t>rstudio</w:t>
      </w:r>
      <w:proofErr w:type="spellEnd"/>
      <w:r w:rsidRPr="00A755B5">
        <w:rPr>
          <w:rFonts w:ascii="Calibri" w:hAnsi="Calibri" w:cs="Calibri"/>
        </w:rPr>
        <w:t>. com/products/</w:t>
      </w:r>
      <w:proofErr w:type="spellStart"/>
      <w:r w:rsidRPr="00A755B5">
        <w:rPr>
          <w:rFonts w:ascii="Calibri" w:hAnsi="Calibri" w:cs="Calibri"/>
        </w:rPr>
        <w:t>rstudio</w:t>
      </w:r>
      <w:proofErr w:type="spellEnd"/>
      <w:r w:rsidRPr="00A755B5">
        <w:rPr>
          <w:rFonts w:ascii="Calibri" w:hAnsi="Calibri" w:cs="Calibri"/>
        </w:rPr>
        <w:t>.</w:t>
      </w:r>
    </w:p>
    <w:p w:rsidR="00A755B5" w:rsidRPr="00A755B5" w:rsidRDefault="00A755B5" w:rsidP="00A755B5">
      <w:pPr>
        <w:pStyle w:val="Bibliography"/>
        <w:rPr>
          <w:rFonts w:ascii="Calibri" w:hAnsi="Calibri" w:cs="Calibri"/>
        </w:rPr>
      </w:pPr>
      <w:r w:rsidRPr="00A755B5">
        <w:rPr>
          <w:rFonts w:ascii="Calibri" w:hAnsi="Calibri" w:cs="Calibri"/>
          <w:b/>
          <w:bCs/>
        </w:rPr>
        <w:t xml:space="preserve">Saunders, S. P., L. </w:t>
      </w:r>
      <w:proofErr w:type="spellStart"/>
      <w:r w:rsidRPr="00A755B5">
        <w:rPr>
          <w:rFonts w:ascii="Calibri" w:hAnsi="Calibri" w:cs="Calibri"/>
          <w:b/>
          <w:bCs/>
        </w:rPr>
        <w:t>Ries</w:t>
      </w:r>
      <w:proofErr w:type="spellEnd"/>
      <w:r w:rsidRPr="00A755B5">
        <w:rPr>
          <w:rFonts w:ascii="Calibri" w:hAnsi="Calibri" w:cs="Calibri"/>
          <w:b/>
          <w:bCs/>
        </w:rPr>
        <w:t xml:space="preserve">, K. S. </w:t>
      </w:r>
      <w:proofErr w:type="spellStart"/>
      <w:r w:rsidRPr="00A755B5">
        <w:rPr>
          <w:rFonts w:ascii="Calibri" w:hAnsi="Calibri" w:cs="Calibri"/>
          <w:b/>
          <w:bCs/>
        </w:rPr>
        <w:t>Oberhauser</w:t>
      </w:r>
      <w:proofErr w:type="spellEnd"/>
      <w:r w:rsidRPr="00A755B5">
        <w:rPr>
          <w:rFonts w:ascii="Calibri" w:hAnsi="Calibri" w:cs="Calibri"/>
          <w:b/>
          <w:bCs/>
        </w:rPr>
        <w:t xml:space="preserve">, W. E. </w:t>
      </w:r>
      <w:proofErr w:type="spellStart"/>
      <w:r w:rsidRPr="00A755B5">
        <w:rPr>
          <w:rFonts w:ascii="Calibri" w:hAnsi="Calibri" w:cs="Calibri"/>
          <w:b/>
          <w:bCs/>
        </w:rPr>
        <w:t>Thogmartin</w:t>
      </w:r>
      <w:proofErr w:type="spellEnd"/>
      <w:r w:rsidRPr="00A755B5">
        <w:rPr>
          <w:rFonts w:ascii="Calibri" w:hAnsi="Calibri" w:cs="Calibri"/>
          <w:b/>
          <w:bCs/>
        </w:rPr>
        <w:t>, and E. F. Zipkin</w:t>
      </w:r>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xml:space="preserve">. Local and cross-seasonal associations of climate and land use with abundance of monarch butterflies Danaus </w:t>
      </w:r>
      <w:proofErr w:type="spellStart"/>
      <w:r w:rsidRPr="00A755B5">
        <w:rPr>
          <w:rFonts w:ascii="Calibri" w:hAnsi="Calibri" w:cs="Calibri"/>
        </w:rPr>
        <w:t>plexippus</w:t>
      </w:r>
      <w:proofErr w:type="spellEnd"/>
      <w:r w:rsidRPr="00A755B5">
        <w:rPr>
          <w:rFonts w:ascii="Calibri" w:hAnsi="Calibri" w:cs="Calibri"/>
        </w:rPr>
        <w:t xml:space="preserve">. </w:t>
      </w:r>
      <w:proofErr w:type="spellStart"/>
      <w:r w:rsidRPr="00A755B5">
        <w:rPr>
          <w:rFonts w:ascii="Calibri" w:hAnsi="Calibri" w:cs="Calibri"/>
        </w:rPr>
        <w:t>Ecography</w:t>
      </w:r>
      <w:proofErr w:type="spellEnd"/>
      <w:r w:rsidRPr="00A755B5">
        <w:rPr>
          <w:rFonts w:ascii="Calibri" w:hAnsi="Calibri" w:cs="Calibri"/>
        </w:rPr>
        <w:t>. n/a-n/a.</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Turchin</w:t>
      </w:r>
      <w:proofErr w:type="spellEnd"/>
      <w:r w:rsidRPr="00A755B5">
        <w:rPr>
          <w:rFonts w:ascii="Calibri" w:hAnsi="Calibri" w:cs="Calibri"/>
          <w:b/>
          <w:bCs/>
        </w:rPr>
        <w:t>, P.</w:t>
      </w:r>
      <w:r w:rsidRPr="00A755B5">
        <w:rPr>
          <w:rFonts w:ascii="Calibri" w:hAnsi="Calibri" w:cs="Calibri"/>
        </w:rPr>
        <w:t xml:space="preserve"> </w:t>
      </w:r>
      <w:r w:rsidRPr="00A755B5">
        <w:rPr>
          <w:rFonts w:ascii="Calibri" w:hAnsi="Calibri" w:cs="Calibri"/>
          <w:b/>
          <w:bCs/>
        </w:rPr>
        <w:t>2003</w:t>
      </w:r>
      <w:r w:rsidRPr="00A755B5">
        <w:rPr>
          <w:rFonts w:ascii="Calibri" w:hAnsi="Calibri" w:cs="Calibri"/>
        </w:rPr>
        <w:t>. Complex population dynamics: a theoretical/empirical synthesis. Princeton University Press.</w:t>
      </w:r>
    </w:p>
    <w:p w:rsidR="00A755B5" w:rsidRPr="00A755B5" w:rsidRDefault="00A755B5" w:rsidP="00A755B5">
      <w:pPr>
        <w:pStyle w:val="Bibliography"/>
        <w:rPr>
          <w:rFonts w:ascii="Calibri" w:hAnsi="Calibri" w:cs="Calibri"/>
        </w:rPr>
      </w:pPr>
      <w:r w:rsidRPr="00A755B5">
        <w:rPr>
          <w:rFonts w:ascii="Calibri" w:hAnsi="Calibri" w:cs="Calibri"/>
          <w:b/>
          <w:bCs/>
        </w:rPr>
        <w:t>Urquhart, F. A., and N. R. Urquhart</w:t>
      </w:r>
      <w:r w:rsidRPr="00A755B5">
        <w:rPr>
          <w:rFonts w:ascii="Calibri" w:hAnsi="Calibri" w:cs="Calibri"/>
        </w:rPr>
        <w:t xml:space="preserve">. </w:t>
      </w:r>
      <w:r w:rsidRPr="00A755B5">
        <w:rPr>
          <w:rFonts w:ascii="Calibri" w:hAnsi="Calibri" w:cs="Calibri"/>
          <w:b/>
          <w:bCs/>
        </w:rPr>
        <w:t>1978</w:t>
      </w:r>
      <w:r w:rsidRPr="00A755B5">
        <w:rPr>
          <w:rFonts w:ascii="Calibri" w:hAnsi="Calibri" w:cs="Calibri"/>
        </w:rPr>
        <w:t xml:space="preserve">. Autumnal migration routes of the eastern population of the monarch butterfly (Danaus p. </w:t>
      </w:r>
      <w:proofErr w:type="spellStart"/>
      <w:r w:rsidRPr="00A755B5">
        <w:rPr>
          <w:rFonts w:ascii="Calibri" w:hAnsi="Calibri" w:cs="Calibri"/>
        </w:rPr>
        <w:t>plexippus</w:t>
      </w:r>
      <w:proofErr w:type="spellEnd"/>
      <w:r w:rsidRPr="00A755B5">
        <w:rPr>
          <w:rFonts w:ascii="Calibri" w:hAnsi="Calibri" w:cs="Calibri"/>
        </w:rPr>
        <w:t xml:space="preserve"> L.; </w:t>
      </w:r>
      <w:proofErr w:type="spellStart"/>
      <w:r w:rsidRPr="00A755B5">
        <w:rPr>
          <w:rFonts w:ascii="Calibri" w:hAnsi="Calibri" w:cs="Calibri"/>
        </w:rPr>
        <w:t>Danaidae</w:t>
      </w:r>
      <w:proofErr w:type="spellEnd"/>
      <w:r w:rsidRPr="00A755B5">
        <w:rPr>
          <w:rFonts w:ascii="Calibri" w:hAnsi="Calibri" w:cs="Calibri"/>
        </w:rPr>
        <w:t xml:space="preserve">; Lepidoptera) in North America to the overwintering site in the </w:t>
      </w:r>
      <w:proofErr w:type="spellStart"/>
      <w:r w:rsidRPr="00A755B5">
        <w:rPr>
          <w:rFonts w:ascii="Calibri" w:hAnsi="Calibri" w:cs="Calibri"/>
        </w:rPr>
        <w:t>Neovolcanic</w:t>
      </w:r>
      <w:proofErr w:type="spellEnd"/>
      <w:r w:rsidRPr="00A755B5">
        <w:rPr>
          <w:rFonts w:ascii="Calibri" w:hAnsi="Calibri" w:cs="Calibri"/>
        </w:rPr>
        <w:t xml:space="preserve"> Plateau of Mexico. Can. J. Zool. 56: 1759–1764.</w:t>
      </w:r>
    </w:p>
    <w:p w:rsidR="00A755B5" w:rsidRPr="00A755B5" w:rsidRDefault="00A755B5" w:rsidP="00A755B5">
      <w:pPr>
        <w:pStyle w:val="Bibliography"/>
        <w:rPr>
          <w:rFonts w:ascii="Calibri" w:hAnsi="Calibri" w:cs="Calibri"/>
        </w:rPr>
      </w:pPr>
      <w:r w:rsidRPr="00A755B5">
        <w:rPr>
          <w:rFonts w:ascii="Calibri" w:hAnsi="Calibri" w:cs="Calibri"/>
          <w:b/>
          <w:bCs/>
        </w:rPr>
        <w:t>Vidal, O., J. Lopez-Garcia, and E. Rendon-Salinas</w:t>
      </w:r>
      <w:r w:rsidRPr="00A755B5">
        <w:rPr>
          <w:rFonts w:ascii="Calibri" w:hAnsi="Calibri" w:cs="Calibri"/>
        </w:rPr>
        <w:t xml:space="preserve">. </w:t>
      </w:r>
      <w:r w:rsidRPr="00A755B5">
        <w:rPr>
          <w:rFonts w:ascii="Calibri" w:hAnsi="Calibri" w:cs="Calibri"/>
          <w:b/>
          <w:bCs/>
        </w:rPr>
        <w:t>2014</w:t>
      </w:r>
      <w:r w:rsidRPr="00A755B5">
        <w:rPr>
          <w:rFonts w:ascii="Calibri" w:hAnsi="Calibri" w:cs="Calibri"/>
        </w:rPr>
        <w:t>. Trends in Deforestation and Forest Degradation after a Decade of Monitoring in the Monarch Butterfly Biosphere Reserve in Mexico. Conservation Biology. 28: 177–186.</w:t>
      </w:r>
    </w:p>
    <w:p w:rsidR="00A755B5" w:rsidRPr="00A755B5" w:rsidRDefault="00A755B5" w:rsidP="00A755B5">
      <w:pPr>
        <w:pStyle w:val="Bibliography"/>
        <w:rPr>
          <w:rFonts w:ascii="Calibri" w:hAnsi="Calibri" w:cs="Calibri"/>
        </w:rPr>
      </w:pPr>
      <w:r w:rsidRPr="00A755B5">
        <w:rPr>
          <w:rFonts w:ascii="Calibri" w:hAnsi="Calibri" w:cs="Calibri"/>
          <w:b/>
          <w:bCs/>
        </w:rPr>
        <w:t xml:space="preserve">Vidal, O., and E. </w:t>
      </w:r>
      <w:proofErr w:type="spellStart"/>
      <w:r w:rsidRPr="00A755B5">
        <w:rPr>
          <w:rFonts w:ascii="Calibri" w:hAnsi="Calibri" w:cs="Calibri"/>
          <w:b/>
          <w:bCs/>
        </w:rPr>
        <w:t>Rendón</w:t>
      </w:r>
      <w:proofErr w:type="spellEnd"/>
      <w:r w:rsidRPr="00A755B5">
        <w:rPr>
          <w:rFonts w:ascii="Calibri" w:hAnsi="Calibri" w:cs="Calibri"/>
          <w:b/>
          <w:bCs/>
        </w:rPr>
        <w:t>-Salinas</w:t>
      </w:r>
      <w:r w:rsidRPr="00A755B5">
        <w:rPr>
          <w:rFonts w:ascii="Calibri" w:hAnsi="Calibri" w:cs="Calibri"/>
        </w:rPr>
        <w:t xml:space="preserve">. </w:t>
      </w:r>
      <w:r w:rsidRPr="00A755B5">
        <w:rPr>
          <w:rFonts w:ascii="Calibri" w:hAnsi="Calibri" w:cs="Calibri"/>
          <w:b/>
          <w:bCs/>
        </w:rPr>
        <w:t>2014</w:t>
      </w:r>
      <w:r w:rsidRPr="00A755B5">
        <w:rPr>
          <w:rFonts w:ascii="Calibri" w:hAnsi="Calibri" w:cs="Calibri"/>
        </w:rPr>
        <w:t>. Dynamics and trends of overwintering colonies of the monarch butterfly in Mexico. Biological Conservation. 180: 165–175.</w:t>
      </w:r>
    </w:p>
    <w:p w:rsidR="00A755B5" w:rsidRPr="00A755B5" w:rsidRDefault="00A755B5" w:rsidP="00A755B5">
      <w:pPr>
        <w:pStyle w:val="Bibliography"/>
        <w:rPr>
          <w:rFonts w:ascii="Calibri" w:hAnsi="Calibri" w:cs="Calibri"/>
        </w:rPr>
      </w:pPr>
      <w:r w:rsidRPr="00A755B5">
        <w:rPr>
          <w:rFonts w:ascii="Calibri" w:hAnsi="Calibri" w:cs="Calibri"/>
          <w:b/>
          <w:bCs/>
        </w:rPr>
        <w:t>Wassenaar, L. I., and K. A. Hobson</w:t>
      </w:r>
      <w:r w:rsidRPr="00A755B5">
        <w:rPr>
          <w:rFonts w:ascii="Calibri" w:hAnsi="Calibri" w:cs="Calibri"/>
        </w:rPr>
        <w:t xml:space="preserve">. </w:t>
      </w:r>
      <w:r w:rsidRPr="00A755B5">
        <w:rPr>
          <w:rFonts w:ascii="Calibri" w:hAnsi="Calibri" w:cs="Calibri"/>
          <w:b/>
          <w:bCs/>
        </w:rPr>
        <w:t>1998</w:t>
      </w:r>
      <w:r w:rsidRPr="00A755B5">
        <w:rPr>
          <w:rFonts w:ascii="Calibri" w:hAnsi="Calibri" w:cs="Calibri"/>
        </w:rPr>
        <w:t>. Natal origins of migratory monarch butterflies at wintering colonies in Mexico: New isotopic evidence. Proceedings of the National Academy of Sciences. 95: 15436–15439.</w:t>
      </w:r>
    </w:p>
    <w:p w:rsidR="00A755B5" w:rsidRPr="00A755B5" w:rsidRDefault="00A755B5" w:rsidP="00A755B5">
      <w:pPr>
        <w:pStyle w:val="Bibliography"/>
        <w:rPr>
          <w:rFonts w:ascii="Calibri" w:hAnsi="Calibri" w:cs="Calibri"/>
        </w:rPr>
      </w:pPr>
      <w:proofErr w:type="spellStart"/>
      <w:r w:rsidRPr="00A755B5">
        <w:rPr>
          <w:rFonts w:ascii="Calibri" w:hAnsi="Calibri" w:cs="Calibri"/>
          <w:b/>
          <w:bCs/>
        </w:rPr>
        <w:t>Zalucki</w:t>
      </w:r>
      <w:proofErr w:type="spellEnd"/>
      <w:r w:rsidRPr="00A755B5">
        <w:rPr>
          <w:rFonts w:ascii="Calibri" w:hAnsi="Calibri" w:cs="Calibri"/>
          <w:b/>
          <w:bCs/>
        </w:rPr>
        <w:t xml:space="preserve">, M. P., L. P. Brower, S. B. Malcolm, and B. H. </w:t>
      </w:r>
      <w:proofErr w:type="spellStart"/>
      <w:r w:rsidRPr="00A755B5">
        <w:rPr>
          <w:rFonts w:ascii="Calibri" w:hAnsi="Calibri" w:cs="Calibri"/>
          <w:b/>
          <w:bCs/>
        </w:rPr>
        <w:t>Slager</w:t>
      </w:r>
      <w:proofErr w:type="spellEnd"/>
      <w:r w:rsidRPr="00A755B5">
        <w:rPr>
          <w:rFonts w:ascii="Calibri" w:hAnsi="Calibri" w:cs="Calibri"/>
        </w:rPr>
        <w:t xml:space="preserve">. </w:t>
      </w:r>
      <w:r w:rsidRPr="00A755B5">
        <w:rPr>
          <w:rFonts w:ascii="Calibri" w:hAnsi="Calibri" w:cs="Calibri"/>
          <w:b/>
          <w:bCs/>
        </w:rPr>
        <w:t>2015</w:t>
      </w:r>
      <w:r w:rsidRPr="00A755B5">
        <w:rPr>
          <w:rFonts w:ascii="Calibri" w:hAnsi="Calibri" w:cs="Calibri"/>
        </w:rPr>
        <w:t>. Estimating the climate signal in monarch population decline. Monarchs in a changing world. Biology and conservation of an iconic butterfly.</w:t>
      </w:r>
    </w:p>
    <w:p w:rsidR="00A755B5" w:rsidRPr="00A755B5" w:rsidRDefault="00A755B5" w:rsidP="00A755B5">
      <w:pPr>
        <w:pStyle w:val="Bibliography"/>
        <w:rPr>
          <w:rFonts w:ascii="Calibri" w:hAnsi="Calibri" w:cs="Calibri"/>
        </w:rPr>
      </w:pPr>
      <w:r w:rsidRPr="00A755B5">
        <w:rPr>
          <w:rFonts w:ascii="Calibri" w:hAnsi="Calibri" w:cs="Calibri"/>
          <w:b/>
          <w:bCs/>
        </w:rPr>
        <w:t xml:space="preserve">Zaya, D. N., I. S. </w:t>
      </w:r>
      <w:proofErr w:type="spellStart"/>
      <w:r w:rsidRPr="00A755B5">
        <w:rPr>
          <w:rFonts w:ascii="Calibri" w:hAnsi="Calibri" w:cs="Calibri"/>
          <w:b/>
          <w:bCs/>
        </w:rPr>
        <w:t>Pearse</w:t>
      </w:r>
      <w:proofErr w:type="spellEnd"/>
      <w:r w:rsidRPr="00A755B5">
        <w:rPr>
          <w:rFonts w:ascii="Calibri" w:hAnsi="Calibri" w:cs="Calibri"/>
          <w:b/>
          <w:bCs/>
        </w:rPr>
        <w:t xml:space="preserve">, and G. </w:t>
      </w:r>
      <w:proofErr w:type="spellStart"/>
      <w:r w:rsidRPr="00A755B5">
        <w:rPr>
          <w:rFonts w:ascii="Calibri" w:hAnsi="Calibri" w:cs="Calibri"/>
          <w:b/>
          <w:bCs/>
        </w:rPr>
        <w:t>Spyreas</w:t>
      </w:r>
      <w:proofErr w:type="spellEnd"/>
      <w:r w:rsidRPr="00A755B5">
        <w:rPr>
          <w:rFonts w:ascii="Calibri" w:hAnsi="Calibri" w:cs="Calibri"/>
        </w:rPr>
        <w:t xml:space="preserve">. </w:t>
      </w:r>
      <w:r w:rsidRPr="00A755B5">
        <w:rPr>
          <w:rFonts w:ascii="Calibri" w:hAnsi="Calibri" w:cs="Calibri"/>
          <w:b/>
          <w:bCs/>
        </w:rPr>
        <w:t>2017</w:t>
      </w:r>
      <w:r w:rsidRPr="00A755B5">
        <w:rPr>
          <w:rFonts w:ascii="Calibri" w:hAnsi="Calibri" w:cs="Calibri"/>
        </w:rPr>
        <w:t xml:space="preserve">. Long-Term Trends in Midwestern Milkweed Abundances and Their Relevance to Monarch Butterfly Declines. </w:t>
      </w:r>
      <w:proofErr w:type="spellStart"/>
      <w:r w:rsidRPr="00A755B5">
        <w:rPr>
          <w:rFonts w:ascii="Calibri" w:hAnsi="Calibri" w:cs="Calibri"/>
        </w:rPr>
        <w:t>BioScience</w:t>
      </w:r>
      <w:proofErr w:type="spellEnd"/>
      <w:r w:rsidRPr="00A755B5">
        <w:rPr>
          <w:rFonts w:ascii="Calibri" w:hAnsi="Calibri" w:cs="Calibri"/>
        </w:rPr>
        <w:t>. 67: 343–356.</w:t>
      </w:r>
    </w:p>
    <w:p w:rsidR="00A755B5" w:rsidRPr="00A755B5" w:rsidRDefault="00A755B5" w:rsidP="00A755B5">
      <w:pPr>
        <w:pStyle w:val="Bibliography"/>
        <w:rPr>
          <w:rFonts w:ascii="Calibri" w:hAnsi="Calibri" w:cs="Calibri"/>
        </w:rPr>
      </w:pPr>
      <w:r w:rsidRPr="00A755B5">
        <w:rPr>
          <w:rFonts w:ascii="Calibri" w:hAnsi="Calibri" w:cs="Calibri"/>
          <w:b/>
          <w:bCs/>
        </w:rPr>
        <w:t xml:space="preserve">Zipkin, E. F., L. </w:t>
      </w:r>
      <w:proofErr w:type="spellStart"/>
      <w:r w:rsidRPr="00A755B5">
        <w:rPr>
          <w:rFonts w:ascii="Calibri" w:hAnsi="Calibri" w:cs="Calibri"/>
          <w:b/>
          <w:bCs/>
        </w:rPr>
        <w:t>Ries</w:t>
      </w:r>
      <w:proofErr w:type="spellEnd"/>
      <w:r w:rsidRPr="00A755B5">
        <w:rPr>
          <w:rFonts w:ascii="Calibri" w:hAnsi="Calibri" w:cs="Calibri"/>
          <w:b/>
          <w:bCs/>
        </w:rPr>
        <w:t xml:space="preserve">, R. Reeves, J. </w:t>
      </w:r>
      <w:proofErr w:type="spellStart"/>
      <w:r w:rsidRPr="00A755B5">
        <w:rPr>
          <w:rFonts w:ascii="Calibri" w:hAnsi="Calibri" w:cs="Calibri"/>
          <w:b/>
          <w:bCs/>
        </w:rPr>
        <w:t>Regetz</w:t>
      </w:r>
      <w:proofErr w:type="spellEnd"/>
      <w:r w:rsidRPr="00A755B5">
        <w:rPr>
          <w:rFonts w:ascii="Calibri" w:hAnsi="Calibri" w:cs="Calibri"/>
          <w:b/>
          <w:bCs/>
        </w:rPr>
        <w:t xml:space="preserve">, and K. S. </w:t>
      </w:r>
      <w:proofErr w:type="spellStart"/>
      <w:r w:rsidRPr="00A755B5">
        <w:rPr>
          <w:rFonts w:ascii="Calibri" w:hAnsi="Calibri" w:cs="Calibri"/>
          <w:b/>
          <w:bCs/>
        </w:rPr>
        <w:t>Oberhauser</w:t>
      </w:r>
      <w:proofErr w:type="spellEnd"/>
      <w:r w:rsidRPr="00A755B5">
        <w:rPr>
          <w:rFonts w:ascii="Calibri" w:hAnsi="Calibri" w:cs="Calibri"/>
        </w:rPr>
        <w:t xml:space="preserve">. </w:t>
      </w:r>
      <w:r w:rsidRPr="00A755B5">
        <w:rPr>
          <w:rFonts w:ascii="Calibri" w:hAnsi="Calibri" w:cs="Calibri"/>
          <w:b/>
          <w:bCs/>
        </w:rPr>
        <w:t>2012</w:t>
      </w:r>
      <w:r w:rsidRPr="00A755B5">
        <w:rPr>
          <w:rFonts w:ascii="Calibri" w:hAnsi="Calibri" w:cs="Calibri"/>
        </w:rPr>
        <w:t>. Tracking climate impacts on the migratory monarch butterfly. Glob Change Biol. 18: 3039–3049.</w:t>
      </w:r>
    </w:p>
    <w:p w:rsidR="005F269F" w:rsidRDefault="005F269F">
      <w:r>
        <w:fldChar w:fldCharType="end"/>
      </w:r>
    </w:p>
    <w:p w:rsidR="001A45B8" w:rsidRDefault="001A45B8">
      <w:pPr>
        <w:rPr>
          <w:b/>
        </w:rPr>
      </w:pPr>
      <w:r>
        <w:rPr>
          <w:b/>
        </w:rPr>
        <w:br w:type="page"/>
      </w:r>
    </w:p>
    <w:p w:rsidR="001A45B8" w:rsidRDefault="001A45B8" w:rsidP="001A45B8">
      <w:r w:rsidRPr="00D0485A">
        <w:rPr>
          <w:b/>
        </w:rPr>
        <w:lastRenderedPageBreak/>
        <w:t xml:space="preserve">Table </w:t>
      </w:r>
      <w:r>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t xml:space="preserve">. Analyses were performed on a subset of the data, from 1994-2013 to compare to previous use of this approach </w:t>
      </w:r>
      <w:r>
        <w:fldChar w:fldCharType="begin"/>
      </w:r>
      <w:r>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6F5AD1">
        <w:rPr>
          <w:rFonts w:ascii="Calibri" w:hAnsi="Calibri" w:cs="Calibri"/>
        </w:rPr>
        <w:t>(Bahlai, vander Werf, et al. 2015)</w:t>
      </w:r>
      <w:r>
        <w:fldChar w:fldCharType="end"/>
      </w:r>
      <w:r>
        <w:t xml:space="preserve">, and then again on the updated data including two additional sampling years. Note that the information criteria cannot be compared between the two data structures here, as they represent two different sets of independent variables; these criteria represent the ‘best’ of those that were used to rank competing break point combinations tested within the given data structures. The ‘Phase’ column gives a shorthand for referring to the data </w:t>
      </w:r>
      <w:proofErr w:type="spellStart"/>
      <w:r>
        <w:t>subsetting</w:t>
      </w:r>
      <w:proofErr w:type="spellEnd"/>
      <w:r>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rsidTr="00582A01">
        <w:tc>
          <w:tcPr>
            <w:tcW w:w="1350" w:type="dxa"/>
            <w:tcBorders>
              <w:top w:val="single" w:sz="4" w:space="0" w:color="auto"/>
              <w:bottom w:val="single" w:sz="4" w:space="0" w:color="auto"/>
            </w:tcBorders>
          </w:tcPr>
          <w:p w:rsidR="001A45B8" w:rsidRDefault="001A45B8" w:rsidP="00582A01">
            <w:pPr>
              <w:rPr>
                <w:b/>
              </w:rPr>
            </w:pPr>
            <w:r>
              <w:rPr>
                <w:b/>
              </w:rPr>
              <w:t>Data</w:t>
            </w:r>
          </w:p>
          <w:p w:rsidR="001A45B8" w:rsidRPr="005E54DF" w:rsidRDefault="001A45B8" w:rsidP="00582A01">
            <w:pPr>
              <w:rPr>
                <w:b/>
              </w:rPr>
            </w:pPr>
            <w:r>
              <w:rPr>
                <w:b/>
              </w:rPr>
              <w:t>structure</w:t>
            </w:r>
          </w:p>
        </w:tc>
        <w:tc>
          <w:tcPr>
            <w:tcW w:w="759" w:type="dxa"/>
            <w:tcBorders>
              <w:top w:val="single" w:sz="4" w:space="0" w:color="auto"/>
              <w:bottom w:val="single" w:sz="4" w:space="0" w:color="auto"/>
            </w:tcBorders>
          </w:tcPr>
          <w:p w:rsidR="001A45B8" w:rsidRPr="005E54DF" w:rsidRDefault="001A45B8" w:rsidP="00582A01">
            <w:pPr>
              <w:rPr>
                <w:b/>
              </w:rPr>
            </w:pPr>
            <w:r>
              <w:rPr>
                <w:b/>
              </w:rPr>
              <w:t>AIC</w:t>
            </w:r>
          </w:p>
        </w:tc>
        <w:tc>
          <w:tcPr>
            <w:tcW w:w="1035" w:type="dxa"/>
            <w:tcBorders>
              <w:top w:val="single" w:sz="4" w:space="0" w:color="auto"/>
              <w:bottom w:val="single" w:sz="4" w:space="0" w:color="auto"/>
            </w:tcBorders>
          </w:tcPr>
          <w:p w:rsidR="001A45B8" w:rsidRPr="005E54DF" w:rsidRDefault="001A45B8" w:rsidP="00582A01">
            <w:pPr>
              <w:rPr>
                <w:b/>
              </w:rPr>
            </w:pPr>
            <w:proofErr w:type="spellStart"/>
            <w:r>
              <w:rPr>
                <w:b/>
              </w:rPr>
              <w:t>AICc</w:t>
            </w:r>
            <w:proofErr w:type="spellEnd"/>
          </w:p>
        </w:tc>
        <w:tc>
          <w:tcPr>
            <w:tcW w:w="1060" w:type="dxa"/>
            <w:tcBorders>
              <w:top w:val="single" w:sz="4" w:space="0" w:color="auto"/>
              <w:bottom w:val="single" w:sz="4" w:space="0" w:color="auto"/>
            </w:tcBorders>
          </w:tcPr>
          <w:p w:rsidR="001A45B8" w:rsidRPr="005E54DF" w:rsidRDefault="001A45B8" w:rsidP="00582A01">
            <w:pPr>
              <w:rPr>
                <w:b/>
              </w:rPr>
            </w:pPr>
            <w:r w:rsidRPr="005E54DF">
              <w:rPr>
                <w:b/>
              </w:rPr>
              <w:t>Phase</w:t>
            </w:r>
          </w:p>
        </w:tc>
        <w:tc>
          <w:tcPr>
            <w:tcW w:w="2183" w:type="dxa"/>
            <w:tcBorders>
              <w:top w:val="single" w:sz="4" w:space="0" w:color="auto"/>
              <w:bottom w:val="single" w:sz="4" w:space="0" w:color="auto"/>
            </w:tcBorders>
          </w:tcPr>
          <w:p w:rsidR="001A45B8" w:rsidRPr="005E54DF" w:rsidRDefault="001A45B8" w:rsidP="00582A01">
            <w:pPr>
              <w:rPr>
                <w:b/>
              </w:rPr>
            </w:pPr>
            <w:r w:rsidRPr="005E54DF">
              <w:rPr>
                <w:b/>
              </w:rPr>
              <w:t>Years in subset</w:t>
            </w:r>
          </w:p>
        </w:tc>
        <w:tc>
          <w:tcPr>
            <w:tcW w:w="1572"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1A45B8" w:rsidTr="00582A01">
        <w:tc>
          <w:tcPr>
            <w:tcW w:w="1350" w:type="dxa"/>
            <w:tcBorders>
              <w:top w:val="single" w:sz="4" w:space="0" w:color="auto"/>
            </w:tcBorders>
          </w:tcPr>
          <w:p w:rsidR="001A45B8" w:rsidRDefault="001A45B8" w:rsidP="00582A01">
            <w:r>
              <w:t>Original, to 2013</w:t>
            </w:r>
          </w:p>
        </w:tc>
        <w:tc>
          <w:tcPr>
            <w:tcW w:w="759" w:type="dxa"/>
            <w:tcBorders>
              <w:top w:val="single" w:sz="4" w:space="0" w:color="auto"/>
            </w:tcBorders>
          </w:tcPr>
          <w:p w:rsidR="001A45B8" w:rsidRDefault="001A45B8" w:rsidP="00582A01">
            <w:r>
              <w:t>-13.5</w:t>
            </w:r>
          </w:p>
        </w:tc>
        <w:tc>
          <w:tcPr>
            <w:tcW w:w="1035" w:type="dxa"/>
            <w:tcBorders>
              <w:top w:val="single" w:sz="4" w:space="0" w:color="auto"/>
            </w:tcBorders>
          </w:tcPr>
          <w:p w:rsidR="001A45B8" w:rsidRDefault="001A45B8" w:rsidP="00582A01">
            <w:r>
              <w:t>-7.5</w:t>
            </w:r>
          </w:p>
        </w:tc>
        <w:tc>
          <w:tcPr>
            <w:tcW w:w="1060" w:type="dxa"/>
            <w:tcBorders>
              <w:top w:val="single" w:sz="4" w:space="0" w:color="auto"/>
            </w:tcBorders>
          </w:tcPr>
          <w:p w:rsidR="001A45B8" w:rsidRDefault="001A45B8" w:rsidP="00582A01">
            <w:r>
              <w:t>A</w:t>
            </w:r>
          </w:p>
        </w:tc>
        <w:tc>
          <w:tcPr>
            <w:tcW w:w="2183" w:type="dxa"/>
            <w:tcBorders>
              <w:top w:val="single" w:sz="4" w:space="0" w:color="auto"/>
            </w:tcBorders>
          </w:tcPr>
          <w:p w:rsidR="001A45B8" w:rsidRDefault="001A45B8" w:rsidP="00582A01">
            <w:r>
              <w:t>1994-2000</w:t>
            </w:r>
          </w:p>
        </w:tc>
        <w:tc>
          <w:tcPr>
            <w:tcW w:w="1572" w:type="dxa"/>
            <w:tcBorders>
              <w:top w:val="single" w:sz="4" w:space="0" w:color="auto"/>
            </w:tcBorders>
          </w:tcPr>
          <w:p w:rsidR="001A45B8" w:rsidRDefault="001A45B8" w:rsidP="00582A01">
            <w:pPr>
              <w:jc w:val="center"/>
            </w:pPr>
            <w:r>
              <w:t xml:space="preserve">1.3 </w:t>
            </w:r>
            <w:r>
              <w:rPr>
                <w:rFonts w:cstheme="minorHAnsi"/>
              </w:rPr>
              <w:t>± 0.3</w:t>
            </w:r>
          </w:p>
        </w:tc>
        <w:tc>
          <w:tcPr>
            <w:tcW w:w="1401" w:type="dxa"/>
            <w:tcBorders>
              <w:top w:val="single" w:sz="4" w:space="0" w:color="auto"/>
            </w:tcBorders>
          </w:tcPr>
          <w:p w:rsidR="001A45B8" w:rsidRDefault="001A45B8" w:rsidP="00582A01">
            <w:pPr>
              <w:jc w:val="center"/>
            </w:pPr>
            <w:r>
              <w:rPr>
                <w:rFonts w:cstheme="minorHAnsi"/>
              </w:rPr>
              <w:t>0.33 ± 0.03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w:t>
            </w:r>
          </w:p>
        </w:tc>
        <w:tc>
          <w:tcPr>
            <w:tcW w:w="2183" w:type="dxa"/>
          </w:tcPr>
          <w:p w:rsidR="001A45B8" w:rsidRDefault="001A45B8" w:rsidP="00582A01">
            <w:r>
              <w:t>2001-2005</w:t>
            </w:r>
          </w:p>
        </w:tc>
        <w:tc>
          <w:tcPr>
            <w:tcW w:w="1572" w:type="dxa"/>
          </w:tcPr>
          <w:p w:rsidR="001A45B8" w:rsidRDefault="001A45B8" w:rsidP="00582A01">
            <w:pPr>
              <w:jc w:val="center"/>
            </w:pPr>
            <w:r>
              <w:rPr>
                <w:rFonts w:cstheme="minorHAnsi"/>
              </w:rPr>
              <w:t>2.2 ± 0.2</w:t>
            </w:r>
          </w:p>
        </w:tc>
        <w:tc>
          <w:tcPr>
            <w:tcW w:w="1401" w:type="dxa"/>
          </w:tcPr>
          <w:p w:rsidR="001A45B8" w:rsidRDefault="001A45B8" w:rsidP="00582A01">
            <w:pPr>
              <w:jc w:val="center"/>
            </w:pPr>
            <w:r>
              <w:rPr>
                <w:rFonts w:cstheme="minorHAnsi"/>
              </w:rPr>
              <w:t>0.46 ± 0.02</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C</w:t>
            </w:r>
          </w:p>
        </w:tc>
        <w:tc>
          <w:tcPr>
            <w:tcW w:w="2183" w:type="dxa"/>
          </w:tcPr>
          <w:p w:rsidR="001A45B8" w:rsidRDefault="001A45B8" w:rsidP="00582A01">
            <w:r>
              <w:t>2006-2013</w:t>
            </w:r>
          </w:p>
        </w:tc>
        <w:tc>
          <w:tcPr>
            <w:tcW w:w="1572" w:type="dxa"/>
          </w:tcPr>
          <w:p w:rsidR="001A45B8" w:rsidRDefault="001A45B8" w:rsidP="00582A01">
            <w:pPr>
              <w:jc w:val="center"/>
            </w:pPr>
            <w:r>
              <w:rPr>
                <w:rFonts w:cstheme="minorHAnsi"/>
              </w:rPr>
              <w:t>1.5 ± 0.2</w:t>
            </w:r>
          </w:p>
        </w:tc>
        <w:tc>
          <w:tcPr>
            <w:tcW w:w="1401" w:type="dxa"/>
          </w:tcPr>
          <w:p w:rsidR="001A45B8" w:rsidRDefault="001A45B8" w:rsidP="00582A01">
            <w:pPr>
              <w:jc w:val="center"/>
            </w:pPr>
            <w:r>
              <w:rPr>
                <w:rFonts w:cstheme="minorHAnsi"/>
              </w:rPr>
              <w:t>0.29 ± 0.02</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Borders>
              <w:bottom w:val="nil"/>
            </w:tcBorders>
          </w:tcPr>
          <w:p w:rsidR="001A45B8" w:rsidRDefault="001A45B8" w:rsidP="00582A01"/>
        </w:tc>
        <w:tc>
          <w:tcPr>
            <w:tcW w:w="2183" w:type="dxa"/>
            <w:tcBorders>
              <w:bottom w:val="nil"/>
            </w:tcBorders>
          </w:tcPr>
          <w:p w:rsidR="001A45B8" w:rsidRDefault="001A45B8" w:rsidP="00582A01"/>
        </w:tc>
        <w:tc>
          <w:tcPr>
            <w:tcW w:w="1572" w:type="dxa"/>
            <w:tcBorders>
              <w:bottom w:val="nil"/>
            </w:tcBorders>
          </w:tcPr>
          <w:p w:rsidR="001A45B8" w:rsidRDefault="001A45B8" w:rsidP="00582A01">
            <w:pPr>
              <w:jc w:val="center"/>
              <w:rPr>
                <w:rFonts w:cstheme="minorHAnsi"/>
              </w:rPr>
            </w:pPr>
          </w:p>
        </w:tc>
        <w:tc>
          <w:tcPr>
            <w:tcW w:w="1401" w:type="dxa"/>
            <w:tcBorders>
              <w:bottom w:val="nil"/>
            </w:tcBorders>
          </w:tcPr>
          <w:p w:rsidR="001A45B8" w:rsidRDefault="001A45B8" w:rsidP="00582A01">
            <w:pPr>
              <w:jc w:val="center"/>
              <w:rPr>
                <w:rFonts w:cstheme="minorHAnsi"/>
              </w:rPr>
            </w:pPr>
          </w:p>
        </w:tc>
      </w:tr>
      <w:tr w:rsidR="001A45B8" w:rsidTr="00582A01">
        <w:tc>
          <w:tcPr>
            <w:tcW w:w="1350" w:type="dxa"/>
          </w:tcPr>
          <w:p w:rsidR="001A45B8" w:rsidRDefault="001A45B8" w:rsidP="00582A01">
            <w:r>
              <w:t>Complete, to 2015</w:t>
            </w:r>
          </w:p>
        </w:tc>
        <w:tc>
          <w:tcPr>
            <w:tcW w:w="759" w:type="dxa"/>
          </w:tcPr>
          <w:p w:rsidR="001A45B8" w:rsidRDefault="001A45B8" w:rsidP="00582A01">
            <w:r>
              <w:t>-36.8</w:t>
            </w:r>
          </w:p>
        </w:tc>
        <w:tc>
          <w:tcPr>
            <w:tcW w:w="1035" w:type="dxa"/>
          </w:tcPr>
          <w:p w:rsidR="001A45B8" w:rsidRDefault="001A45B8" w:rsidP="00582A01">
            <w:r>
              <w:t>-16.8</w:t>
            </w:r>
          </w:p>
        </w:tc>
        <w:tc>
          <w:tcPr>
            <w:tcW w:w="1060" w:type="dxa"/>
            <w:tcBorders>
              <w:top w:val="nil"/>
              <w:bottom w:val="nil"/>
            </w:tcBorders>
          </w:tcPr>
          <w:p w:rsidR="001A45B8" w:rsidRDefault="001A45B8" w:rsidP="00582A01">
            <w:r>
              <w:t>A</w:t>
            </w:r>
          </w:p>
        </w:tc>
        <w:tc>
          <w:tcPr>
            <w:tcW w:w="2183" w:type="dxa"/>
            <w:tcBorders>
              <w:top w:val="nil"/>
              <w:bottom w:val="nil"/>
            </w:tcBorders>
          </w:tcPr>
          <w:p w:rsidR="001A45B8" w:rsidRDefault="001A45B8" w:rsidP="00582A01">
            <w:r>
              <w:t>1994-2000</w:t>
            </w:r>
          </w:p>
        </w:tc>
        <w:tc>
          <w:tcPr>
            <w:tcW w:w="1572" w:type="dxa"/>
            <w:tcBorders>
              <w:top w:val="nil"/>
              <w:bottom w:val="nil"/>
            </w:tcBorders>
          </w:tcPr>
          <w:p w:rsidR="001A45B8" w:rsidRDefault="001A45B8" w:rsidP="00582A01">
            <w:pPr>
              <w:jc w:val="center"/>
            </w:pPr>
            <w:r>
              <w:t xml:space="preserve">1.3 </w:t>
            </w:r>
            <w:r>
              <w:rPr>
                <w:rFonts w:cstheme="minorHAnsi"/>
              </w:rPr>
              <w:t>± 0.3</w:t>
            </w:r>
          </w:p>
        </w:tc>
        <w:tc>
          <w:tcPr>
            <w:tcW w:w="1401" w:type="dxa"/>
            <w:tcBorders>
              <w:top w:val="nil"/>
              <w:bottom w:val="nil"/>
            </w:tcBorders>
          </w:tcPr>
          <w:p w:rsidR="001A45B8" w:rsidRDefault="001A45B8" w:rsidP="00582A01">
            <w:pPr>
              <w:jc w:val="center"/>
            </w:pPr>
            <w:r>
              <w:rPr>
                <w:rFonts w:cstheme="minorHAnsi"/>
              </w:rPr>
              <w:t>0.33 ± 0.03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Borders>
              <w:top w:val="nil"/>
            </w:tcBorders>
          </w:tcPr>
          <w:p w:rsidR="001A45B8" w:rsidRDefault="001A45B8" w:rsidP="00582A01">
            <w:r>
              <w:t>B+C</w:t>
            </w:r>
          </w:p>
        </w:tc>
        <w:tc>
          <w:tcPr>
            <w:tcW w:w="2183" w:type="dxa"/>
            <w:tcBorders>
              <w:top w:val="nil"/>
            </w:tcBorders>
          </w:tcPr>
          <w:p w:rsidR="001A45B8" w:rsidRDefault="001A45B8" w:rsidP="00582A01">
            <w:r>
              <w:t>2001-2015</w:t>
            </w:r>
          </w:p>
        </w:tc>
        <w:tc>
          <w:tcPr>
            <w:tcW w:w="1572" w:type="dxa"/>
            <w:tcBorders>
              <w:top w:val="nil"/>
            </w:tcBorders>
          </w:tcPr>
          <w:p w:rsidR="001A45B8" w:rsidRDefault="001A45B8" w:rsidP="00582A01">
            <w:pPr>
              <w:jc w:val="center"/>
            </w:pPr>
            <w:r>
              <w:rPr>
                <w:rFonts w:cstheme="minorHAnsi"/>
              </w:rPr>
              <w:t>1.6 ± 0.4</w:t>
            </w:r>
          </w:p>
        </w:tc>
        <w:tc>
          <w:tcPr>
            <w:tcW w:w="1401" w:type="dxa"/>
            <w:tcBorders>
              <w:top w:val="nil"/>
            </w:tcBorders>
          </w:tcPr>
          <w:p w:rsidR="001A45B8" w:rsidRDefault="001A45B8" w:rsidP="00582A01">
            <w:pPr>
              <w:jc w:val="center"/>
            </w:pPr>
            <w:r>
              <w:rPr>
                <w:rFonts w:cstheme="minorHAnsi"/>
              </w:rPr>
              <w:t>0.43 ± 0.05</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bl>
    <w:p w:rsidR="001A45B8" w:rsidRDefault="001A45B8" w:rsidP="001A45B8"/>
    <w:p w:rsidR="001A45B8" w:rsidRDefault="001A45B8">
      <w:pPr>
        <w:rPr>
          <w:b/>
        </w:rPr>
      </w:pPr>
      <w:r>
        <w:rPr>
          <w:b/>
        </w:rPr>
        <w:br w:type="page"/>
      </w:r>
    </w:p>
    <w:p w:rsidR="001A45B8" w:rsidRDefault="001A45B8" w:rsidP="001A45B8">
      <w:r w:rsidRPr="00741812">
        <w:rPr>
          <w:b/>
        </w:rPr>
        <w:lastRenderedPageBreak/>
        <w:t>Table 2.</w:t>
      </w:r>
      <w:r>
        <w:t xml:space="preserve"> Model performance of top-ranked models of differing structures fit to p</w:t>
      </w:r>
      <w:r w:rsidRPr="00F000D9">
        <w:t>opulation data document</w:t>
      </w:r>
      <w:r>
        <w:t>ing</w:t>
      </w:r>
      <w:r w:rsidRPr="00F000D9">
        <w:t xml:space="preserve"> the area occupied by overwintering Monarch butterflies in their winter habitat in the Mexico, 1995-</w:t>
      </w:r>
      <w:r>
        <w:t xml:space="preserve">2016. One break and two break models are for best break point combinations selected by regime shift detector script, while ‘linear K’ model assumes a linear decline of carrying capacity K and a single constant intrinsic rate of increase r. The ‘Phase’ column gives a shorthand for referring to the data </w:t>
      </w:r>
      <w:proofErr w:type="spellStart"/>
      <w:r>
        <w:t>subsetting</w:t>
      </w:r>
      <w:proofErr w:type="spellEnd"/>
      <w:r>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rsidTr="00582A01">
        <w:tc>
          <w:tcPr>
            <w:tcW w:w="1350" w:type="dxa"/>
            <w:tcBorders>
              <w:top w:val="single" w:sz="4" w:space="0" w:color="auto"/>
              <w:bottom w:val="single" w:sz="4" w:space="0" w:color="auto"/>
            </w:tcBorders>
          </w:tcPr>
          <w:p w:rsidR="001A45B8" w:rsidRPr="005E54DF" w:rsidRDefault="001A45B8" w:rsidP="00582A01">
            <w:pPr>
              <w:rPr>
                <w:b/>
              </w:rPr>
            </w:pPr>
            <w:bookmarkStart w:id="1" w:name="_Hlk486250676"/>
            <w:r>
              <w:rPr>
                <w:b/>
              </w:rPr>
              <w:t>Model structure</w:t>
            </w:r>
          </w:p>
        </w:tc>
        <w:tc>
          <w:tcPr>
            <w:tcW w:w="759" w:type="dxa"/>
            <w:tcBorders>
              <w:top w:val="single" w:sz="4" w:space="0" w:color="auto"/>
              <w:bottom w:val="single" w:sz="4" w:space="0" w:color="auto"/>
            </w:tcBorders>
          </w:tcPr>
          <w:p w:rsidR="001A45B8" w:rsidRPr="005E54DF" w:rsidRDefault="001A45B8" w:rsidP="00582A01">
            <w:pPr>
              <w:rPr>
                <w:b/>
              </w:rPr>
            </w:pPr>
            <w:r>
              <w:rPr>
                <w:b/>
              </w:rPr>
              <w:t>AIC</w:t>
            </w:r>
          </w:p>
        </w:tc>
        <w:tc>
          <w:tcPr>
            <w:tcW w:w="1035" w:type="dxa"/>
            <w:tcBorders>
              <w:top w:val="single" w:sz="4" w:space="0" w:color="auto"/>
              <w:bottom w:val="single" w:sz="4" w:space="0" w:color="auto"/>
            </w:tcBorders>
          </w:tcPr>
          <w:p w:rsidR="001A45B8" w:rsidRPr="005E54DF" w:rsidRDefault="001A45B8" w:rsidP="00582A01">
            <w:pPr>
              <w:rPr>
                <w:b/>
              </w:rPr>
            </w:pPr>
            <w:proofErr w:type="spellStart"/>
            <w:r>
              <w:rPr>
                <w:b/>
              </w:rPr>
              <w:t>AICc</w:t>
            </w:r>
            <w:proofErr w:type="spellEnd"/>
          </w:p>
        </w:tc>
        <w:tc>
          <w:tcPr>
            <w:tcW w:w="1060" w:type="dxa"/>
            <w:tcBorders>
              <w:top w:val="single" w:sz="4" w:space="0" w:color="auto"/>
              <w:bottom w:val="single" w:sz="4" w:space="0" w:color="auto"/>
            </w:tcBorders>
          </w:tcPr>
          <w:p w:rsidR="001A45B8" w:rsidRPr="005E54DF" w:rsidRDefault="001A45B8" w:rsidP="00582A01">
            <w:pPr>
              <w:rPr>
                <w:b/>
              </w:rPr>
            </w:pPr>
            <w:r w:rsidRPr="005E54DF">
              <w:rPr>
                <w:b/>
              </w:rPr>
              <w:t>Phase</w:t>
            </w:r>
          </w:p>
        </w:tc>
        <w:tc>
          <w:tcPr>
            <w:tcW w:w="2183" w:type="dxa"/>
            <w:tcBorders>
              <w:top w:val="single" w:sz="4" w:space="0" w:color="auto"/>
              <w:bottom w:val="single" w:sz="4" w:space="0" w:color="auto"/>
            </w:tcBorders>
          </w:tcPr>
          <w:p w:rsidR="001A45B8" w:rsidRPr="005E54DF" w:rsidRDefault="001A45B8" w:rsidP="00582A01">
            <w:pPr>
              <w:rPr>
                <w:b/>
              </w:rPr>
            </w:pPr>
            <w:r w:rsidRPr="005E54DF">
              <w:rPr>
                <w:b/>
              </w:rPr>
              <w:t>Years in subset</w:t>
            </w:r>
          </w:p>
        </w:tc>
        <w:tc>
          <w:tcPr>
            <w:tcW w:w="1572"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1A45B8" w:rsidTr="00582A01">
        <w:tc>
          <w:tcPr>
            <w:tcW w:w="1350" w:type="dxa"/>
            <w:tcBorders>
              <w:top w:val="single" w:sz="4" w:space="0" w:color="auto"/>
            </w:tcBorders>
          </w:tcPr>
          <w:p w:rsidR="001A45B8" w:rsidRDefault="001A45B8" w:rsidP="00582A01">
            <w:r>
              <w:t>One break</w:t>
            </w:r>
          </w:p>
        </w:tc>
        <w:tc>
          <w:tcPr>
            <w:tcW w:w="759" w:type="dxa"/>
            <w:tcBorders>
              <w:top w:val="single" w:sz="4" w:space="0" w:color="auto"/>
            </w:tcBorders>
          </w:tcPr>
          <w:p w:rsidR="001A45B8" w:rsidRDefault="001A45B8" w:rsidP="00582A01">
            <w:r>
              <w:t>114.6</w:t>
            </w:r>
          </w:p>
        </w:tc>
        <w:tc>
          <w:tcPr>
            <w:tcW w:w="1035" w:type="dxa"/>
            <w:tcBorders>
              <w:top w:val="single" w:sz="4" w:space="0" w:color="auto"/>
            </w:tcBorders>
          </w:tcPr>
          <w:p w:rsidR="001A45B8" w:rsidRDefault="001A45B8" w:rsidP="00582A01">
            <w:r>
              <w:t>120.2</w:t>
            </w:r>
          </w:p>
        </w:tc>
        <w:tc>
          <w:tcPr>
            <w:tcW w:w="1060" w:type="dxa"/>
            <w:tcBorders>
              <w:top w:val="single" w:sz="4" w:space="0" w:color="auto"/>
            </w:tcBorders>
          </w:tcPr>
          <w:p w:rsidR="001A45B8" w:rsidRDefault="001A45B8" w:rsidP="00582A01">
            <w:r>
              <w:t>A</w:t>
            </w:r>
          </w:p>
        </w:tc>
        <w:tc>
          <w:tcPr>
            <w:tcW w:w="2183" w:type="dxa"/>
            <w:tcBorders>
              <w:top w:val="single" w:sz="4" w:space="0" w:color="auto"/>
            </w:tcBorders>
          </w:tcPr>
          <w:p w:rsidR="001A45B8" w:rsidRDefault="001A45B8" w:rsidP="00582A01">
            <w:r>
              <w:t>1995-2003</w:t>
            </w:r>
          </w:p>
        </w:tc>
        <w:tc>
          <w:tcPr>
            <w:tcW w:w="1572" w:type="dxa"/>
          </w:tcPr>
          <w:p w:rsidR="001A45B8" w:rsidRDefault="001A45B8" w:rsidP="00582A01">
            <w:pPr>
              <w:jc w:val="center"/>
              <w:rPr>
                <w:rFonts w:cstheme="minorHAnsi"/>
              </w:rPr>
            </w:pPr>
            <w:r>
              <w:rPr>
                <w:rFonts w:cstheme="minorHAnsi"/>
              </w:rPr>
              <w:t>1.0 ± 0.5</w:t>
            </w:r>
          </w:p>
        </w:tc>
        <w:tc>
          <w:tcPr>
            <w:tcW w:w="1401" w:type="dxa"/>
          </w:tcPr>
          <w:p w:rsidR="001A45B8" w:rsidRDefault="001A45B8" w:rsidP="00582A01">
            <w:pPr>
              <w:jc w:val="center"/>
              <w:rPr>
                <w:rFonts w:cstheme="minorHAnsi"/>
              </w:rPr>
            </w:pPr>
            <w:r>
              <w:rPr>
                <w:rFonts w:cstheme="minorHAnsi"/>
              </w:rPr>
              <w:t>10.1 ± 1.9</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B+C</w:t>
            </w:r>
          </w:p>
        </w:tc>
        <w:tc>
          <w:tcPr>
            <w:tcW w:w="2183" w:type="dxa"/>
          </w:tcPr>
          <w:p w:rsidR="001A45B8" w:rsidRDefault="001A45B8" w:rsidP="00582A01">
            <w:r>
              <w:t>2001-2015</w:t>
            </w:r>
          </w:p>
        </w:tc>
        <w:tc>
          <w:tcPr>
            <w:tcW w:w="1572" w:type="dxa"/>
          </w:tcPr>
          <w:p w:rsidR="001A45B8" w:rsidRDefault="001A45B8" w:rsidP="00582A01">
            <w:pPr>
              <w:jc w:val="center"/>
            </w:pPr>
            <w:r>
              <w:rPr>
                <w:rFonts w:cstheme="minorHAnsi"/>
              </w:rPr>
              <w:t>0.8 ± 0.3</w:t>
            </w:r>
          </w:p>
        </w:tc>
        <w:tc>
          <w:tcPr>
            <w:tcW w:w="1401" w:type="dxa"/>
          </w:tcPr>
          <w:p w:rsidR="001A45B8" w:rsidRDefault="001A45B8" w:rsidP="00582A01">
            <w:pPr>
              <w:jc w:val="center"/>
            </w:pPr>
            <w:r>
              <w:rPr>
                <w:rFonts w:cstheme="minorHAnsi"/>
              </w:rPr>
              <w:t>4.1 ± 0.7</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r w:rsidR="001A45B8" w:rsidTr="00582A01">
        <w:tc>
          <w:tcPr>
            <w:tcW w:w="1350" w:type="dxa"/>
          </w:tcPr>
          <w:p w:rsidR="001A45B8" w:rsidRDefault="001A45B8" w:rsidP="00582A01">
            <w:bookmarkStart w:id="2" w:name="_Hlk486250303"/>
            <w:r>
              <w:t xml:space="preserve">Two </w:t>
            </w:r>
            <w:proofErr w:type="gramStart"/>
            <w:r>
              <w:t>break</w:t>
            </w:r>
            <w:proofErr w:type="gramEnd"/>
          </w:p>
        </w:tc>
        <w:tc>
          <w:tcPr>
            <w:tcW w:w="759" w:type="dxa"/>
          </w:tcPr>
          <w:p w:rsidR="001A45B8" w:rsidRDefault="001A45B8" w:rsidP="00582A01">
            <w:r>
              <w:t>106.9</w:t>
            </w:r>
          </w:p>
        </w:tc>
        <w:tc>
          <w:tcPr>
            <w:tcW w:w="1035" w:type="dxa"/>
          </w:tcPr>
          <w:p w:rsidR="001A45B8" w:rsidRDefault="001A45B8" w:rsidP="00582A01">
            <w:r>
              <w:t>121.9</w:t>
            </w:r>
          </w:p>
        </w:tc>
        <w:tc>
          <w:tcPr>
            <w:tcW w:w="1060" w:type="dxa"/>
          </w:tcPr>
          <w:p w:rsidR="001A45B8" w:rsidRDefault="001A45B8" w:rsidP="00582A01">
            <w:r>
              <w:t>A</w:t>
            </w:r>
          </w:p>
        </w:tc>
        <w:tc>
          <w:tcPr>
            <w:tcW w:w="2183" w:type="dxa"/>
          </w:tcPr>
          <w:p w:rsidR="001A45B8" w:rsidRDefault="001A45B8" w:rsidP="00582A01">
            <w:r>
              <w:t>1995-2003</w:t>
            </w:r>
          </w:p>
        </w:tc>
        <w:tc>
          <w:tcPr>
            <w:tcW w:w="1572" w:type="dxa"/>
          </w:tcPr>
          <w:p w:rsidR="001A45B8" w:rsidRDefault="001A45B8" w:rsidP="00582A01">
            <w:pPr>
              <w:jc w:val="center"/>
              <w:rPr>
                <w:rFonts w:cstheme="minorHAnsi"/>
              </w:rPr>
            </w:pPr>
            <w:r>
              <w:rPr>
                <w:rFonts w:cstheme="minorHAnsi"/>
              </w:rPr>
              <w:t>1.0 ± 0.5</w:t>
            </w:r>
          </w:p>
        </w:tc>
        <w:tc>
          <w:tcPr>
            <w:tcW w:w="1401" w:type="dxa"/>
          </w:tcPr>
          <w:p w:rsidR="001A45B8" w:rsidRDefault="001A45B8" w:rsidP="00582A01">
            <w:pPr>
              <w:jc w:val="center"/>
              <w:rPr>
                <w:rFonts w:cstheme="minorHAnsi"/>
              </w:rPr>
            </w:pPr>
            <w:r>
              <w:rPr>
                <w:rFonts w:cstheme="minorHAnsi"/>
              </w:rPr>
              <w:t>10.1 ± 1.9</w:t>
            </w:r>
          </w:p>
        </w:tc>
      </w:tr>
      <w:bookmarkEnd w:id="2"/>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w:t>
            </w:r>
          </w:p>
        </w:tc>
        <w:tc>
          <w:tcPr>
            <w:tcW w:w="2183" w:type="dxa"/>
          </w:tcPr>
          <w:p w:rsidR="001A45B8" w:rsidRDefault="001A45B8" w:rsidP="00582A01">
            <w:r>
              <w:t>2004-2008</w:t>
            </w:r>
          </w:p>
        </w:tc>
        <w:tc>
          <w:tcPr>
            <w:tcW w:w="1572" w:type="dxa"/>
          </w:tcPr>
          <w:p w:rsidR="001A45B8" w:rsidRDefault="001A45B8" w:rsidP="00582A01">
            <w:pPr>
              <w:jc w:val="center"/>
              <w:rPr>
                <w:rFonts w:cstheme="minorHAnsi"/>
              </w:rPr>
            </w:pPr>
            <w:r>
              <w:rPr>
                <w:rFonts w:cstheme="minorHAnsi"/>
              </w:rPr>
              <w:t>1.6 ± 0.2</w:t>
            </w:r>
          </w:p>
        </w:tc>
        <w:tc>
          <w:tcPr>
            <w:tcW w:w="1401" w:type="dxa"/>
          </w:tcPr>
          <w:p w:rsidR="001A45B8" w:rsidRDefault="001A45B8" w:rsidP="00582A01">
            <w:pPr>
              <w:jc w:val="center"/>
              <w:rPr>
                <w:rFonts w:cstheme="minorHAnsi"/>
              </w:rPr>
            </w:pPr>
            <w:r>
              <w:rPr>
                <w:rFonts w:cstheme="minorHAnsi"/>
              </w:rPr>
              <w:t>5.6 ± 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C</w:t>
            </w:r>
          </w:p>
        </w:tc>
        <w:tc>
          <w:tcPr>
            <w:tcW w:w="2183" w:type="dxa"/>
          </w:tcPr>
          <w:p w:rsidR="001A45B8" w:rsidRDefault="001A45B8" w:rsidP="00582A01">
            <w:r>
              <w:t>2009-2016</w:t>
            </w:r>
          </w:p>
        </w:tc>
        <w:tc>
          <w:tcPr>
            <w:tcW w:w="1572" w:type="dxa"/>
          </w:tcPr>
          <w:p w:rsidR="001A45B8" w:rsidRDefault="001A45B8" w:rsidP="00582A01">
            <w:pPr>
              <w:jc w:val="center"/>
              <w:rPr>
                <w:rFonts w:cstheme="minorHAnsi"/>
              </w:rPr>
            </w:pPr>
            <w:r>
              <w:rPr>
                <w:rFonts w:cstheme="minorHAnsi"/>
              </w:rPr>
              <w:t>1.2 ± 0.4</w:t>
            </w:r>
          </w:p>
        </w:tc>
        <w:tc>
          <w:tcPr>
            <w:tcW w:w="1401" w:type="dxa"/>
          </w:tcPr>
          <w:p w:rsidR="001A45B8" w:rsidRDefault="001A45B8" w:rsidP="00582A01">
            <w:pPr>
              <w:jc w:val="center"/>
              <w:rPr>
                <w:rFonts w:cstheme="minorHAnsi"/>
              </w:rPr>
            </w:pPr>
            <w:r>
              <w:rPr>
                <w:rFonts w:cstheme="minorHAnsi"/>
              </w:rPr>
              <w:t>2.8 ± 0.5</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r w:rsidR="001A45B8" w:rsidTr="00582A01">
        <w:tc>
          <w:tcPr>
            <w:tcW w:w="1350" w:type="dxa"/>
          </w:tcPr>
          <w:p w:rsidR="001A45B8" w:rsidRDefault="001A45B8" w:rsidP="00582A01">
            <w:r>
              <w:t>Linear K</w:t>
            </w:r>
          </w:p>
        </w:tc>
        <w:tc>
          <w:tcPr>
            <w:tcW w:w="759" w:type="dxa"/>
          </w:tcPr>
          <w:p w:rsidR="001A45B8" w:rsidRDefault="001A45B8" w:rsidP="00582A01">
            <w:r>
              <w:t>112.9</w:t>
            </w:r>
          </w:p>
        </w:tc>
        <w:tc>
          <w:tcPr>
            <w:tcW w:w="1035" w:type="dxa"/>
          </w:tcPr>
          <w:p w:rsidR="001A45B8" w:rsidRDefault="001A45B8" w:rsidP="00582A01">
            <w:r>
              <w:t>118.5</w:t>
            </w:r>
          </w:p>
        </w:tc>
        <w:tc>
          <w:tcPr>
            <w:tcW w:w="1060" w:type="dxa"/>
          </w:tcPr>
          <w:p w:rsidR="001A45B8" w:rsidRDefault="001A45B8" w:rsidP="00582A01">
            <w:r>
              <w:t>A+B+C</w:t>
            </w:r>
          </w:p>
        </w:tc>
        <w:tc>
          <w:tcPr>
            <w:tcW w:w="2183" w:type="dxa"/>
          </w:tcPr>
          <w:p w:rsidR="001A45B8" w:rsidRDefault="001A45B8" w:rsidP="00582A01">
            <w:r>
              <w:t>1995-2016</w:t>
            </w:r>
          </w:p>
        </w:tc>
        <w:tc>
          <w:tcPr>
            <w:tcW w:w="1572" w:type="dxa"/>
          </w:tcPr>
          <w:p w:rsidR="001A45B8" w:rsidRDefault="001A45B8" w:rsidP="00582A01">
            <w:pPr>
              <w:jc w:val="center"/>
              <w:rPr>
                <w:rFonts w:cstheme="minorHAnsi"/>
              </w:rPr>
            </w:pPr>
            <w:r>
              <w:rPr>
                <w:rFonts w:cstheme="minorHAnsi"/>
              </w:rPr>
              <w:t xml:space="preserve"> 1.3 ± 0.3</w:t>
            </w:r>
          </w:p>
        </w:tc>
        <w:tc>
          <w:tcPr>
            <w:tcW w:w="1401" w:type="dxa"/>
          </w:tcPr>
          <w:p w:rsidR="001A45B8" w:rsidRDefault="001A45B8" w:rsidP="00582A01">
            <w:pPr>
              <w:jc w:val="center"/>
              <w:rPr>
                <w:rFonts w:cstheme="minorHAnsi"/>
              </w:rPr>
            </w:pPr>
            <w:r>
              <w:rPr>
                <w:rFonts w:cstheme="minorHAnsi"/>
              </w:rPr>
              <w:t>-</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bookmarkEnd w:id="1"/>
    </w:tbl>
    <w:p w:rsidR="001A45B8" w:rsidRDefault="001A45B8"/>
    <w:sectPr w:rsidR="001A4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12C"/>
    <w:rsid w:val="00041695"/>
    <w:rsid w:val="000C010E"/>
    <w:rsid w:val="000D7549"/>
    <w:rsid w:val="000E79AB"/>
    <w:rsid w:val="00110925"/>
    <w:rsid w:val="001117D0"/>
    <w:rsid w:val="001207E1"/>
    <w:rsid w:val="0012443C"/>
    <w:rsid w:val="00144D3E"/>
    <w:rsid w:val="001707D6"/>
    <w:rsid w:val="00183469"/>
    <w:rsid w:val="00192770"/>
    <w:rsid w:val="001A45B8"/>
    <w:rsid w:val="001A7639"/>
    <w:rsid w:val="001E5FF0"/>
    <w:rsid w:val="001E7BBE"/>
    <w:rsid w:val="001F08E5"/>
    <w:rsid w:val="001F1F22"/>
    <w:rsid w:val="00202B26"/>
    <w:rsid w:val="00220E9B"/>
    <w:rsid w:val="0025397A"/>
    <w:rsid w:val="00253A5C"/>
    <w:rsid w:val="0026339A"/>
    <w:rsid w:val="002806C0"/>
    <w:rsid w:val="002C07AC"/>
    <w:rsid w:val="002F3300"/>
    <w:rsid w:val="00321265"/>
    <w:rsid w:val="00321525"/>
    <w:rsid w:val="00351C6A"/>
    <w:rsid w:val="00361520"/>
    <w:rsid w:val="00372BCA"/>
    <w:rsid w:val="003731A4"/>
    <w:rsid w:val="003750B0"/>
    <w:rsid w:val="003E3172"/>
    <w:rsid w:val="003F79D2"/>
    <w:rsid w:val="00400898"/>
    <w:rsid w:val="004064FD"/>
    <w:rsid w:val="00422095"/>
    <w:rsid w:val="00426F5D"/>
    <w:rsid w:val="004357F0"/>
    <w:rsid w:val="004B5CF5"/>
    <w:rsid w:val="004E2AD0"/>
    <w:rsid w:val="00517974"/>
    <w:rsid w:val="005270FD"/>
    <w:rsid w:val="00553662"/>
    <w:rsid w:val="005636B6"/>
    <w:rsid w:val="00573D9F"/>
    <w:rsid w:val="005747CE"/>
    <w:rsid w:val="00574DB7"/>
    <w:rsid w:val="00592CE1"/>
    <w:rsid w:val="00593F4D"/>
    <w:rsid w:val="0059653A"/>
    <w:rsid w:val="005E54DF"/>
    <w:rsid w:val="005E5969"/>
    <w:rsid w:val="005F269F"/>
    <w:rsid w:val="005F5665"/>
    <w:rsid w:val="00612797"/>
    <w:rsid w:val="00621E6F"/>
    <w:rsid w:val="00633A5C"/>
    <w:rsid w:val="00656A99"/>
    <w:rsid w:val="006871C7"/>
    <w:rsid w:val="00697A0B"/>
    <w:rsid w:val="006A403A"/>
    <w:rsid w:val="006F5AD1"/>
    <w:rsid w:val="00731895"/>
    <w:rsid w:val="007328EE"/>
    <w:rsid w:val="00741812"/>
    <w:rsid w:val="00742C1A"/>
    <w:rsid w:val="0075339F"/>
    <w:rsid w:val="007806DB"/>
    <w:rsid w:val="007A509C"/>
    <w:rsid w:val="007A7749"/>
    <w:rsid w:val="007C6007"/>
    <w:rsid w:val="007E3B10"/>
    <w:rsid w:val="007F1F77"/>
    <w:rsid w:val="0082128B"/>
    <w:rsid w:val="008540FB"/>
    <w:rsid w:val="008A2111"/>
    <w:rsid w:val="008A2623"/>
    <w:rsid w:val="008B00A3"/>
    <w:rsid w:val="008D37F3"/>
    <w:rsid w:val="00911A04"/>
    <w:rsid w:val="00925826"/>
    <w:rsid w:val="00925F1C"/>
    <w:rsid w:val="00957A84"/>
    <w:rsid w:val="0096009C"/>
    <w:rsid w:val="00986C0E"/>
    <w:rsid w:val="009A6C65"/>
    <w:rsid w:val="009B7A90"/>
    <w:rsid w:val="00A42F5C"/>
    <w:rsid w:val="00A755B5"/>
    <w:rsid w:val="00A8225B"/>
    <w:rsid w:val="00A9411C"/>
    <w:rsid w:val="00AC2705"/>
    <w:rsid w:val="00AD50EF"/>
    <w:rsid w:val="00AD6F61"/>
    <w:rsid w:val="00AE0A78"/>
    <w:rsid w:val="00AF6A88"/>
    <w:rsid w:val="00B04AE4"/>
    <w:rsid w:val="00B32EB7"/>
    <w:rsid w:val="00B35DE1"/>
    <w:rsid w:val="00B570CE"/>
    <w:rsid w:val="00B86EB3"/>
    <w:rsid w:val="00BA1A33"/>
    <w:rsid w:val="00BB7E41"/>
    <w:rsid w:val="00BD1F08"/>
    <w:rsid w:val="00BF1DCE"/>
    <w:rsid w:val="00BF63D1"/>
    <w:rsid w:val="00C02966"/>
    <w:rsid w:val="00C06C09"/>
    <w:rsid w:val="00C10F60"/>
    <w:rsid w:val="00C26D6E"/>
    <w:rsid w:val="00C34E31"/>
    <w:rsid w:val="00C37E17"/>
    <w:rsid w:val="00C41851"/>
    <w:rsid w:val="00C6046B"/>
    <w:rsid w:val="00C766D5"/>
    <w:rsid w:val="00C90043"/>
    <w:rsid w:val="00C9015D"/>
    <w:rsid w:val="00C955A0"/>
    <w:rsid w:val="00C95779"/>
    <w:rsid w:val="00C9585A"/>
    <w:rsid w:val="00CA175B"/>
    <w:rsid w:val="00CA5A17"/>
    <w:rsid w:val="00CD4221"/>
    <w:rsid w:val="00D0485A"/>
    <w:rsid w:val="00D14F47"/>
    <w:rsid w:val="00D53DD5"/>
    <w:rsid w:val="00DC07A3"/>
    <w:rsid w:val="00DC161A"/>
    <w:rsid w:val="00DC41BD"/>
    <w:rsid w:val="00DC4847"/>
    <w:rsid w:val="00E12892"/>
    <w:rsid w:val="00E17C34"/>
    <w:rsid w:val="00E35049"/>
    <w:rsid w:val="00E35B8A"/>
    <w:rsid w:val="00E45CE4"/>
    <w:rsid w:val="00E4705D"/>
    <w:rsid w:val="00E65549"/>
    <w:rsid w:val="00E711FA"/>
    <w:rsid w:val="00E81E4B"/>
    <w:rsid w:val="00E87A5A"/>
    <w:rsid w:val="00EC6DEF"/>
    <w:rsid w:val="00ED431F"/>
    <w:rsid w:val="00ED4496"/>
    <w:rsid w:val="00EE3D4F"/>
    <w:rsid w:val="00EF0195"/>
    <w:rsid w:val="00F000D9"/>
    <w:rsid w:val="00F03FA1"/>
    <w:rsid w:val="00F64495"/>
    <w:rsid w:val="00F75BFC"/>
    <w:rsid w:val="00F8199D"/>
    <w:rsid w:val="00F902AF"/>
    <w:rsid w:val="00FB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0A1"/>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blob/master/simulations.R" TargetMode="External"/><Relationship Id="rId3" Type="http://schemas.openxmlformats.org/officeDocument/2006/relationships/settings" Target="settings.xml"/><Relationship Id="rId7" Type="http://schemas.openxmlformats.org/officeDocument/2006/relationships/hyperlink" Target="https://github.com/cbahlai/monarch_regime/blob/master/regime_shift_detector.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 TargetMode="External"/><Relationship Id="rId11" Type="http://schemas.openxmlformats.org/officeDocument/2006/relationships/theme" Target="theme/theme1.xml"/><Relationship Id="rId5" Type="http://schemas.openxmlformats.org/officeDocument/2006/relationships/hyperlink" Target="mailto:cbahlai@ken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bahlai/monarch_regime/blob/master/casestudydata/kbs_harmonia94-15.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19755</TotalTime>
  <Pages>16</Pages>
  <Words>20395</Words>
  <Characters>116254</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39</cp:revision>
  <dcterms:created xsi:type="dcterms:W3CDTF">2017-06-21T14:00:00Z</dcterms:created>
  <dcterms:modified xsi:type="dcterms:W3CDTF">2017-07-10T17:31:00Z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id="tr87z3v5"/&gt;&lt;style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