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1A976">
      <w:pPr>
        <w:spacing w:before="0" w:after="40" w:line="240" w:lineRule="auto"/>
        <w:jc w:val="center"/>
      </w:pPr>
      <w:r>
        <w:rPr>
          <w:rFonts w:ascii="微软雅黑" w:hAnsi="微软雅黑" w:eastAsia="微软雅黑"/>
          <w:b w:val="0"/>
          <w:i w:val="0"/>
          <w:color w:val="8A94A6"/>
          <w:sz w:val="19"/>
          <w:u w:val="none"/>
        </w:rPr>
        <w:t>C L O U D Y I   ·   云 亿 智 能</w:t>
      </w:r>
    </w:p>
    <w:p w14:paraId="3498B910">
      <w:pPr>
        <w:spacing w:before="120" w:after="20" w:line="276" w:lineRule="auto"/>
        <w:jc w:val="center"/>
      </w:pPr>
      <w:r>
        <w:rPr>
          <w:rFonts w:ascii="微软雅黑" w:hAnsi="微软雅黑" w:eastAsia="微软雅黑"/>
          <w:b/>
          <w:i w:val="0"/>
          <w:color w:val="1F3A5F"/>
          <w:sz w:val="40"/>
          <w:u w:val="none"/>
        </w:rPr>
        <w:t>技术开发方案表</w:t>
      </w:r>
    </w:p>
    <w:p w14:paraId="012F9F5C">
      <w:pPr>
        <w:spacing w:before="0" w:after="120" w:line="240" w:lineRule="auto"/>
        <w:jc w:val="center"/>
      </w:pPr>
      <w:r>
        <w:rPr>
          <w:rFonts w:ascii="微软雅黑" w:hAnsi="微软雅黑" w:eastAsia="微软雅黑"/>
          <w:b w:val="0"/>
          <w:i w:val="0"/>
          <w:color w:val="5A6472"/>
          <w:sz w:val="20"/>
          <w:u w:val="none"/>
        </w:rPr>
        <w:t>技术评估阶段 · 由售前 / 技术填写</w:t>
      </w:r>
    </w:p>
    <w:p w14:paraId="06C2114E">
      <w:pPr>
        <w:shd w:val="clear" w:color="auto" w:fill="F7F9FB"/>
        <w:spacing w:before="60" w:after="120" w:line="264" w:lineRule="auto"/>
      </w:pP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销售调研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/>
          <w:i w:val="0"/>
          <w:color w:val="1F3A5F"/>
          <w:sz w:val="19"/>
          <w:u w:val="none"/>
        </w:rPr>
        <w:t>技术评估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需求确认 / 预报价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合同签订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开发制作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演示与验收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交付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1F47B352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204BC02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客户名称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乐天质量管理系统 (Letian QMS) 数字化质检与追溯平台</w:t>
            </w:r>
          </w:p>
        </w:tc>
      </w:tr>
      <w:tr w14:paraId="5A28009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F852D9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销售负责人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周配杰</w:t>
            </w:r>
          </w:p>
        </w:tc>
      </w:tr>
      <w:tr w14:paraId="4883A41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477EE79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开发负责人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沙玲玲</w:t>
            </w:r>
          </w:p>
        </w:tc>
      </w:tr>
      <w:tr w14:paraId="1129E13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7D9182B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日期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2026 年 09 月 18 日</w:t>
            </w:r>
          </w:p>
        </w:tc>
      </w:tr>
    </w:tbl>
    <w:p w14:paraId="5BDE2BF9">
      <w:pPr>
        <w:spacing w:before="0" w:after="0" w:line="240" w:lineRule="auto"/>
      </w:pPr>
    </w:p>
    <w:p w14:paraId="5437DC0C">
      <w:pPr>
        <w:spacing w:before="0" w:after="80" w:line="240" w:lineRule="auto"/>
      </w:pPr>
    </w:p>
    <w:tbl>
      <w:tblPr>
        <w:tblStyle w:val="32"/>
        <w:tblW w:w="98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</w:tblPr>
      <w:tblGrid>
        <w:gridCol w:w="9866"/>
      </w:tblGrid>
      <w:tr w14:paraId="004DB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130" w:type="dxa"/>
            <w:bottom w:w="70" w:type="dxa"/>
            <w:right w:w="130" w:type="dxa"/>
          </w:tblCellMar>
        </w:tblPrEx>
        <w:tc>
          <w:tcPr>
            <w:tcW w:w="9865" w:type="dxa"/>
            <w:tcBorders>
              <w:top w:val="nil"/>
              <w:left w:val="single" w:color="1F3A5F" w:sz="18" w:space="0"/>
              <w:bottom w:val="nil"/>
              <w:right w:val="nil"/>
            </w:tcBorders>
            <w:shd w:val="clear" w:color="auto" w:fill="F5F7FA"/>
            <w:vAlign w:val="center"/>
          </w:tcPr>
          <w:p w14:paraId="61DF72D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7"/>
                <w:u w:val="none"/>
              </w:rPr>
              <w:t>提示　</w:t>
            </w:r>
            <w:r>
              <w:rPr>
                <w:rFonts w:ascii="微软雅黑" w:hAnsi="微软雅黑" w:eastAsia="微软雅黑"/>
                <w:b w:val="0"/>
                <w:i w:val="0"/>
                <w:color w:val="5A6472"/>
                <w:sz w:val="17"/>
                <w:u w:val="none"/>
              </w:rPr>
              <w:t>依据《销售需求调研表》编制，用于判断能不能做、怎么做、多少工作量、有哪些风险与边界。未经技术确认，销售不应对客户承诺定制功能与交付周期。</w:t>
            </w:r>
          </w:p>
        </w:tc>
      </w:tr>
    </w:tbl>
    <w:p w14:paraId="34131538">
      <w:pPr>
        <w:spacing w:before="0" w:after="40" w:line="240" w:lineRule="auto"/>
      </w:pPr>
    </w:p>
    <w:p w14:paraId="15BC22A8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1. 项目概况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02F818D4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7076D4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项目名称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乐天QMS（制造业数字化质量协同与全链路追溯系统）</w:t>
            </w:r>
          </w:p>
        </w:tc>
      </w:tr>
      <w:tr w14:paraId="6D670B7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3C3A842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对应调研文档及版本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乐天QMS_开发确认文档 V1.0 / 需求确认单</w:t>
            </w:r>
          </w:p>
        </w:tc>
      </w:tr>
      <w:tr w14:paraId="6A4B4517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7B81095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参与人员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沙玲玲（架构/全栈）、周配杰（交付/销售）、李总（客户质量总监）</w:t>
            </w:r>
          </w:p>
        </w:tc>
      </w:tr>
      <w:tr w14:paraId="267A5FD4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2CE3647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方案版本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V1.0（技术评估与开发实施方案）</w:t>
            </w:r>
          </w:p>
        </w:tc>
      </w:tr>
    </w:tbl>
    <w:p w14:paraId="55FDEF1A">
      <w:pPr>
        <w:spacing w:before="0" w:after="0" w:line="240" w:lineRule="auto"/>
      </w:pPr>
    </w:p>
    <w:p w14:paraId="775C3B6D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2. 需求理解与项目目标</w:t>
      </w:r>
    </w:p>
    <w:p w14:paraId="275121B8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客户核心诉求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全面替代车间现有纸质与分散 Excel 质检记录，拉通来料(IQC)、制程(IPQC)、成品(FQC)、出货(OQC)、退货(RQC)全链路，实现质检数据实时化、检验标准规范化、不合格品闭环化以及质量档案秒级追溯。</w:t>
      </w:r>
    </w:p>
    <w:p w14:paraId="6856DE31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本项目拟解决的核心问题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1) 质检流程断层：五大质检环节标准不统一、线下手工流转效率低且易漏检；2) 规则与判定不灵活：缺乏动态质检方案与多公差范围判定引擎；3) 异常处置缺乏闭环：MRB 审批脱节、返工复检未受控；4) 追溯链路断裂：客户投诉难以快速正反向穿透到批次与原料机台；5) 系统孤岛：与 ERP/MES/WMS 缺乏统一联动。</w:t>
      </w:r>
    </w:p>
    <w:p w14:paraId="68597747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预期业务结果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一线质检录入提效 60% 以上；质量异常响应由数小时缩短至 15 分钟内；批次质量追溯由 2~3 天缩短至 5 秒内精准定位；不良品漏检率降为 0；构建企业级质量数字资产中心。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3289"/>
        <w:gridCol w:w="3289"/>
        <w:gridCol w:w="3289"/>
      </w:tblGrid>
      <w:tr w14:paraId="5705A5B7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</w:tblPrEx>
        <w:trPr>
          <w:trHeight w:val="329" w:hRule="atLeast"/>
          <w:jc w:val="center"/>
        </w:trPr>
        <w:tc>
          <w:tcPr>
            <w:tcW w:w="794" w:type="dxa"/>
            <w:shd w:val="clear" w:color="auto" w:fill="E8EDF4"/>
            <w:vAlign w:val="center"/>
          </w:tcPr>
          <w:p w14:paraId="627190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序号</w:t>
            </w:r>
          </w:p>
        </w:tc>
        <w:tc>
          <w:tcPr>
            <w:tcW w:w="4195" w:type="dxa"/>
            <w:shd w:val="clear" w:color="auto" w:fill="E8EDF4"/>
            <w:vAlign w:val="center"/>
          </w:tcPr>
          <w:p w14:paraId="70873D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待解决的关键问题</w:t>
            </w:r>
          </w:p>
        </w:tc>
        <w:tc>
          <w:tcPr>
            <w:tcW w:w="4876" w:type="dxa"/>
            <w:shd w:val="clear" w:color="auto" w:fill="E8EDF4"/>
            <w:vAlign w:val="center"/>
          </w:tcPr>
          <w:p w14:paraId="7C3710C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解决思路</w:t>
            </w:r>
          </w:p>
        </w:tc>
      </w:tr>
      <w:tr w14:paraId="05F719C2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1</w:t>
            </w:r>
          </w:p>
        </w:tc>
        <w:tc>
          <w:tcPr>
            <w:tcW w:w="419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多工序复杂质检标准的动态配置与自动智能判定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基于 DDD 领域驱动构建质检方案引擎，支持数值公差、文本枚举、多缺陷等级(致命/严重/轻微)及 AQL 抽样规则自动计算与即时判定。</w:t>
            </w:r>
          </w:p>
        </w:tc>
      </w:tr>
      <w:tr w14:paraId="313D1A0D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2</w:t>
            </w:r>
          </w:p>
        </w:tc>
        <w:tc>
          <w:tcPr>
            <w:tcW w:w="4195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质量异常处置(MRB)流程严密闭环与状态机管控</w:t>
            </w:r>
          </w:p>
        </w:tc>
        <w:tc>
          <w:tcPr>
            <w:tcW w:w="4876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采用轻量级有限状态机 (FSM)，严格管控报废/返工/让步接收状态流转，防跳步漏审，并全链路记录不可篡改审计日志 (Audit Log)。</w:t>
            </w:r>
          </w:p>
        </w:tc>
      </w:tr>
      <w:tr w14:paraId="4BB6F4F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</w:t>
            </w:r>
          </w:p>
        </w:tc>
        <w:tc>
          <w:tcPr>
            <w:tcW w:w="419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跨系统批次追溯链条的高效穿透与报告自动化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建立基于 PostgreSQL 批次图谱索引，拉通 ERP 采购收货、MES 生产流转与出库质检，秒级生成电子出厂检验报告(COA)及追溯拓扑。</w:t>
            </w:r>
          </w:p>
        </w:tc>
      </w:tr>
    </w:tbl>
    <w:p w14:paraId="7671EA5B">
      <w:pPr>
        <w:spacing w:before="0" w:after="0" w:line="240" w:lineRule="auto"/>
      </w:pPr>
    </w:p>
    <w:p w14:paraId="6D601090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3. 总体技术方案</w:t>
      </w:r>
    </w:p>
    <w:p w14:paraId="65250992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一句话方案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以统一领域契约与状态机引擎为核心，构建覆盖来料、制程、成品、出货、退货的全生命周期、轻量高效、秒级追溯的现代化数字质量协同平台。</w:t>
      </w:r>
    </w:p>
    <w:p w14:paraId="0E4107D5">
      <w:pPr>
        <w:shd w:val="clear" w:color="auto" w:fill="F7F9FB"/>
        <w:spacing w:before="60" w:after="160" w:line="264" w:lineRule="auto"/>
      </w:pP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用户 / 系统触发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获取任务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读取业务数据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AI 识别 / 分析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调用业务系统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执行动作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输出 / 回写 / 通知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6EE40FC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shd w:val="clear" w:color="auto" w:fill="E8EDF4"/>
            <w:vAlign w:val="center"/>
          </w:tcPr>
          <w:p w14:paraId="074D66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层级</w:t>
            </w:r>
          </w:p>
        </w:tc>
        <w:tc>
          <w:tcPr>
            <w:tcW w:w="7824" w:type="dxa"/>
            <w:shd w:val="clear" w:color="auto" w:fill="E8EDF4"/>
            <w:vAlign w:val="center"/>
          </w:tcPr>
          <w:p w14:paraId="323AF04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建议内容</w:t>
            </w:r>
          </w:p>
        </w:tc>
      </w:tr>
      <w:tr w14:paraId="1E3B2E12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7FF2AB0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入口层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Web 工业响应式工作台（React 19 + Vite 6 + Tailwind CSS + AntD 5）/ 车间移动扫码终端 / 工业平板 / 企微与钉钉待办推送</w:t>
            </w:r>
          </w:p>
        </w:tc>
      </w:tr>
      <w:tr w14:paraId="2FE5EFD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41EF7C2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AI 与流程层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微软雅黑" w:hAnsi="微软雅黑"/>
                <w:color w:val="2B2B2B"/>
                <w:sz w:val="19"/>
              </w:rPr>
              <w:t>拍照识字与扫码快速录入 / 尺寸外观公差自动秒级判定 / 出厂质检报告 (COA) 一键自动排版生成 / 不合格品审批与返工闭环流程锁</w:t>
            </w:r>
          </w:p>
        </w:tc>
      </w:tr>
      <w:tr w14:paraId="7ABAD926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D46534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业务系统层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乐天现有 ERP 系统（物料与采购单）/ MES 系统（工单工序）/ WMS（入库出库）/ 关系数据库 PostgreSQL 16 / Redis 缓存</w:t>
            </w:r>
          </w:p>
        </w:tc>
      </w:tr>
      <w:tr w14:paraId="7A7DD54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5EEDF99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输出层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企微/钉钉质量异常告警 / 电子出厂检验报告 (COA) / 批次全链路正反向追溯拓扑图 / 质量良率看板 / ERP&amp;MES 放行与过账回写</w:t>
            </w:r>
          </w:p>
        </w:tc>
      </w:tr>
    </w:tbl>
    <w:p w14:paraId="6E31885E">
      <w:pPr>
        <w:spacing w:before="0" w:after="0" w:line="240" w:lineRule="auto"/>
      </w:pPr>
    </w:p>
    <w:p w14:paraId="1AFF4199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4. 场景开发方案</w:t>
      </w:r>
    </w:p>
    <w:p w14:paraId="6D30A295">
      <w:pPr>
        <w:spacing w:before="160" w:after="60" w:line="264" w:lineRule="auto"/>
      </w:pPr>
      <w:r/>
      <w:r>
        <w:rPr>
          <w:rFonts w:ascii="微软雅黑" w:hAnsi="微软雅黑"/>
          <w:b/>
          <w:color w:val="1F3A5F"/>
          <w:sz w:val="21"/>
          <w:rFonts w:ascii="微软雅黑" w:hAnsi="微软雅黑" w:eastAsia="微软雅黑" w:cs="微软雅黑"/>
        </w:rPr>
        <w:t>场景 01：IQC 来料质检与不合格品退换货闭环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4F14E6C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CE256A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业务目标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实现原材料/零部件到货检验在线标准化，快速判定批次质量，合格即时放行入库，不合格触发隔离与退货流程。</w:t>
            </w:r>
          </w:p>
        </w:tc>
      </w:tr>
      <w:tr w14:paraId="067A9EC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70D9E98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触发入口 / 输入数据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触发入口：WMS/ERP 到货收货单推送或现场扫码收货标签；输入数据：物料编码、供应商批次、送检数量、到货日期。</w:t>
            </w:r>
          </w:p>
        </w:tc>
      </w:tr>
      <w:tr w14:paraId="5EB6A96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3C5E24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处理流程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① 质检员扫码识别到货批次，系统自动匹配最新 IQC 检验方案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② 系统根据 AQL 标准自动推荐抽样样本量及判定水准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③ 现场测量并录入尺寸、外观、性能等抽检实测数据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④ 系统动态规则引擎毫秒级自动判定单项及整批合格/不合格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⑤ 判定结果触发后续业务：合格生成入库放行指令，不合格发起 MRB 处置单</w:t>
            </w:r>
          </w:p>
        </w:tc>
      </w:tr>
      <w:tr w14:paraId="69AB20E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3C2CE5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调用系统 / 接口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WMS 智能仓储系统、ERP 采购系统、物料工程图纸与质检标准库 API。</w:t>
            </w:r>
          </w:p>
        </w:tc>
      </w:tr>
      <w:tr w14:paraId="16DF123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407D06A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输出结果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电子 IQC 检验报告单、物料入库放行状态更新、不合格品 MRB 待办单据、供应商质量考评记录。</w:t>
            </w:r>
          </w:p>
        </w:tc>
      </w:tr>
      <w:tr w14:paraId="06208FFC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5CE4B0B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异常处理 / 权限要求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异常处理：网络中断支持离线暂存与断点续传，超期未检红牌提醒；权限要求：质检员录入，质检主管具备让步接收/特殊放行审批权。</w:t>
            </w:r>
          </w:p>
        </w:tc>
      </w:tr>
      <w:tr w14:paraId="1D1B5B9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484E6F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验收要点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扫码匹配物料方案准确率 100%；实测值自动判定无误；合格后 WMS 入库状态实时回写；不良品隔离通知 100% 送达。</w:t>
            </w:r>
          </w:p>
        </w:tc>
      </w:tr>
    </w:tbl>
    <w:p w14:paraId="6C8C0C66">
      <w:pPr>
        <w:spacing w:before="0" w:after="0" w:line="240" w:lineRule="auto"/>
      </w:pPr>
    </w:p>
    <w:p w14:paraId="7F1EE74A">
      <w:pPr>
        <w:spacing w:before="0" w:after="0" w:line="240" w:lineRule="auto"/>
      </w:pPr>
      <w:r>
        <w:br w:type="page"/>
      </w:r>
    </w:p>
    <w:p w14:paraId="09129B19">
      <w:pPr>
        <w:spacing w:before="160" w:after="60" w:line="264" w:lineRule="auto"/>
      </w:pPr>
      <w:r/>
      <w:r>
        <w:rPr>
          <w:rFonts w:ascii="微软雅黑" w:hAnsi="微软雅黑"/>
          <w:b/>
          <w:color w:val="1F3A5F"/>
          <w:sz w:val="21"/>
          <w:rFonts w:ascii="微软雅黑" w:hAnsi="微软雅黑" w:eastAsia="微软雅黑" w:cs="微软雅黑"/>
        </w:rPr>
        <w:t>场景 02：IPQC 制程巡检 / 首检与过程异常告警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6DFCDE95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9D8DF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业务目标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严密监控车间首检、巡检与关键工艺参数，实时捕捉超差波动，第一时间停机纠偏，防止批量性质量事故。</w:t>
            </w:r>
          </w:p>
        </w:tc>
      </w:tr>
      <w:tr w14:paraId="2C09E30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1135D4D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触发入口 / 输入数据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触发入口：MES 生产工单下发/班次开工事件、定时巡检周期提醒；输入数据：工单号、机台号、工序、班次、操作员。</w:t>
            </w:r>
          </w:p>
        </w:tc>
      </w:tr>
      <w:tr w14:paraId="4483352B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1D2CF9A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处理流程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① 质检员或班组长扫码工单与机台条码，系统调取该工步控制计划(CP)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② 依规录入关键控制点(CCP)工艺参数、外观及尺寸实测值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③ 系统自动比对公差阈值，计算偏差并标注预警等级(正常/黄色预警/红色停机)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④ 出现异常时立即向车间主管、工艺工程师推送企微/钉钉紧急告警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⑤ 责任人在线提交遏制措施与调机方案，复测合格后解除锁线恢复生产</w:t>
            </w:r>
          </w:p>
        </w:tc>
      </w:tr>
      <w:tr w14:paraId="759C2E0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7886104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调用系统 / 接口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MES 制造执行系统工单接口、车间工业物联网采集网关、企业微信/钉钉消息 Webhook。</w:t>
            </w:r>
          </w:p>
        </w:tc>
      </w:tr>
      <w:tr w14:paraId="52C1CB56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2295BAF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输出结果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首检/巡检电子记录卡、工序参数波动趋势图、质量异常整改任务单、MES 暂停/复工控制信号。</w:t>
            </w:r>
          </w:p>
        </w:tc>
      </w:tr>
      <w:tr w14:paraId="55F178F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BF89CD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异常处理 / 权限要求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异常处理：参数超差时系统自动向 MES 发出预警联动，工位操作屏弹窗拦截；权限要求：仅质检主管及工艺工程师可执行工序复工解锁。</w:t>
            </w:r>
          </w:p>
        </w:tc>
      </w:tr>
      <w:tr w14:paraId="287E32CA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FBC973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验收要点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巡检任务按时完成率提升至 98% 以上；超差告警延迟 &lt; 3 秒；异常处置整改闭环率 100%；首检未做严禁批量投产。</w:t>
            </w:r>
          </w:p>
        </w:tc>
      </w:tr>
    </w:tbl>
    <w:p w14:paraId="62F7D71A">
      <w:pPr>
        <w:spacing w:before="0" w:after="0" w:line="240" w:lineRule="auto"/>
      </w:pPr>
    </w:p>
    <w:p w14:paraId="1480D17F">
      <w:pPr>
        <w:spacing w:before="160" w:after="60" w:line="264" w:lineRule="auto"/>
      </w:pPr>
      <w:r/>
      <w:r>
        <w:rPr>
          <w:rFonts w:ascii="微软雅黑" w:hAnsi="微软雅黑"/>
          <w:b/>
          <w:color w:val="1F3A5F"/>
          <w:sz w:val="21"/>
          <w:rFonts w:ascii="微软雅黑" w:hAnsi="微软雅黑" w:eastAsia="微软雅黑" w:cs="微软雅黑"/>
        </w:rPr>
        <w:t>场景 03：OQC 出货质检与批次质量档案全链路秒级追溯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474DEF6A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5BC5E7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业务目标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把好成品出厂最后一关，一键自动汇总从原料到成品的全流程质检数据，生成客户专有 COA 报告，并支持客户投诉秒级穿透追溯。</w:t>
            </w:r>
          </w:p>
        </w:tc>
      </w:tr>
      <w:tr w14:paraId="7E96B545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1BFD0BD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触发入口 / 输入数据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触发入口：ERP 销售出货通知单推送、成品扫码出库前校验；输入数据：销售订单号、成品批次号/序列号、客户编码。</w:t>
            </w:r>
          </w:p>
        </w:tc>
      </w:tr>
      <w:tr w14:paraId="1BC21AB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FF2947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处理流程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① 质检员扫码成品托盘/箱码，自动拉取客户专属出厂检验规范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② 检验包装完整性、标签信息、随附资料并录入出厂抽检性能指标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③ 系统自动聚合该批次前序 IQC、IPQC、FQC 全流程检验数据与生产要素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④ 一键自动生成符合客户标准格式的电子出厂检验报告 (COA) 与防伪追溯码</w:t>
            </w:r>
          </w:p>
          <w:p>
            <w:pPr>
              <w:spacing w:before="20" w:after="40" w:line="276" w:lineRule="auto"/>
            </w:pPr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⑤ 合格批次自动向 ERP 发送出库放行许可；当遇客诉时扫码秒级穿透全链路</w:t>
            </w:r>
          </w:p>
        </w:tc>
      </w:tr>
      <w:tr w14:paraId="2374240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31C9FD8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调用系统 / 接口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ERP 销售出库模块、WMS 发货复核接口、PDF/电子签章生成服务、客户协同外部门户。</w:t>
            </w:r>
          </w:p>
        </w:tc>
      </w:tr>
      <w:tr w14:paraId="6672797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549CF1D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输出结果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电子出厂检验报告 (COA)、成品出库放行通知、正反向质量追溯图谱拓扑、防伪质检溯源二维码。</w:t>
            </w:r>
          </w:p>
        </w:tc>
      </w:tr>
      <w:tr w14:paraId="5591ED9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8E5A73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异常处理 / 权限要求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异常处理：未通过 OQC 或前序质检存在未闭环异常的批次系统强行锁死禁止出库；权限要求：OQC 终检员签字，品质部经理签署出厂报告。</w:t>
            </w:r>
          </w:p>
        </w:tc>
      </w:tr>
      <w:tr w14:paraId="3D21BB02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BC74A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验收要点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COA 报告 1 秒自动生成，无需人工排版；拦截未检出库率 100%；客户投诉质量反查定位时间从 2 天缩短至 5 秒内。</w:t>
            </w:r>
          </w:p>
        </w:tc>
      </w:tr>
    </w:tbl>
    <w:p w14:paraId="3789ABA6">
      <w:pPr>
        <w:spacing w:before="0" w:after="0" w:line="240" w:lineRule="auto"/>
      </w:pPr>
    </w:p>
    <w:p w14:paraId="7A7A41B2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5. 功能清单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 w14:paraId="4791A6C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794" w:type="dxa"/>
            <w:shd w:val="clear" w:color="auto" w:fill="E8EDF4"/>
            <w:vAlign w:val="center"/>
          </w:tcPr>
          <w:p w14:paraId="050F734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编号</w:t>
            </w:r>
          </w:p>
        </w:tc>
        <w:tc>
          <w:tcPr>
            <w:tcW w:w="1587" w:type="dxa"/>
            <w:shd w:val="clear" w:color="auto" w:fill="E8EDF4"/>
            <w:vAlign w:val="center"/>
          </w:tcPr>
          <w:p w14:paraId="7D220E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一级功能</w:t>
            </w:r>
          </w:p>
        </w:tc>
        <w:tc>
          <w:tcPr>
            <w:tcW w:w="1587" w:type="dxa"/>
            <w:shd w:val="clear" w:color="auto" w:fill="E8EDF4"/>
            <w:vAlign w:val="center"/>
          </w:tcPr>
          <w:p w14:paraId="35ED402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二级功能</w:t>
            </w:r>
          </w:p>
        </w:tc>
        <w:tc>
          <w:tcPr>
            <w:tcW w:w="3175" w:type="dxa"/>
            <w:shd w:val="clear" w:color="auto" w:fill="E8EDF4"/>
            <w:vAlign w:val="center"/>
          </w:tcPr>
          <w:p w14:paraId="47A083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功能说明</w:t>
            </w:r>
          </w:p>
        </w:tc>
        <w:tc>
          <w:tcPr>
            <w:tcW w:w="1474" w:type="dxa"/>
            <w:shd w:val="clear" w:color="auto" w:fill="E8EDF4"/>
            <w:vAlign w:val="center"/>
          </w:tcPr>
          <w:p w14:paraId="016E9F6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优先级</w:t>
            </w:r>
          </w:p>
        </w:tc>
        <w:tc>
          <w:tcPr>
            <w:tcW w:w="1247" w:type="dxa"/>
            <w:shd w:val="clear" w:color="auto" w:fill="E8EDF4"/>
            <w:vAlign w:val="center"/>
          </w:tcPr>
          <w:p w14:paraId="697DD40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实现方式</w:t>
            </w:r>
          </w:p>
        </w:tc>
      </w:tr>
      <w:tr w14:paraId="4733DFD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F01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基础质量数据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质检方案与标准库</w:t>
            </w:r>
          </w:p>
        </w:tc>
        <w:tc>
          <w:tcPr>
            <w:tcW w:w="317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维护物料/工序质检方案、检验项、公差范围、致命/严重/轻微缺陷及 AQL 抽样规则</w:t>
            </w:r>
          </w:p>
        </w:tc>
        <w:tc>
          <w:tcPr>
            <w:tcW w:w="147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P0</w:t>
            </w:r>
          </w:p>
        </w:tc>
        <w:tc>
          <w:tcPr>
            <w:tcW w:w="124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自主研发 / 规则引擎</w:t>
            </w:r>
          </w:p>
        </w:tc>
      </w:tr>
      <w:tr w14:paraId="17475B8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F02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来料与制程质检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IQC/IPQC 检验执行</w:t>
            </w:r>
          </w:p>
        </w:tc>
        <w:tc>
          <w:tcPr>
            <w:tcW w:w="3175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支持扫码接单、抽样计算、测量值录入、合格判定、首检巡检及工艺超差预警</w:t>
            </w:r>
          </w:p>
        </w:tc>
        <w:tc>
          <w:tcPr>
            <w:tcW w:w="1474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P0</w:t>
            </w:r>
          </w:p>
        </w:tc>
        <w:tc>
          <w:tcPr>
            <w:tcW w:w="124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自主研发 / 工业工作台</w:t>
            </w:r>
          </w:p>
        </w:tc>
      </w:tr>
      <w:tr w14:paraId="3F39A94B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F03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成品与出货质检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FQC/OQC 与 COA 生成</w:t>
            </w:r>
          </w:p>
        </w:tc>
        <w:tc>
          <w:tcPr>
            <w:tcW w:w="317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成品入库终检、出货包装与标识核验，一键自动合成标准电子出厂检验报告(COA)</w:t>
            </w:r>
          </w:p>
        </w:tc>
        <w:tc>
          <w:tcPr>
            <w:tcW w:w="147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P0</w:t>
            </w:r>
          </w:p>
        </w:tc>
        <w:tc>
          <w:tcPr>
            <w:tcW w:w="124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自主研发 / 报表组件</w:t>
            </w:r>
          </w:p>
        </w:tc>
      </w:tr>
      <w:tr w14:paraId="5189897A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F04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质量异常管理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MRB 评审与返工闭环</w:t>
            </w:r>
          </w:p>
        </w:tc>
        <w:tc>
          <w:tcPr>
            <w:tcW w:w="3175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不合格品自动隔离、发起报废/返工/让步审批流，返工工单闭环追踪与二次复检</w:t>
            </w:r>
          </w:p>
        </w:tc>
        <w:tc>
          <w:tcPr>
            <w:tcW w:w="1474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P0</w:t>
            </w:r>
          </w:p>
        </w:tc>
        <w:tc>
          <w:tcPr>
            <w:tcW w:w="124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自主研发 / 状态机引擎</w:t>
            </w:r>
          </w:p>
        </w:tc>
      </w:tr>
      <w:tr w14:paraId="6355794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F05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质量追溯与看板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批次图谱与 SPC 统计</w:t>
            </w:r>
          </w:p>
        </w:tc>
        <w:tc>
          <w:tcPr>
            <w:tcW w:w="317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来料-工序-机台-成品全链路正反向秒级追溯拓扑，SPC 控制图与不良品缺陷柏拉图</w:t>
            </w:r>
          </w:p>
        </w:tc>
        <w:tc>
          <w:tcPr>
            <w:tcW w:w="1474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P1</w:t>
            </w:r>
          </w:p>
        </w:tc>
        <w:tc>
          <w:tcPr>
            <w:tcW w:w="124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自主研发 / 数据可视化</w:t>
            </w:r>
          </w:p>
        </w:tc>
      </w:tr>
    </w:tbl>
    <w:p w14:paraId="6CEB5632">
      <w:pPr>
        <w:spacing w:before="0" w:after="0" w:line="240" w:lineRule="auto"/>
      </w:pPr>
    </w:p>
    <w:p w14:paraId="1844082D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6. 系统对接方案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 w14:paraId="4D45A5A4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1587" w:type="dxa"/>
            <w:shd w:val="clear" w:color="auto" w:fill="E8EDF4"/>
            <w:vAlign w:val="center"/>
          </w:tcPr>
          <w:p w14:paraId="4510F2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对接系统</w:t>
            </w:r>
          </w:p>
        </w:tc>
        <w:tc>
          <w:tcPr>
            <w:tcW w:w="1814" w:type="dxa"/>
            <w:shd w:val="clear" w:color="auto" w:fill="E8EDF4"/>
            <w:vAlign w:val="center"/>
          </w:tcPr>
          <w:p w14:paraId="71C9338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对接内容</w:t>
            </w:r>
          </w:p>
        </w:tc>
        <w:tc>
          <w:tcPr>
            <w:tcW w:w="1587" w:type="dxa"/>
            <w:shd w:val="clear" w:color="auto" w:fill="E8EDF4"/>
            <w:vAlign w:val="center"/>
          </w:tcPr>
          <w:p w14:paraId="317D8A4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方式</w:t>
            </w:r>
          </w:p>
        </w:tc>
        <w:tc>
          <w:tcPr>
            <w:tcW w:w="680" w:type="dxa"/>
            <w:shd w:val="clear" w:color="auto" w:fill="E8EDF4"/>
            <w:vAlign w:val="center"/>
          </w:tcPr>
          <w:p w14:paraId="37A8899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读取</w:t>
            </w:r>
          </w:p>
        </w:tc>
        <w:tc>
          <w:tcPr>
            <w:tcW w:w="680" w:type="dxa"/>
            <w:shd w:val="clear" w:color="auto" w:fill="E8EDF4"/>
            <w:vAlign w:val="center"/>
          </w:tcPr>
          <w:p w14:paraId="2DAF12F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写入</w:t>
            </w:r>
          </w:p>
        </w:tc>
        <w:tc>
          <w:tcPr>
            <w:tcW w:w="3515" w:type="dxa"/>
            <w:shd w:val="clear" w:color="auto" w:fill="E8EDF4"/>
            <w:vAlign w:val="center"/>
          </w:tcPr>
          <w:p w14:paraId="40DD961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前置条件 / 责任方</w:t>
            </w:r>
          </w:p>
        </w:tc>
      </w:tr>
      <w:tr w14:paraId="7ADD5A0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ERP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物料主数据、采购到货单、销售出库单、合格入库回写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API / Webhook</w:t>
            </w:r>
          </w:p>
        </w:tc>
        <w:tc>
          <w:tcPr>
            <w:tcW w:w="680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680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351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ERP 开放标准 RESTful 接口 / 客户 IT 配合</w:t>
            </w:r>
          </w:p>
        </w:tc>
      </w:tr>
      <w:tr w14:paraId="4F9A68E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MES</w:t>
            </w:r>
          </w:p>
        </w:tc>
        <w:tc>
          <w:tcPr>
            <w:tcW w:w="1814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生产工单计划、工序流转信息、机台运行参数、工序质检锁定/放行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API / Webhook</w:t>
            </w:r>
          </w:p>
        </w:tc>
        <w:tc>
          <w:tcPr>
            <w:tcW w:w="680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680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3515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MES 接口文档与测试沙箱联调环境 / 客户 MES 厂商</w:t>
            </w:r>
          </w:p>
        </w:tc>
      </w:tr>
      <w:tr w14:paraId="75594CF6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WMS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收货质检申请、不良品隔离区标记、成品出库放行校验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API / DB 视图</w:t>
            </w:r>
          </w:p>
        </w:tc>
        <w:tc>
          <w:tcPr>
            <w:tcW w:w="680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680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351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仓储系统条码规范对接 / 客户仓储信息化团队</w:t>
            </w:r>
          </w:p>
        </w:tc>
      </w:tr>
      <w:tr w14:paraId="37CD8D1C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企业微信 / 钉钉</w:t>
            </w:r>
          </w:p>
        </w:tc>
        <w:tc>
          <w:tcPr>
            <w:tcW w:w="1814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质量超差即时红黄牌预警、MRB 评审待办审批推送、日常质检日报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API</w:t>
            </w:r>
          </w:p>
        </w:tc>
        <w:tc>
          <w:tcPr>
            <w:tcW w:w="680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□</w:t>
            </w:r>
          </w:p>
        </w:tc>
        <w:tc>
          <w:tcPr>
            <w:tcW w:w="680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3515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提供企业微信/钉钉应用凭据与审批机器人 / 客户网络管理员</w:t>
            </w:r>
          </w:p>
        </w:tc>
      </w:tr>
      <w:tr w14:paraId="513528F4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587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条码/扫码枪终端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PDA 扫码枪、工位固定式条码枪扫码解析物料批次与序列号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USB-HID / WebSerial</w:t>
            </w:r>
          </w:p>
        </w:tc>
        <w:tc>
          <w:tcPr>
            <w:tcW w:w="680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</w:t>
            </w:r>
          </w:p>
        </w:tc>
        <w:tc>
          <w:tcPr>
            <w:tcW w:w="680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□</w:t>
            </w:r>
          </w:p>
        </w:tc>
        <w:tc>
          <w:tcPr>
            <w:tcW w:w="3515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厂区条码/二维码编码规则统一 / 客户车间设备组</w:t>
            </w:r>
          </w:p>
        </w:tc>
      </w:tr>
    </w:tbl>
    <w:p w14:paraId="2D142A7D">
      <w:pPr>
        <w:spacing w:before="0" w:after="0" w:line="240" w:lineRule="auto"/>
      </w:pPr>
    </w:p>
    <w:p w14:paraId="14B92B9C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7. AI 能力与技术组件</w:t>
      </w:r>
    </w:p>
    <w:p w14:paraId="5B8A2D30">
      <w:pPr>
        <w:spacing w:before="0" w:after="120" w:line="300" w:lineRule="auto"/>
      </w:pPr>
      <w:r/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>☑ 文档 / 表格解析　☑ OCR 图片识别　□ 自然语言理解　□ 知识库问答　☑ 数据分析　☑ 报告生成　☑ 规则判断　□ Agent 自动执行　□ RPA 自动化　☑ 工作流编排　□ 其他：__________</w:t>
      </w:r>
    </w:p>
    <w:p w14:paraId="6E9CA449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模型 / 平台建议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手机/平板拍照识字与扫码识别工具；尺寸公差与外观合格自动计算判定器；次品审批与返工闭环流程锁；出厂质检报告 (COA) 一键自动排版生成工具。</w:t>
      </w:r>
    </w:p>
    <w:p w14:paraId="281FC694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知识库或业务规则来源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乐天现有的质检规章制度、国家抽样检验标准表 (GB/T 2828)、各产品图纸尺寸与误差允许范围表、过往次品判定与处理经验库。</w:t>
      </w:r>
    </w:p>
    <w:p w14:paraId="3EAEE61A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关键准确率与容错策略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公差计算与合格判定 100% 准确不许出错；数据录入防手误双重校验（如负数、乱码提示）；车间断网时数据自动暂存手机/平板，联网后自动补传不丢数据。</w:t>
      </w:r>
    </w:p>
    <w:p w14:paraId="0DF32BEE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8. 权限、安全与部署方案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2466"/>
        <w:gridCol w:w="2466"/>
        <w:gridCol w:w="2466"/>
        <w:gridCol w:w="2466"/>
      </w:tblGrid>
      <w:tr w14:paraId="02AE3D3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1928" w:type="dxa"/>
            <w:shd w:val="clear" w:color="auto" w:fill="E8EDF4"/>
            <w:vAlign w:val="center"/>
          </w:tcPr>
          <w:p w14:paraId="65EB67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角色</w:t>
            </w:r>
          </w:p>
        </w:tc>
        <w:tc>
          <w:tcPr>
            <w:tcW w:w="2608" w:type="dxa"/>
            <w:shd w:val="clear" w:color="auto" w:fill="E8EDF4"/>
            <w:vAlign w:val="center"/>
          </w:tcPr>
          <w:p w14:paraId="51D6E1E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查看权限</w:t>
            </w:r>
          </w:p>
        </w:tc>
        <w:tc>
          <w:tcPr>
            <w:tcW w:w="2608" w:type="dxa"/>
            <w:shd w:val="clear" w:color="auto" w:fill="E8EDF4"/>
            <w:vAlign w:val="center"/>
          </w:tcPr>
          <w:p w14:paraId="0BFA977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操作权限</w:t>
            </w:r>
          </w:p>
        </w:tc>
        <w:tc>
          <w:tcPr>
            <w:tcW w:w="2721" w:type="dxa"/>
            <w:shd w:val="clear" w:color="auto" w:fill="E8EDF4"/>
            <w:vAlign w:val="center"/>
          </w:tcPr>
          <w:p w14:paraId="23725E9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审批 / 确认权限</w:t>
            </w:r>
          </w:p>
        </w:tc>
      </w:tr>
      <w:tr w14:paraId="0047C46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质量总监 / 厂长</w:t>
            </w:r>
          </w:p>
        </w:tc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查看全厂所有质检数据、质量分析报表、追溯图谱、审计日志</w:t>
            </w:r>
          </w:p>
        </w:tc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系统全局配置、质检方案终审发布、紧急冻结生产</w:t>
            </w:r>
          </w:p>
        </w:tc>
        <w:tc>
          <w:tcPr>
            <w:tcW w:w="272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MRB 最终仲裁审批、让步接收放行批准、重大质量事故处置</w:t>
            </w:r>
          </w:p>
        </w:tc>
      </w:tr>
      <w:tr w14:paraId="3DE7CB5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车间主任 / 生产主管</w:t>
            </w:r>
          </w:p>
        </w:tc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查看所辖车间工序质检记录、首检/巡检状况、工位质量异常看板</w:t>
            </w:r>
          </w:p>
        </w:tc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工序整改措施提报、调机参数复核、日常复检申请</w:t>
            </w:r>
          </w:p>
        </w:tc>
        <w:tc>
          <w:tcPr>
            <w:tcW w:w="272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车间内部质量异常评审、返工工单执行确认</w:t>
            </w:r>
          </w:p>
        </w:tc>
      </w:tr>
      <w:tr w14:paraId="67FBE30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质检工程师 / QE</w:t>
            </w:r>
          </w:p>
        </w:tc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查看负责产品线全流程质检记录、SPC 分析趋势、供应商考评</w:t>
            </w:r>
          </w:p>
        </w:tc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新增/修改质检方案与标准项、录入抽样方案、维护缺陷代码库</w:t>
            </w:r>
          </w:p>
        </w:tc>
        <w:tc>
          <w:tcPr>
            <w:tcW w:w="272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不合格品 MRB 方案评审、复检合格确认、COA 报告签批</w:t>
            </w:r>
          </w:p>
        </w:tc>
      </w:tr>
      <w:tr w14:paraId="6C4D7848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一线质检员 / 巡检员</w:t>
            </w:r>
          </w:p>
        </w:tc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查看当前领取的检验任务、对应物料方案与公差标准</w:t>
            </w:r>
          </w:p>
        </w:tc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扫描批次条码、录入测量数值、上传外观瑕疵照片、保存判定结果</w:t>
            </w:r>
          </w:p>
        </w:tc>
        <w:tc>
          <w:tcPr>
            <w:tcW w:w="272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仅具有单项及整批质检结论提交权，无越权审批权限</w:t>
            </w:r>
          </w:p>
        </w:tc>
      </w:tr>
      <w:tr w14:paraId="11B7CE3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系统管理员</w:t>
            </w:r>
          </w:p>
        </w:tc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查看系统运行监控、API 调用指标、全量审计日志 (Audit Log)</w:t>
            </w:r>
          </w:p>
        </w:tc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用户账号管理、组织架构维护、角色与 PBAC 权限策略分配</w:t>
            </w:r>
          </w:p>
        </w:tc>
        <w:tc>
          <w:tcPr>
            <w:tcW w:w="272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无业务审批权，仅负责系统运维与安全配置</w:t>
            </w:r>
          </w:p>
        </w:tc>
      </w:tr>
    </w:tbl>
    <w:p w14:paraId="14E348A6">
      <w:pPr>
        <w:spacing w:before="0" w:after="0" w:line="240" w:lineRule="auto"/>
      </w:pPr>
    </w:p>
    <w:p w14:paraId="6B0E2356">
      <w:pPr>
        <w:spacing w:before="0" w:after="40" w:line="240" w:lineRule="auto"/>
      </w:pP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524F0E5D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shd w:val="clear" w:color="auto" w:fill="E8EDF4"/>
            <w:vAlign w:val="center"/>
          </w:tcPr>
          <w:p w14:paraId="579867A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部署项</w:t>
            </w:r>
          </w:p>
        </w:tc>
        <w:tc>
          <w:tcPr>
            <w:tcW w:w="7824" w:type="dxa"/>
            <w:shd w:val="clear" w:color="auto" w:fill="E8EDF4"/>
            <w:vAlign w:val="center"/>
          </w:tcPr>
          <w:p w14:paraId="04FBF96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说明</w:t>
            </w:r>
          </w:p>
        </w:tc>
      </w:tr>
      <w:tr w14:paraId="2B022ABB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40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0ECA5A5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部署模式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☑ 私有化部署　□ SaaS　☑ 客户本地服务器　□ 云服务器（推荐乐天厂区机房私有化部署，工业质量数据完全自持，杜绝泄密风险）</w:t>
            </w:r>
          </w:p>
        </w:tc>
      </w:tr>
      <w:tr w14:paraId="0B3D505A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40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4CE4A1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服务器 / 网络要求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建议服务器配置：8 核 CPU / 16GB 内存 / 500GB SSD 磁盘存储；局域网千兆交换，车间质检点覆盖稳定 Wi-Fi 或有线网络接入。</w:t>
            </w:r>
          </w:p>
        </w:tc>
      </w:tr>
      <w:tr w14:paraId="3B03361D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40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80CF88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账号与权限要求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基于 PBAC（基于策略的访问控制）细粒度权限管控；支持与客户 Active Directory / LDAP 统一身份认证集成；多级密码复杂度策略。</w:t>
            </w:r>
          </w:p>
        </w:tc>
      </w:tr>
      <w:tr w14:paraId="3310BE7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40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2A3130C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数据安全 / 脱敏要求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核心数据字段加密存储 (AES-256)；全程通信采用 TLS 1.3 / HTTPS 加密；支持敏感物料图纸及数据导出水印与权限脱敏。</w:t>
            </w:r>
          </w:p>
        </w:tc>
      </w:tr>
      <w:tr w14:paraId="10B6146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40" w:hRule="atLeast"/>
          <w:jc w:val="center"/>
        </w:trPr>
        <w:tc>
          <w:tcPr>
            <w:tcW w:w="2041" w:type="dxa"/>
            <w:shd w:val="clear" w:color="auto" w:fill="F5F7FA"/>
            <w:vAlign w:val="center"/>
          </w:tcPr>
          <w:p w14:paraId="697EC73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  <w:u w:val="none"/>
              </w:rPr>
              <w:t>日志与审计</w:t>
            </w:r>
          </w:p>
        </w:tc>
        <w:tc>
          <w:tcPr>
            <w:tcW w:w="782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完整不可篡改的操作审计日志 (Audit Log)，详细记录质检录入、数据修改、审批判定的人员、时间、IP 与变更前后快照。</w:t>
            </w:r>
          </w:p>
        </w:tc>
      </w:tr>
    </w:tbl>
    <w:p w14:paraId="50439C95">
      <w:pPr>
        <w:spacing w:before="0" w:after="0" w:line="240" w:lineRule="auto"/>
      </w:pPr>
    </w:p>
    <w:p w14:paraId="5AB388C7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9. 项目范围与边界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4933"/>
        <w:gridCol w:w="4933"/>
      </w:tblGrid>
      <w:tr w14:paraId="4EFC3678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4932" w:type="dxa"/>
            <w:shd w:val="clear" w:color="auto" w:fill="E8EDF4"/>
            <w:vAlign w:val="center"/>
          </w:tcPr>
          <w:p w14:paraId="04A39A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本期包含</w:t>
            </w:r>
          </w:p>
        </w:tc>
        <w:tc>
          <w:tcPr>
            <w:tcW w:w="4932" w:type="dxa"/>
            <w:shd w:val="clear" w:color="auto" w:fill="E8EDF4"/>
            <w:vAlign w:val="center"/>
          </w:tcPr>
          <w:p w14:paraId="76575C6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本期不包含</w:t>
            </w:r>
          </w:p>
        </w:tc>
      </w:tr>
      <w:tr w14:paraId="3B6A67B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4932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1. 质检标准与方案库动态配置管理（IQC/IPQC/FQC/OQC/RQC）</w:t>
            </w:r>
          </w:p>
        </w:tc>
        <w:tc>
          <w:tcPr>
            <w:tcW w:w="4932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1. 生产车间底层 PLC / 传感器硬件线路改造与梯形图定制</w:t>
            </w:r>
          </w:p>
        </w:tc>
      </w:tr>
      <w:tr w14:paraId="20C6332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4932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2. 来料、制程、出货、退货四大质检流程流转与移动扫码录入</w:t>
            </w:r>
          </w:p>
        </w:tc>
        <w:tc>
          <w:tcPr>
            <w:tcW w:w="4932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2. 乐天 ERP / MES / WMS 系统内部代码原生二次开发</w:t>
            </w:r>
          </w:p>
        </w:tc>
      </w:tr>
      <w:tr w14:paraId="28CFA45B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4932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3. 不合格品处置 (MRB) 流程流转、状态机引擎与异常预警</w:t>
            </w:r>
          </w:p>
        </w:tc>
        <w:tc>
          <w:tcPr>
            <w:tcW w:w="4932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3. 厂区网络基础设施搭建（如车间 Wi-Fi 硬件铺设、物理布线）</w:t>
            </w:r>
          </w:p>
        </w:tc>
      </w:tr>
      <w:tr w14:paraId="47DF9AD0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4932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4. 全链路批次正反向秒级质量追溯图谱与标准 COA 报告自动生成</w:t>
            </w:r>
          </w:p>
        </w:tc>
        <w:tc>
          <w:tcPr>
            <w:tcW w:w="4932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4. 质检物理量具（千分尺、三坐标等）自带驱动软件的定制改版</w:t>
            </w:r>
          </w:p>
        </w:tc>
      </w:tr>
    </w:tbl>
    <w:p w14:paraId="002F903D">
      <w:pPr>
        <w:spacing w:before="0" w:after="0" w:line="240" w:lineRule="auto"/>
      </w:pPr>
    </w:p>
    <w:tbl>
      <w:tblPr>
        <w:tblStyle w:val="32"/>
        <w:tblW w:w="98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</w:tblPr>
      <w:tblGrid>
        <w:gridCol w:w="9866"/>
      </w:tblGrid>
      <w:tr w14:paraId="49ED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130" w:type="dxa"/>
            <w:bottom w:w="70" w:type="dxa"/>
            <w:right w:w="130" w:type="dxa"/>
          </w:tblCellMar>
        </w:tblPrEx>
        <w:tc>
          <w:tcPr>
            <w:tcW w:w="9865" w:type="dxa"/>
            <w:tcBorders>
              <w:top w:val="nil"/>
              <w:left w:val="single" w:color="1F3A5F" w:sz="18" w:space="0"/>
              <w:bottom w:val="nil"/>
              <w:right w:val="nil"/>
            </w:tcBorders>
            <w:shd w:val="clear" w:color="auto" w:fill="F5F7FA"/>
            <w:vAlign w:val="center"/>
          </w:tcPr>
          <w:p w14:paraId="5640EB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7"/>
                <w:u w:val="none"/>
              </w:rPr>
              <w:t>边界提示　</w:t>
            </w:r>
            <w:r>
              <w:rPr>
                <w:rFonts w:ascii="微软雅黑" w:hAnsi="微软雅黑" w:eastAsia="微软雅黑"/>
                <w:b w:val="0"/>
                <w:i w:val="0"/>
                <w:color w:val="5A6472"/>
                <w:sz w:val="17"/>
                <w:u w:val="none"/>
              </w:rPr>
              <w:t>边界需写清是否包含：第三方软件授权费、接口费、客户原系统二开、硬件 / 云资源、历史数据治理、新增场景、现场驻场等。</w:t>
            </w:r>
          </w:p>
        </w:tc>
      </w:tr>
    </w:tbl>
    <w:p w14:paraId="374631CD">
      <w:pPr>
        <w:spacing w:before="0" w:after="40" w:line="240" w:lineRule="auto"/>
      </w:pPr>
    </w:p>
    <w:p w14:paraId="2DBFED1B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10. 工作量与周期评估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 w14:paraId="37835DF3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1928" w:type="dxa"/>
            <w:shd w:val="clear" w:color="auto" w:fill="E8EDF4"/>
            <w:vAlign w:val="center"/>
          </w:tcPr>
          <w:p w14:paraId="71B13FE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模块</w:t>
            </w:r>
          </w:p>
        </w:tc>
        <w:tc>
          <w:tcPr>
            <w:tcW w:w="3061" w:type="dxa"/>
            <w:shd w:val="clear" w:color="auto" w:fill="E8EDF4"/>
            <w:vAlign w:val="center"/>
          </w:tcPr>
          <w:p w14:paraId="3AB0E21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主要工作</w:t>
            </w:r>
          </w:p>
        </w:tc>
        <w:tc>
          <w:tcPr>
            <w:tcW w:w="1587" w:type="dxa"/>
            <w:shd w:val="clear" w:color="auto" w:fill="E8EDF4"/>
            <w:vAlign w:val="center"/>
          </w:tcPr>
          <w:p w14:paraId="1D9D4D2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预计人天</w:t>
            </w:r>
          </w:p>
        </w:tc>
        <w:tc>
          <w:tcPr>
            <w:tcW w:w="1587" w:type="dxa"/>
            <w:shd w:val="clear" w:color="auto" w:fill="E8EDF4"/>
            <w:vAlign w:val="center"/>
          </w:tcPr>
          <w:p w14:paraId="6994D4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难度</w:t>
            </w:r>
          </w:p>
        </w:tc>
        <w:tc>
          <w:tcPr>
            <w:tcW w:w="1701" w:type="dxa"/>
            <w:shd w:val="clear" w:color="auto" w:fill="E8EDF4"/>
            <w:vAlign w:val="center"/>
          </w:tcPr>
          <w:p w14:paraId="5936621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负责人</w:t>
            </w:r>
          </w:p>
        </w:tc>
      </w:tr>
      <w:tr w14:paraId="657E5E67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需求 / 方案设计</w:t>
            </w:r>
          </w:p>
        </w:tc>
        <w:tc>
          <w:tcPr>
            <w:tcW w:w="306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业务蓝图深化、详细接口规约制定、数据库建模与原型方案确认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4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沙玲玲 / 架构师</w:t>
            </w:r>
          </w:p>
        </w:tc>
      </w:tr>
      <w:tr w14:paraId="73F00C87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原型 / UI</w:t>
            </w:r>
          </w:p>
        </w:tc>
        <w:tc>
          <w:tcPr>
            <w:tcW w:w="306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工业响应式工作台设计、扫码交互界面、异常预警大屏与追溯拓扑 UI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701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UI 设计师</w:t>
            </w:r>
          </w:p>
        </w:tc>
      </w:tr>
      <w:tr w14:paraId="3615939E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AI / 工作流开发</w:t>
            </w:r>
          </w:p>
        </w:tc>
        <w:tc>
          <w:tcPr>
            <w:tcW w:w="306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DDD 领域状态机实现、动态质检规则引擎、COA 报告引擎与扫码组件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8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高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沙玲玲 / 后端工程师</w:t>
            </w:r>
          </w:p>
        </w:tc>
      </w:tr>
      <w:tr w14:paraId="728B630C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业务系统接口</w:t>
            </w:r>
          </w:p>
        </w:tc>
        <w:tc>
          <w:tcPr>
            <w:tcW w:w="306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ERP 采购/出库单、MES 生产工单、WMS 到货与企微预警接口联调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5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高</w:t>
            </w:r>
          </w:p>
        </w:tc>
        <w:tc>
          <w:tcPr>
            <w:tcW w:w="1701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沙玲玲 / 全栈工程师</w:t>
            </w:r>
          </w:p>
        </w:tc>
      </w:tr>
      <w:tr w14:paraId="3CF9C7C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测试 / 联调</w:t>
            </w:r>
          </w:p>
        </w:tc>
        <w:tc>
          <w:tcPr>
            <w:tcW w:w="306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前后端集成联调、模拟高并发压测、五大质检业务闭环链路测试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4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测试工程师</w:t>
            </w:r>
          </w:p>
        </w:tc>
      </w:tr>
      <w:tr w14:paraId="6BD60956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部署 / 培训</w:t>
            </w:r>
          </w:p>
        </w:tc>
        <w:tc>
          <w:tcPr>
            <w:tcW w:w="306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厂区本地私有化 Docker 容器部署、基础数据初始化、关键用户操作培训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低</w:t>
            </w:r>
          </w:p>
        </w:tc>
        <w:tc>
          <w:tcPr>
            <w:tcW w:w="1701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运维交付工程师</w:t>
            </w:r>
          </w:p>
        </w:tc>
      </w:tr>
      <w:tr w14:paraId="0AB9FC9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项目管理</w:t>
            </w:r>
          </w:p>
        </w:tc>
        <w:tc>
          <w:tcPr>
            <w:tcW w:w="306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项目里程碑把控、需求变更管理、客户接口人每周沟通与交付验收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</w:t>
            </w:r>
          </w:p>
        </w:tc>
        <w:tc>
          <w:tcPr>
            <w:tcW w:w="1587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周配杰 / 沙玲玲</w:t>
            </w:r>
          </w:p>
        </w:tc>
      </w:tr>
      <w:tr w14:paraId="66E5E558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192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合计</w:t>
            </w:r>
          </w:p>
        </w:tc>
        <w:tc>
          <w:tcPr>
            <w:tcW w:w="306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涵盖需求、设计、开发、联调、部署与试运行交付全流程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30 人天</w:t>
            </w:r>
          </w:p>
        </w:tc>
        <w:tc>
          <w:tcPr>
            <w:tcW w:w="1587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701" w:type="dxa"/>
            <w:shd w:val="clear" w:color="auto" w:fill="FAFBFC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交付团队</w:t>
            </w:r>
          </w:p>
        </w:tc>
      </w:tr>
    </w:tbl>
    <w:p w14:paraId="34428F13">
      <w:pPr>
        <w:spacing w:before="0" w:after="0" w:line="240" w:lineRule="auto"/>
      </w:pPr>
    </w:p>
    <w:p w14:paraId="3ADDE80F">
      <w:pPr>
        <w:pBdr>
          <w:bottom w:val="single" w:color="C4CBD6" w:sz="6" w:space="2"/>
        </w:pBdr>
        <w:spacing w:before="0" w:after="140" w:line="240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 xml:space="preserve">预计总周期 </w:t>
      </w:r>
      <w:r>
        <w:rPr>
          <w:rFonts w:ascii="微软雅黑" w:hAnsi="微软雅黑"/>
          <w:b/>
          <w:color w:val="0F52BA"/>
          <w:sz w:val="20"/>
          <w:rFonts w:ascii="微软雅黑" w:hAnsi="微软雅黑" w:eastAsia="微软雅黑" w:cs="微软雅黑"/>
        </w:rPr>
        <w:t>30</w:t>
      </w:r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 xml:space="preserve"> 个工作日；计划开始 </w:t>
      </w:r>
      <w:r>
        <w:rPr>
          <w:rFonts w:ascii="微软雅黑" w:hAnsi="微软雅黑"/>
          <w:b/>
          <w:color w:val="0F52BA"/>
          <w:sz w:val="20"/>
          <w:rFonts w:ascii="微软雅黑" w:hAnsi="微软雅黑" w:eastAsia="微软雅黑" w:cs="微软雅黑"/>
        </w:rPr>
        <w:t>2026-09-20</w:t>
      </w:r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 xml:space="preserve">；计划上线 </w:t>
      </w:r>
      <w:r>
        <w:rPr>
          <w:rFonts w:ascii="微软雅黑" w:hAnsi="微软雅黑"/>
          <w:b/>
          <w:color w:val="0F52BA"/>
          <w:sz w:val="20"/>
          <w:rFonts w:ascii="微软雅黑" w:hAnsi="微软雅黑" w:eastAsia="微软雅黑" w:cs="微软雅黑"/>
        </w:rPr>
        <w:t>2026-10-30</w:t>
      </w:r>
    </w:p>
    <w:p w14:paraId="12162205">
      <w:pPr>
        <w:shd w:val="clear" w:color="auto" w:fill="F7F9FB"/>
        <w:spacing w:before="60" w:after="160" w:line="264" w:lineRule="auto"/>
      </w:pP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需求确认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原型 / 场景确认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开发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内部测试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客户测试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修改</w:t>
      </w:r>
      <w:r>
        <w:rPr>
          <w:rFonts w:ascii="微软雅黑" w:hAnsi="微软雅黑" w:eastAsia="微软雅黑"/>
          <w:b w:val="0"/>
          <w:i w:val="0"/>
          <w:color w:val="C4CBD6"/>
          <w:sz w:val="18"/>
          <w:u w:val="none"/>
        </w:rPr>
        <w:t xml:space="preserve">  →  </w:t>
      </w:r>
      <w:r>
        <w:rPr>
          <w:rFonts w:ascii="微软雅黑" w:hAnsi="微软雅黑" w:eastAsia="微软雅黑"/>
          <w:b w:val="0"/>
          <w:i w:val="0"/>
          <w:color w:val="AEB6C2"/>
          <w:sz w:val="19"/>
          <w:u w:val="none"/>
        </w:rPr>
        <w:t>正式上线</w:t>
      </w:r>
    </w:p>
    <w:p w14:paraId="6FAE25E8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11. 风险与前置条件</w:t>
      </w:r>
    </w:p>
    <w:tbl>
      <w:tblPr>
        <w:tblStyle w:val="32"/>
        <w:tblW w:w="9865" w:type="dxa"/>
        <w:jc w:val="center"/>
        <w:tblBorders>
          <w:top w:val="single" w:color="DDE2E9" w:sz="4" w:space="0"/>
          <w:left w:val="single" w:color="DDE2E9" w:sz="4" w:space="0"/>
          <w:bottom w:val="single" w:color="DDE2E9" w:sz="4" w:space="0"/>
          <w:right w:val="single" w:color="DDE2E9" w:sz="4" w:space="0"/>
          <w:insideH w:val="single" w:color="DDE2E9" w:sz="4" w:space="0"/>
          <w:insideV w:val="single" w:color="DDE2E9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2466"/>
        <w:gridCol w:w="2466"/>
        <w:gridCol w:w="2466"/>
        <w:gridCol w:w="2466"/>
      </w:tblGrid>
      <w:tr w14:paraId="048AA719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29" w:hRule="atLeast"/>
          <w:jc w:val="center"/>
        </w:trPr>
        <w:tc>
          <w:tcPr>
            <w:tcW w:w="2608" w:type="dxa"/>
            <w:shd w:val="clear" w:color="auto" w:fill="E8EDF4"/>
            <w:vAlign w:val="center"/>
          </w:tcPr>
          <w:p w14:paraId="2A73792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风险 / 前置条件</w:t>
            </w:r>
          </w:p>
        </w:tc>
        <w:tc>
          <w:tcPr>
            <w:tcW w:w="2381" w:type="dxa"/>
            <w:shd w:val="clear" w:color="auto" w:fill="E8EDF4"/>
            <w:vAlign w:val="center"/>
          </w:tcPr>
          <w:p w14:paraId="4B53494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可能影响</w:t>
            </w:r>
          </w:p>
        </w:tc>
        <w:tc>
          <w:tcPr>
            <w:tcW w:w="2494" w:type="dxa"/>
            <w:shd w:val="clear" w:color="auto" w:fill="E8EDF4"/>
            <w:vAlign w:val="center"/>
          </w:tcPr>
          <w:p w14:paraId="6A2CD28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解决建议</w:t>
            </w:r>
          </w:p>
        </w:tc>
        <w:tc>
          <w:tcPr>
            <w:tcW w:w="2381" w:type="dxa"/>
            <w:shd w:val="clear" w:color="auto" w:fill="E8EDF4"/>
            <w:vAlign w:val="center"/>
          </w:tcPr>
          <w:p w14:paraId="4C4CB61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8"/>
                <w:u w:val="none"/>
              </w:rPr>
              <w:t>责任方</w:t>
            </w:r>
          </w:p>
        </w:tc>
      </w:tr>
      <w:tr w14:paraId="7E34DAD1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第三方系统无接口</w:t>
            </w:r>
          </w:p>
        </w:tc>
        <w:tc>
          <w:tcPr>
            <w:tcW w:w="238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ERP/MES 无法实时联动，需依赖定时文件或人工导入</w:t>
            </w:r>
          </w:p>
        </w:tc>
        <w:tc>
          <w:tcPr>
            <w:tcW w:w="249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优先推动厂商开放标准 REST API，若无接口可降级采用数据库安全视图直读或规范 Excel 定时同步。</w:t>
            </w:r>
          </w:p>
        </w:tc>
        <w:tc>
          <w:tcPr>
            <w:tcW w:w="238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客户 IT 部门 / 外部厂商</w:t>
            </w:r>
          </w:p>
        </w:tc>
      </w:tr>
      <w:tr w14:paraId="005EA4F2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客户数据不规范</w:t>
            </w:r>
          </w:p>
        </w:tc>
        <w:tc>
          <w:tcPr>
            <w:tcW w:w="238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物料编码/批次号格式混乱导致扫码匹配失败</w:t>
            </w:r>
          </w:p>
        </w:tc>
        <w:tc>
          <w:tcPr>
            <w:tcW w:w="2494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项目启动前提供标准化基础数据导入模板，上线前联合质量部完成首批物料主数据与质检方案清洗。</w:t>
            </w:r>
          </w:p>
        </w:tc>
        <w:tc>
          <w:tcPr>
            <w:tcW w:w="238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乐天质量部 / 数字化推进办</w:t>
            </w:r>
          </w:p>
        </w:tc>
      </w:tr>
      <w:tr w14:paraId="2757CEF4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测试环境 / 账号未提供</w:t>
            </w:r>
          </w:p>
        </w:tc>
        <w:tc>
          <w:tcPr>
            <w:tcW w:w="238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接口联调滞后，压缩后期系统综合测试时间</w:t>
            </w:r>
          </w:p>
        </w:tc>
        <w:tc>
          <w:tcPr>
            <w:tcW w:w="249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项目启动后 3 个工作日内提供 ERP/MES 测试沙箱环境及账号，提前开展 Mock 契约驱动测试先行。</w:t>
            </w:r>
          </w:p>
        </w:tc>
        <w:tc>
          <w:tcPr>
            <w:tcW w:w="238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客户系统管理员 / 销售协助</w:t>
            </w:r>
          </w:p>
        </w:tc>
      </w:tr>
      <w:tr w14:paraId="49F4BD8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AI 识别准确率存在边界</w:t>
            </w:r>
          </w:p>
        </w:tc>
        <w:tc>
          <w:tcPr>
            <w:tcW w:w="238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铭牌破损或污渍可能导致 OCR 识别偶发错误</w:t>
            </w:r>
          </w:p>
        </w:tc>
        <w:tc>
          <w:tcPr>
            <w:tcW w:w="2494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引入双重校验机制（扫码为主、OCR 为辅），识别结果高亮提示质检员核对并提供一键手动修正通道。</w:t>
            </w:r>
          </w:p>
        </w:tc>
        <w:tc>
          <w:tcPr>
            <w:tcW w:w="238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技术开发团队</w:t>
            </w:r>
          </w:p>
        </w:tc>
      </w:tr>
      <w:tr w14:paraId="47D910D6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608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需求频繁变化</w:t>
            </w:r>
          </w:p>
        </w:tc>
        <w:tc>
          <w:tcPr>
            <w:tcW w:w="238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增加额外未评估的检验场景导致工期延误</w:t>
            </w:r>
          </w:p>
        </w:tc>
        <w:tc>
          <w:tcPr>
            <w:tcW w:w="2494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严格执行变更控制流程，本期聚焦 IQC/IPQC/OQC 核心主流程，新增非核心需求纳入二期迭代规划。</w:t>
            </w:r>
          </w:p>
        </w:tc>
        <w:tc>
          <w:tcPr>
            <w:tcW w:w="2381" w:type="dxa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双方项目负责人</w:t>
            </w:r>
          </w:p>
        </w:tc>
      </w:tr>
      <w:tr w14:paraId="01C64E5F">
        <w:tblPrEx>
          <w:tblBorders>
            <w:top w:val="single" w:color="DDE2E9" w:sz="4" w:space="0"/>
            <w:left w:val="single" w:color="DDE2E9" w:sz="4" w:space="0"/>
            <w:bottom w:val="single" w:color="DDE2E9" w:sz="4" w:space="0"/>
            <w:right w:val="single" w:color="DDE2E9" w:sz="4" w:space="0"/>
            <w:insideH w:val="single" w:color="DDE2E9" w:sz="4" w:space="0"/>
            <w:insideV w:val="single" w:color="DDE2E9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trHeight w:val="351" w:hRule="atLeast"/>
          <w:jc w:val="center"/>
        </w:trPr>
        <w:tc>
          <w:tcPr>
            <w:tcW w:w="2608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/>
                <w:color w:val="2B2B2B"/>
                <w:sz w:val="18"/>
                <w:rFonts w:ascii="微软雅黑" w:hAnsi="微软雅黑" w:eastAsia="微软雅黑" w:cs="微软雅黑"/>
              </w:rPr>
              <w:t>网络 / 服务器限制</w:t>
            </w:r>
          </w:p>
        </w:tc>
        <w:tc>
          <w:tcPr>
            <w:tcW w:w="238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车间局部 Wi-Fi 信号盲区影响数据实时上传</w:t>
            </w:r>
          </w:p>
        </w:tc>
        <w:tc>
          <w:tcPr>
            <w:tcW w:w="2494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前端工作台内建离线 IndexedDB 缓存暂存机制，检测到网络重连后自动后台幂等补传，杜绝数据丢失。</w:t>
            </w:r>
          </w:p>
        </w:tc>
        <w:tc>
          <w:tcPr>
            <w:tcW w:w="2381" w:type="dxa"/>
            <w:shd w:val="clear" w:color="auto" w:fill="FAFBFC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/>
                <w:b w:val="0"/>
                <w:color w:val="2B2B2B"/>
                <w:sz w:val="18"/>
                <w:rFonts w:ascii="微软雅黑" w:hAnsi="微软雅黑" w:eastAsia="微软雅黑" w:cs="微软雅黑"/>
              </w:rPr>
              <w:t>客户网络管理员 / 技术团队</w:t>
            </w:r>
          </w:p>
        </w:tc>
      </w:tr>
    </w:tbl>
    <w:p w14:paraId="65850CA7">
      <w:pPr>
        <w:spacing w:before="0" w:after="0" w:line="240" w:lineRule="auto"/>
      </w:pPr>
    </w:p>
    <w:p w14:paraId="4D2BAB79">
      <w:pPr>
        <w:pBdr>
          <w:bottom w:val="single" w:color="DDE2E9" w:sz="4" w:space="3"/>
        </w:pBdr>
        <w:spacing w:before="240" w:after="100" w:line="264" w:lineRule="auto"/>
      </w:pPr>
      <w:r>
        <w:rPr>
          <w:rFonts w:ascii="微软雅黑" w:hAnsi="微软雅黑" w:eastAsia="微软雅黑"/>
          <w:b/>
          <w:i w:val="0"/>
          <w:color w:val="1F3A5F"/>
          <w:sz w:val="24"/>
          <w:u w:val="none"/>
        </w:rPr>
        <w:t>12. 技术评估结论</w:t>
      </w:r>
    </w:p>
    <w:p w14:paraId="1FDEC50D">
      <w:pPr>
        <w:spacing w:before="0" w:after="120" w:line="300" w:lineRule="auto"/>
      </w:pPr>
      <w:r/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>☑ 可以按当前需求开发　□ 需要调整需求后开发　□ 建议先做 POC 验证　□ 暂不建议开发</w:t>
      </w:r>
    </w:p>
    <w:p w14:paraId="436BF5CE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评估结论说明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项目业务目标明确，技术架构方案先进合理（基于 React 19 + Fastify + DDD 状态机 + PostgreSQL），功能范围边界清晰，整体技术风险可控。核心需求已获各方确认，具备立即启动开发实施的条件。建议启动后重点抓紧外部 ERP/MES 联调环境落地。</w:t>
      </w:r>
    </w:p>
    <w:p w14:paraId="0C7DB4BD">
      <w:pPr>
        <w:pBdr>
          <w:bottom w:val="single" w:color="C4CBD6" w:sz="6" w:space="2"/>
        </w:pBdr>
        <w:spacing w:before="60" w:after="60" w:line="288" w:lineRule="auto"/>
      </w:pPr>
      <w:r/>
      <w:r>
        <w:rPr>
          <w:rFonts w:ascii="微软雅黑" w:hAnsi="微软雅黑"/>
          <w:b/>
          <w:color w:val="1F3A5F"/>
          <w:sz w:val="20"/>
          <w:rFonts w:ascii="微软雅黑" w:hAnsi="微软雅黑" w:eastAsia="微软雅黑" w:cs="微软雅黑"/>
        </w:rPr>
        <w:t>技术负责人 / 日期</w:t>
      </w:r>
      <w:r>
        <w:rPr>
          <w:rFonts w:ascii="微软雅黑" w:hAnsi="微软雅黑"/>
          <w:b w:val="0"/>
          <w:color w:val="2B2B2B"/>
          <w:sz w:val="19"/>
          <w:rFonts w:ascii="微软雅黑" w:hAnsi="微软雅黑" w:eastAsia="微软雅黑" w:cs="微软雅黑"/>
        </w:rPr>
        <w:t xml:space="preserve">  沙玲玲 / 2026-09-18</w:t>
      </w:r>
    </w:p>
    <w:sectPr>
      <w:headerReference r:id="rId5" w:type="default"/>
      <w:footerReference r:id="rId6" w:type="default"/>
      <w:pgSz w:w="11906" w:h="16838"/>
      <w:pgMar w:top="1077" w:right="1020" w:bottom="964" w:left="1020" w:header="567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93B6D">
    <w:pPr>
      <w:pStyle w:val="24"/>
      <w:spacing w:before="0" w:after="0" w:line="240" w:lineRule="auto"/>
      <w:jc w:val="center"/>
    </w:pP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t>1</w:t>
    </w: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fldChar w:fldCharType="end"/>
    </w: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t>1</w:t>
    </w: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fldChar w:fldCharType="end"/>
    </w:r>
    <w:r>
      <w:rPr>
        <w:rFonts w:ascii="微软雅黑" w:hAnsi="微软雅黑" w:eastAsia="微软雅黑"/>
        <w:b w:val="0"/>
        <w:i w:val="0"/>
        <w:color w:val="8A94A6"/>
        <w:sz w:val="17"/>
        <w:u w:val="none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67ACB">
    <w:pPr>
      <w:pStyle w:val="25"/>
      <w:pBdr>
        <w:bottom w:val="single" w:color="E4E8EE" w:sz="4" w:space="2"/>
      </w:pBdr>
      <w:spacing w:before="0" w:after="0" w:line="240" w:lineRule="auto"/>
    </w:pPr>
    <w:r>
      <w:rPr>
        <w:rFonts w:ascii="微软雅黑" w:hAnsi="微软雅黑" w:eastAsia="微软雅黑"/>
        <w:b w:val="0"/>
        <w:i w:val="0"/>
        <w:color w:val="8A94A6"/>
        <w:sz w:val="16"/>
        <w:u w:val="none"/>
      </w:rPr>
      <w:t>CLOUDYI · 云亿智能　|　技术开发方案表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8A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1272</Words>
  <Characters>1893</Characters>
  <Lines>0</Lines>
  <Paragraphs>0</Paragraphs>
  <TotalTime>20</TotalTime>
  <ScaleCrop>false</ScaleCrop>
  <LinksUpToDate>false</LinksUpToDate>
  <CharactersWithSpaces>2261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ABC</cp:lastModifiedBy>
  <dcterms:modified xsi:type="dcterms:W3CDTF">2026-09-18T07:38:06Z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eyJoZGlkIjoiOWUwOWY1OThjOTBmY2I1M2U5OGEyOWE4OWU3MTI0MDIiLCJ1c2VySWQiOiIxMDQ3OTI3OTUzIn0=</vt:lpwstr>
  </property>
  <property fmtid="{D5CDD505-2E9C-101B-9397-08002B2CF9AE}" pid="3" name="KSOProductBuildVer">
    <vt:lpwstr>2052-12.1.0.23125</vt:lpwstr>
  </property>
  <property fmtid="{D5CDD505-2E9C-101B-9397-08002B2CF9AE}" pid="4" name="ICV">
    <vt:lpwstr>E1653CE80178464E984B4FD0E68300C1_13</vt:lpwstr>
  </property>
</Properties>
</file>