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 communication en champ proche (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CCP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en anglais : Near Field Communication(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NFC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est une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technologie de communication sans fil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à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courte portée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et à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haute fréquence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permettant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l'échange d'informations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entre des périphériques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jusqu'à une distance d'environ 10 cm dans le cas général. Cette technologie est une extension de la norme ISO/CEI 14443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standardisant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les cartes de proximité utilisant la radio-identification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RFID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qui combinent une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carte à puce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et un lecteur au sein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d'un seul périphérique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Caractéristiques principales: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*Débits de communication : 106, 212 ou 424 kbit/s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*Gamme de fréquence : 13,56 MHz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Mode de communication : half-duplex ou full-duplex.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Normes liées à la CCP: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*NFCIP-1 (ISO/CEI 18092) définit l'interface et le protocole de communication entre deux périphériques CCP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* ISO/CEI 14443-1 à ISO/CEI 14443-4 définissent la communication avec des circuits intégrés sans contact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*NDEF (NFC Data Exchange Format) définit le format d'échange logique des données.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Trois modes de fonctionnement: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*Le mode émulation de carte ou mode passif: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Le terminal mobile se comporte comme une carte à puce sans-contact.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*Le mode lecteur: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terminal mobile devient un lecteur de cartes sans-contacts (mode actif) ou de « radio-étiquettes » (étiquettes électroniques). Ce mode permet de lire des informations en approchant son mobile devant des étiquettes électroniques.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propos des tags NFC : </w:t>
        <w:br w:type="textWrapping"/>
        <w:t xml:space="preserve">Un « tag NFC » est une étiquette électronique équipée de la technologie NFC. L'intérêt étant de pouvoir le programmer, de façon à envoyer une information aux appareils situés dans son champ d'action. On peut acheter des tags NFC, à programmer soi-même sur Internet. </w:t>
        <w:br w:type="textWrapping"/>
        <w:t xml:space="preserve">Pour programmer son tag NFC, il existe des applications mobiles comme « NFC Task Launcher », disponible sur le Google Play.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*Le mode pair à pair: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Ce mode permet à </w:t>
      </w:r>
      <w:r w:rsidDel="00000000" w:rsidR="00000000" w:rsidRPr="00000000">
        <w:rPr>
          <w:b w:val="1"/>
          <w:rtl w:val="0"/>
        </w:rPr>
        <w:t xml:space="preserve">deux terminaux</w:t>
      </w:r>
      <w:r w:rsidDel="00000000" w:rsidR="00000000" w:rsidRPr="00000000">
        <w:rPr>
          <w:rtl w:val="0"/>
        </w:rPr>
        <w:t xml:space="preserve"> mobiles </w:t>
      </w:r>
      <w:r w:rsidDel="00000000" w:rsidR="00000000" w:rsidRPr="00000000">
        <w:rPr>
          <w:b w:val="1"/>
          <w:rtl w:val="0"/>
        </w:rPr>
        <w:t xml:space="preserve">d'échanger de l'information</w:t>
      </w:r>
      <w:r w:rsidDel="00000000" w:rsidR="00000000" w:rsidRPr="00000000">
        <w:rPr>
          <w:rtl w:val="0"/>
        </w:rPr>
        <w:t xml:space="preserve">, par exemple des vCard, des photos, des vidéos, de l'argent, des tickets, etc. Un appareil doté de la technologie CCP est capable d'échanger des informations avec des cartes à puces sans contact mais également avec d'autres appareils dotés de cette technologie.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Ce mode peut également être couplé avec une technologie permettant un transfert plus rapide. Le système d'exploitation mobile Android, via Android Beam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396875</wp:posOffset>
            </wp:positionH>
            <wp:positionV relativeFrom="paragraph">
              <wp:posOffset>70993</wp:posOffset>
            </wp:positionV>
            <wp:extent cx="5972810" cy="570865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0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Sécurité des données avec le NFC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L'échange de données entre deux appareils équipés du NFC est sécurisé pour deux raisons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*Le respect de normes (14443 et FeliCa) utilisant des algorithmes de chiffrement et d'authentification.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*La courte distance de communication entre les appareils, qui réduit fortement le risque de vol des données.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sur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6089075</wp:posOffset>
          </wp:positionH>
          <wp:positionV relativeFrom="paragraph">
            <wp:posOffset>-319907</wp:posOffset>
          </wp:positionV>
          <wp:extent cx="621030" cy="518160"/>
          <wp:effectExtent b="0" l="0" r="0" t="0"/>
          <wp:wrapSquare wrapText="bothSides" distB="0" distT="0" distL="0" distR="0"/>
          <wp:docPr descr="https://intranet.iut-valence.fr/~lievinro/mon_intranet/signature/logo_IUTValence_vertical.jpg" id="2" name="image4.jpg"/>
          <a:graphic>
            <a:graphicData uri="http://schemas.openxmlformats.org/drawingml/2006/picture">
              <pic:pic>
                <pic:nvPicPr>
                  <pic:cNvPr descr="https://intranet.iut-valence.fr/~lievinro/mon_intranet/signature/logo_IUTValence_vertical.jpg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1030" cy="5181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1435100</wp:posOffset>
              </wp:positionH>
              <wp:positionV relativeFrom="paragraph">
                <wp:posOffset>-139699</wp:posOffset>
              </wp:positionV>
              <wp:extent cx="3606800" cy="4445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6461" y="3560027"/>
                        <a:ext cx="3599078" cy="43994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u w:val="single"/>
                              <w:vertAlign w:val="baseline"/>
                            </w:rPr>
                            <w:t xml:space="preserve">Recherche sur le protocole NFC</w:t>
                          </w:r>
                        </w:p>
                      </w:txbxContent>
                    </wps:txbx>
                    <wps:bodyPr anchorCtr="0" anchor="t" bIns="45700" lIns="91425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1435100</wp:posOffset>
              </wp:positionH>
              <wp:positionV relativeFrom="paragraph">
                <wp:posOffset>-139699</wp:posOffset>
              </wp:positionV>
              <wp:extent cx="3606800" cy="4445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6800" cy="444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-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