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2E5395"/>
          <w:sz w:val="28"/>
          <w:szCs w:val="28"/>
        </w:rPr>
        <w:t xml:space="preserve">STANDARD OPERATING PROCEDURE</w:t>
      </w:r>
    </w:p>
    <w:p>
      <w:pPr>
        <w:spacing w:before="300"/>
        <w:jc w:val="center"/>
      </w:pPr>
      <w:r>
        <w:rPr>
          <w:b/>
          <w:bCs/>
          <w:color w:val="1F3864"/>
          <w:sz w:val="52"/>
          <w:szCs w:val="52"/>
        </w:rPr>
        <w:t xml:space="preserve">SIEM Log Source Ingestion &amp; Parsing</w:t>
      </w:r>
    </w:p>
    <w:p>
      <w:pPr>
        <w:spacing w:after="600" w:before="200"/>
        <w:jc w:val="center"/>
      </w:pPr>
      <w:r>
        <w:rPr>
          <w:i/>
          <w:iCs/>
          <w:color w:val="2E5395"/>
          <w:sz w:val="26"/>
          <w:szCs w:val="26"/>
        </w:rPr>
        <w:t xml:space="preserve">Must-Have / Should-Have Log Sources &amp; Collector Optimization Guide</w:t>
      </w:r>
    </w:p>
    <w:p>
      <w:pPr>
        <w:pBdr>
          <w:top w:val="single" w:color="1F3864" w:sz="6" w:space="12"/>
        </w:pBdr>
        <w:spacing w:before="1600"/>
        <w:jc w:val="center"/>
      </w:pPr>
      <w:r>
        <w:t xml:space="preserve"/>
      </w:r>
    </w:p>
    <w:tbl>
      <w:tblPr>
        <w:tblW w:type="dxa" w:w="6200"/>
        <w:jc w:val="center"/>
        <w:tblBorders>
          <w:top w:val="none"/>
          <w:left w:val="none"/>
          <w:bottom w:val="none"/>
          <w:right w:val="none"/>
          <w:insideH w:val="single" w:color="D9D9D9" w:sz="2"/>
          <w:insideV w:val="none"/>
        </w:tblBorders>
      </w:tblPr>
      <w:tblGrid>
        <w:gridCol w:w="2200"/>
        <w:gridCol w:w="4000"/>
      </w:tblGrid>
      <w:tr>
        <w:tc>
          <w:tcPr>
            <w:tcW w:type="dxa" w:w="220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400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SIEM Engineering / CSOC</w:t>
            </w:r>
          </w:p>
        </w:tc>
      </w:tr>
      <w:tr>
        <w:tc>
          <w:tcPr>
            <w:tcW w:type="dxa" w:w="220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00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Prem Basnet, CSOC &amp; SIEM Manager</w:t>
            </w:r>
          </w:p>
        </w:tc>
      </w:tr>
      <w:tr>
        <w:tc>
          <w:tcPr>
            <w:tcW w:type="dxa" w:w="220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00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17 September 2026</w:t>
            </w:r>
          </w:p>
        </w:tc>
      </w:tr>
      <w:tr>
        <w:tc>
          <w:tcPr>
            <w:tcW w:type="dxa" w:w="220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400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Annual, or after material platform change</w:t>
            </w:r>
          </w:p>
        </w:tc>
      </w:tr>
      <w:tr>
        <w:tc>
          <w:tcPr>
            <w:tcW w:type="dxa" w:w="220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00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Internal Use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</w:rPr>
        <w:t xml:space="preserve">1. Purpose and Scope</w:t>
      </w:r>
    </w:p>
    <w:p>
      <w:pPr>
        <w:spacing w:after="160"/>
      </w:pPr>
      <w:r>
        <w:rPr>
          <w:sz w:val="21"/>
          <w:szCs w:val="21"/>
        </w:rPr>
        <w:t xml:space="preserve">This SOP defines the minimum and recommended log sources a SOC must ingest into the SIEM to support detection, investigation, and compliance, and gives the SIEM engineering team a framework for tiering collectors so that high-value logs are never dropped when a collector is under load.</w:t>
      </w:r>
    </w:p>
    <w:p>
      <w:pPr>
        <w:spacing w:after="160"/>
      </w:pPr>
      <w:r>
        <w:rPr>
          <w:sz w:val="21"/>
          <w:szCs w:val="21"/>
        </w:rPr>
        <w:t xml:space="preserve">It applies to log collection from network security devices (firewalls, IPS/IDS, proxies), network infrastructure (switches, routers, wireless controllers), Windows and Linux servers, Active Directory / domain controllers, and endpoints (Windows, Linux, macOS workstations). It covers what to collect, why (mapped to SOC/IR use cases), and how to keep the collector pipeline efficient (filtering, parsing, normalization, storage).</w:t>
      </w:r>
    </w:p>
    <w:p>
      <w:pPr>
        <w:spacing w:after="160"/>
      </w:pPr>
      <w:r>
        <w:rPr>
          <w:sz w:val="21"/>
          <w:szCs w:val="21"/>
        </w:rPr>
        <w:t xml:space="preserve">It does not cover SIEM correlation rule content, use-case-specific detection engineering, or vendor-specific installation steps — those are addressed in companion SOPs and platform runbooks.</w:t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1.1 Audience</w:t>
      </w:r>
    </w:p>
    <w:p>
      <w:pPr>
        <w:spacing w:after="160"/>
      </w:pPr>
      <w:r>
        <w:rPr>
          <w:sz w:val="21"/>
          <w:szCs w:val="21"/>
        </w:rPr>
        <w:t xml:space="preserve">SIEM engineers (onboarding new log sources), SOC analysts (understanding what evidence is available during investigation), and IR responders (knowing which log source to query for a given attack stage).</w:t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1.2 Priority Tiers Used Throughout This Document</w:t>
      </w:r>
    </w:p>
    <w:tbl>
      <w:tblPr>
        <w:tblW w:type="dxa" w:w="9360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55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Ingest SLA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Must-Have (P1)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Required for baseline detection and incident reconstruction; absence is a compliance/audit finding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Onboard before go-live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Should-Have (P2)</w:t>
            </w:r>
          </w:p>
        </w:tc>
        <w:tc>
          <w:tcPr>
            <w:tcW w:type="dxa" w:w="55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Materially improves detection coverage or investigation speed; expected within a defined maturity window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Onboard within 30–90 days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Nice-to-Have (P3)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Adds context or supports advanced/threat-hunting use cases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Onboard opportunistically / on request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</w:rPr>
        <w:t xml:space="preserve">2. Log Source Prioritization Framework by Asset Class</w:t>
      </w:r>
    </w:p>
    <w:p>
      <w:pPr>
        <w:spacing w:after="160"/>
      </w:pPr>
      <w:r>
        <w:rPr>
          <w:sz w:val="21"/>
          <w:szCs w:val="21"/>
        </w:rPr>
        <w:t xml:space="preserve">This is the master decision table SIEM engineers use when onboarding a new source or triaging collector capacity. When a collector approaches its EPS or bandwidth ceiling, drop or sample Tier 3 first, then Tier 2 — Tier 1 is never throttled.</w:t>
      </w:r>
    </w:p>
    <w:tbl>
      <w:tblPr>
        <w:tblW w:type="dxa" w:w="9360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1650"/>
        <w:gridCol w:w="2900"/>
        <w:gridCol w:w="2900"/>
        <w:gridCol w:w="1910"/>
      </w:tblGrid>
      <w:tr>
        <w:trPr>
          <w:tblHeader/>
        </w:trPr>
        <w:tc>
          <w:tcPr>
            <w:tcW w:type="dxa" w:w="165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Asset Class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Must-Have (P1)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Should-Have (P2)</w:t>
            </w:r>
          </w:p>
        </w:tc>
        <w:tc>
          <w:tcPr>
            <w:tcW w:type="dxa" w:w="191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Nice-to-Have (P3)</w:t>
            </w:r>
          </w:p>
        </w:tc>
      </w:tr>
      <w:tr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Firewall / NGFW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Allow/deny (traffic) logs, VPN auth (remote access), policy/config changes, IPS/threat-prevention hits, admin login events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URL/web filtering, DNS security logs, SSL/TLS inspection decrypt events, HA/failover state</w:t>
            </w:r>
          </w:p>
        </w:tc>
        <w:tc>
          <w:tcPr>
            <w:tcW w:type="dxa" w:w="191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Bandwidth/QoS stats, full packet capture triggers</w:t>
            </w:r>
          </w:p>
        </w:tc>
      </w:tr>
      <w:tr>
        <w:tc>
          <w:tcPr>
            <w:tcW w:type="dxa" w:w="16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Switches / Routers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AAA (TACACS+/RADIUS) auth, config change (syslog), interface up/down on core links, ACL deny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Port security violations (MAC flap, unauthorized device), STP topology change, DHCP snooping/ARP inspection drops</w:t>
            </w:r>
          </w:p>
        </w:tc>
        <w:tc>
          <w:tcPr>
            <w:tcW w:type="dxa" w:w="19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SNMP traps for performance, NetFlow/sFlow</w:t>
            </w:r>
          </w:p>
        </w:tc>
      </w:tr>
      <w:tr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IDS/IPS (standalone)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Alert/signature hits, blocked sessions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Passive detection (informational signatures)</w:t>
            </w:r>
          </w:p>
        </w:tc>
        <w:tc>
          <w:tcPr>
            <w:tcW w:type="dxa" w:w="191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Traffic baselining stats</w:t>
            </w:r>
          </w:p>
        </w:tc>
      </w:tr>
      <w:tr>
        <w:tc>
          <w:tcPr>
            <w:tcW w:type="dxa" w:w="16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Windows Servers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 log: 4624/4625 (logon), 4720/4726 (account mgmt), 4688 (process creation), 4672 (special privileges), Windows Firewall changes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Sysmon (process, network, image load), PowerShell (4103/4104), Windows Defender/AV, scheduled task creation (4698)</w:t>
            </w:r>
          </w:p>
        </w:tc>
        <w:tc>
          <w:tcPr>
            <w:tcW w:type="dxa" w:w="19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Application/System log informational events, print spooler</w:t>
            </w:r>
          </w:p>
        </w:tc>
      </w:tr>
      <w:tr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Linux Servers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auth.log/secure (SSH, sudo, su), auditd (execve, identity changes), cron modifications, package install/removal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auditd file integrity (watch rules on /etc/passwd, /etc/shadow, SIEM/agent configs), systemd service changes, firewalld/iptables changes</w:t>
            </w:r>
          </w:p>
        </w:tc>
        <w:tc>
          <w:tcPr>
            <w:tcW w:type="dxa" w:w="191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kernel dmesg, resource utilization logs</w:t>
            </w:r>
          </w:p>
        </w:tc>
      </w:tr>
      <w:tr>
        <w:tc>
          <w:tcPr>
            <w:tcW w:type="dxa" w:w="16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Active Directory / Domain Controllers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4624/4625/4634 (logon/logoff), 4768/4771 (Kerberos TGT, incl. AS-REP), 4769 (TGS/Kerberoasting), 4720/4722/4724/4738 (account create/enable/reset/change), 4728/4732/4756 (privileged group membership), 4662 (DCSync-relevant object access), Group Policy changes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DNS server logs (zone transfer, query logging for tunneling), NTDS.dit access, LDAP simple bind, certificate services (AD CS) issuance</w:t>
            </w:r>
          </w:p>
        </w:tc>
        <w:tc>
          <w:tcPr>
            <w:tcW w:type="dxa" w:w="19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Replication health events</w:t>
            </w:r>
          </w:p>
        </w:tc>
      </w:tr>
      <w:tr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Windows Workstations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4624/4625 (local + RDP), 4688 (process creation with command line), 4672, Defender/EDR alerts, USB/removable media (4663 on monitored objects)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Sysmon full config (network conn, driver load, WMI, named pipes), PowerShell script block logging, Windows Firewall changes</w:t>
            </w:r>
          </w:p>
        </w:tc>
        <w:tc>
          <w:tcPr>
            <w:tcW w:type="dxa" w:w="191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BSOD/crash reports, uninstall events</w:t>
            </w:r>
          </w:p>
        </w:tc>
      </w:tr>
      <w:tr>
        <w:tc>
          <w:tcPr>
            <w:tcW w:type="dxa" w:w="16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Linux Workstations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auth.log (su/sudo), auditd execve, USB mount events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AppArmor/SELinux denials, package changes</w:t>
            </w:r>
          </w:p>
        </w:tc>
        <w:tc>
          <w:tcPr>
            <w:tcW w:type="dxa" w:w="19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Session/idle logs</w:t>
            </w:r>
          </w:p>
        </w:tc>
      </w:tr>
      <w:tr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macOS Workstations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unified log: authentication (auth events), sudo, Gatekeeper/XProtect events, EDR alerts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endpointsecurity.framework events (process exec, file events), FileVault status changes</w:t>
            </w:r>
          </w:p>
        </w:tc>
        <w:tc>
          <w:tcPr>
            <w:tcW w:type="dxa" w:w="191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Spotlight/system diagnostics</w:t>
            </w:r>
          </w:p>
        </w:tc>
      </w:tr>
    </w:tbl>
    <w:p>
      <w:pPr>
        <w:pBdr>
          <w:left w:val="single" w:color="2E5395" w:sz="18" w:space="6"/>
        </w:pBdr>
        <w:shd w:fill="DCE6F1" w:color="auto" w:val="clear"/>
        <w:spacing w:after="200" w:before="100"/>
      </w:pPr>
      <w:r>
        <w:rPr>
          <w:i/>
          <w:iCs/>
          <w:sz w:val="20"/>
          <w:szCs w:val="20"/>
        </w:rPr>
        <w:t xml:space="preserve">Rule of thumb: before onboarding any source, confirm it feeds at least one detection use case in Section 3, or a compliance requirement. If not, it is P3 by default regardless of how easy it is to collect.</w:t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</w:rPr>
        <w:t xml:space="preserve">3. Must-Have Logs by SOC / IR Use Case</w:t>
      </w:r>
    </w:p>
    <w:p>
      <w:pPr>
        <w:spacing w:after="160"/>
      </w:pPr>
      <w:r>
        <w:rPr>
          <w:sz w:val="21"/>
          <w:szCs w:val="21"/>
        </w:rPr>
        <w:t xml:space="preserve">Tier assignments in Section 2 are derived from these use cases. This table lets an analyst or engineer work backward from “what am I investigating” to “which log source must be present.”</w:t>
      </w:r>
    </w:p>
    <w:tbl>
      <w:tblPr>
        <w:tblW w:type="dxa" w:w="9360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1900"/>
        <w:gridCol w:w="1500"/>
        <w:gridCol w:w="3200"/>
        <w:gridCol w:w="27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Attack Stage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 Log Sources</w:t>
            </w:r>
          </w:p>
        </w:tc>
        <w:tc>
          <w:tcPr>
            <w:tcW w:type="dxa" w:w="27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Fields / Events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Initial access / brute force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Initial Access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Firewall VPN auth, AD/DC auth, Windows/Linux server auth, EDR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4625 (repeated), auth.log failed su/ssh, source IP, account lockout (4740)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Phishing / malicious execution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Execution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Endpoint EDR, Sysmon (process creation, network), email gateway, proxy/DNS</w:t>
            </w:r>
          </w:p>
        </w:tc>
        <w:tc>
          <w:tcPr>
            <w:tcW w:type="dxa" w:w="27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4688 with command line, Sysmon Event ID 1/3/11, parent-child process chains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Lateral movement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Lateral Movement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AD/DC (4624 Type 3/10), Windows Sysmon (Event ID 3, 8, 21), switch/NAC logs, firewall east-west rules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Logon type, source-destination host pairs, WMI/PsExec/RDP indicators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Privilege escalation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Privilege Escalation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 (4728/4732/4756, 4670), Windows (4672), Linux auditd (sudo, setuid)</w:t>
            </w:r>
          </w:p>
        </w:tc>
        <w:tc>
          <w:tcPr>
            <w:tcW w:type="dxa" w:w="27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member of privileged group, token manipulation, sudoers changes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Credential access (Kerberoasting, DCSync, dumping)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Credential Access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AD/DC (4769 with RC4 encryption, 4662 on DC replication objects), Sysmon (LSASS access, Event ID 10), EDR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Ticket encryption type, object GUID for DCSync, process handle to lsass.exe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Windows (4698 scheduled task, 4720 new account, registry Run key via Sysmon 13), Linux (cron, systemd, auditd), AD (new SPN)</w:t>
            </w:r>
          </w:p>
        </w:tc>
        <w:tc>
          <w:tcPr>
            <w:tcW w:type="dxa" w:w="27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service/task creation, autorun registry writes, new cron entries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Malware / ransomware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Impact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EDR/AV, Sysmon (file create, process), firewall (C2 callbacks), DNS logs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Mass file rename/encryption patterns, known-bad hash/signature hits, beaconing intervals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 exfiltration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Exfiltration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Firewall/proxy (outbound volume, destination reputation), DNS (tunneling patterns), DLP, cloud storage app logs</w:t>
            </w:r>
          </w:p>
        </w:tc>
        <w:tc>
          <w:tcPr>
            <w:tcW w:type="dxa" w:w="27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Large outbound transfers off-hours, uncommon destination ASN, DNS TXT record volume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Insider threat / policy violation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Collection/Exfiltration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File server access logs, USB/removable media events, AD group membership changes, print logs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Object access (4663) on sensitive shares, mass file access, after-hours access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compromise (business email / SaaS)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Initial Access/Persistence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Identity provider logs (Azure AD/Okta sign-in), impossible travel, MFA changes</w:t>
            </w:r>
          </w:p>
        </w:tc>
        <w:tc>
          <w:tcPr>
            <w:tcW w:type="dxa" w:w="27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Sign-in risk level, new MFA method registered, conditional access failures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Network reconnaissance / scanning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Reconnaissance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IDS/IPS, firewall deny logs, NetFlow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Port scan signatures, sequential connection attempts, deny-rule spikes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Change/config integrity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Any (audit)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Firewall/switch config change logs, AD Group Policy changes, Linux auditd on config files</w:t>
            </w:r>
          </w:p>
        </w:tc>
        <w:tc>
          <w:tcPr>
            <w:tcW w:type="dxa" w:w="27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Unauthorized rule change, GPO modification, /etc file tampering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</w:rPr>
        <w:t xml:space="preserve">4. Detailed Log Source Reference Tables</w:t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4.1 Firewalls / NGFW (e.g. FortiGate, Check Point, Palo Alto)</w:t>
      </w:r>
    </w:p>
    <w:tbl>
      <w:tblPr>
        <w:tblW w:type="dxa" w:w="9360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2000"/>
        <w:gridCol w:w="900"/>
        <w:gridCol w:w="3400"/>
        <w:gridCol w:w="30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 Type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Transport</w:t>
            </w:r>
          </w:p>
        </w:tc>
        <w:tc>
          <w:tcPr>
            <w:tcW w:type="dxa" w:w="30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Traffic (allow/deny)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Syslog UDP/TCP 514, or vendor API (Log Exporter/LEA for Check Point)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Sample only if EPS-constrained; never drop deny logs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IPS / Threat Prevention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Syslog / Log Exporter</w:t>
            </w:r>
          </w:p>
        </w:tc>
        <w:tc>
          <w:tcPr>
            <w:tcW w:type="dxa" w:w="30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Include signature ID, severity, action taken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VPN authentication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Syslog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Correlate with AD auth for account-takeover detection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Admin/config change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Syslog</w:t>
            </w:r>
          </w:p>
        </w:tc>
        <w:tc>
          <w:tcPr>
            <w:tcW w:type="dxa" w:w="30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Feeds change-integrity use case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URL/web filtering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Syslog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 volume — consider category-based filtering at source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DNS security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Syslog</w:t>
            </w:r>
          </w:p>
        </w:tc>
        <w:tc>
          <w:tcPr>
            <w:tcW w:type="dxa" w:w="30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Useful for tunneling/C2 detection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HA/failover state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Syslog/SNMP trap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Operational, not security-critical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95"/>
        </w:rPr>
        <w:t xml:space="preserve">4.2 Switches / Network Infrastructure</w:t>
      </w:r>
    </w:p>
    <w:tbl>
      <w:tblPr>
        <w:tblW w:type="dxa" w:w="9360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2400"/>
        <w:gridCol w:w="900"/>
        <w:gridCol w:w="2200"/>
        <w:gridCol w:w="38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 Type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Transport</w:t>
            </w:r>
          </w:p>
        </w:tc>
        <w:tc>
          <w:tcPr>
            <w:tcW w:type="dxa" w:w="38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AAA (TACACS+/RADIUS)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Syslog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access to network gear — high-value target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 change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Syslog</w:t>
            </w:r>
          </w:p>
        </w:tc>
        <w:tc>
          <w:tcPr>
            <w:tcW w:type="dxa" w:w="38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Diff against baseline config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Interface state (core only)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Syslog/SNMP trap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Limit to core/distribution layer to control volume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Port security violation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Syslog</w:t>
            </w:r>
          </w:p>
        </w:tc>
        <w:tc>
          <w:tcPr>
            <w:tcW w:type="dxa" w:w="38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Rogue device detection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DHCP snooping / ARP inspection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Syslog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MITM/ARP spoofing detection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NetFlow/sFlow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UDP flow export</w:t>
            </w:r>
          </w:p>
        </w:tc>
        <w:tc>
          <w:tcPr>
            <w:tcW w:type="dxa" w:w="38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 volume; route to a flow collector, not general syslog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95"/>
        </w:rPr>
        <w:t xml:space="preserve">4.3 Windows Servers</w:t>
      </w:r>
    </w:p>
    <w:tbl>
      <w:tblPr>
        <w:tblW w:type="dxa" w:w="9360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2200"/>
        <w:gridCol w:w="5960"/>
        <w:gridCol w:w="12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 ID</w:t>
            </w:r>
          </w:p>
        </w:tc>
        <w:tc>
          <w:tcPr>
            <w:tcW w:type="dxa" w:w="59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4624 / 4625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Successful/failed logon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4688</w:t>
            </w:r>
          </w:p>
        </w:tc>
        <w:tc>
          <w:tcPr>
            <w:tcW w:type="dxa" w:w="59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Process creation (enable command-line auditing)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4672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Special privileges assigned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4720 / 4726</w:t>
            </w:r>
          </w:p>
        </w:tc>
        <w:tc>
          <w:tcPr>
            <w:tcW w:type="dxa" w:w="59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created / deleted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4657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Registry value modified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Sysmon 1/3/7/11/22</w:t>
            </w:r>
          </w:p>
        </w:tc>
        <w:tc>
          <w:tcPr>
            <w:tcW w:type="dxa" w:w="59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Process, network, image load, file create, DNS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4103 / 4104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PowerShell module/script block logging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Defender events</w:t>
            </w:r>
          </w:p>
        </w:tc>
        <w:tc>
          <w:tcPr>
            <w:tcW w:type="dxa" w:w="59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 detections, real-time protection state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95"/>
        </w:rPr>
        <w:t xml:space="preserve">4.4 Linux Servers</w:t>
      </w:r>
    </w:p>
    <w:tbl>
      <w:tblPr>
        <w:tblW w:type="dxa" w:w="9360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3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/var/log/auth.log or /var/log/secure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SSH, sudo, su, PAM auth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auditd: execve rules</w:t>
            </w:r>
          </w:p>
        </w:tc>
        <w:tc>
          <w:tcPr>
            <w:tcW w:type="dxa" w:w="5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Command execution audit trail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auditd: identity rules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Changes to /etc/passwd, /etc/shadow, /etc/group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auditd: watch on agent/config paths</w:t>
            </w:r>
          </w:p>
        </w:tc>
        <w:tc>
          <w:tcPr>
            <w:tcW w:type="dxa" w:w="5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Tamper detection on the collector itself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Cron/at job changes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Persistence detection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systemd journal</w:t>
            </w:r>
          </w:p>
        </w:tc>
        <w:tc>
          <w:tcPr>
            <w:tcW w:type="dxa" w:w="5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 start/stop/fail — service integrity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firewalld/iptables/nftables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Local firewall tampering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Package manager logs (dpkg/yum/rpm)</w:t>
            </w:r>
          </w:p>
        </w:tc>
        <w:tc>
          <w:tcPr>
            <w:tcW w:type="dxa" w:w="5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Software install/removal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95"/>
        </w:rPr>
        <w:t xml:space="preserve">4.5 Active Directory / Domain Controllers</w:t>
      </w:r>
    </w:p>
    <w:tbl>
      <w:tblPr>
        <w:tblW w:type="dxa" w:w="9360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 ID</w:t>
            </w:r>
          </w:p>
        </w:tc>
        <w:tc>
          <w:tcPr>
            <w:tcW w:type="dxa" w:w="55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4624/4625/4634/4647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Logon/logoff (all types)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4768 / 4771</w:t>
            </w:r>
          </w:p>
        </w:tc>
        <w:tc>
          <w:tcPr>
            <w:tcW w:type="dxa" w:w="55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Kerberos TGT request / pre-auth failure (AS-REP roasting)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4769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Kerberos service ticket (Kerberoasting detection)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4720/4722/4724/4725/4738</w:t>
            </w:r>
          </w:p>
        </w:tc>
        <w:tc>
          <w:tcPr>
            <w:tcW w:type="dxa" w:w="55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create/enable/reset-pw/disable/change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4728/4732/4756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Member added to privileged group (Domain/Enterprise Admins)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4662</w:t>
            </w:r>
          </w:p>
        </w:tc>
        <w:tc>
          <w:tcPr>
            <w:tcW w:type="dxa" w:w="55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Object access — required for DCSync detection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5136/5137/5141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Group Policy / AD object changes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DNS Server analytic logs</w:t>
            </w:r>
          </w:p>
        </w:tc>
        <w:tc>
          <w:tcPr>
            <w:tcW w:type="dxa" w:w="55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Zone transfer, tunneling via TXT/NULL queries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 CS issuance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Certificate-based persistence (ESC attack paths)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95"/>
        </w:rPr>
        <w:t xml:space="preserve">4.6 Windows Workstations</w:t>
      </w:r>
    </w:p>
    <w:tbl>
      <w:tblPr>
        <w:tblW w:type="dxa" w:w="9360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3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4624 (Type 2/10)/4625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Local and RDP logon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4688 with command line</w:t>
            </w:r>
          </w:p>
        </w:tc>
        <w:tc>
          <w:tcPr>
            <w:tcW w:type="dxa" w:w="5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Process creation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EDR/Defender alerts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Malware, behavioral detections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4663 on monitored objects</w:t>
            </w:r>
          </w:p>
        </w:tc>
        <w:tc>
          <w:tcPr>
            <w:tcW w:type="dxa" w:w="5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USB/removable media, sensitive file access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Sysmon full ruleset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Network, driver load, WMI, named pipes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PowerShell script block logging</w:t>
            </w:r>
          </w:p>
        </w:tc>
        <w:tc>
          <w:tcPr>
            <w:tcW w:type="dxa" w:w="5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Fileless attack detection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95"/>
        </w:rPr>
        <w:t xml:space="preserve">4.7 Linux Workstations</w:t>
      </w:r>
    </w:p>
    <w:tbl>
      <w:tblPr>
        <w:tblW w:type="dxa" w:w="9360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3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auth.log (su/sudo)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Privilege use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auditd execve</w:t>
            </w:r>
          </w:p>
        </w:tc>
        <w:tc>
          <w:tcPr>
            <w:tcW w:type="dxa" w:w="5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Command execution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USB mount events (udev/auditd)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Removable media control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AppArmor/SELinux denials</w:t>
            </w:r>
          </w:p>
        </w:tc>
        <w:tc>
          <w:tcPr>
            <w:tcW w:type="dxa" w:w="5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Policy violation / exploitation attempt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95"/>
        </w:rPr>
        <w:t xml:space="preserve">4.8 macOS Workstations</w:t>
      </w:r>
    </w:p>
    <w:tbl>
      <w:tblPr>
        <w:tblW w:type="dxa" w:w="9360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3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Unified log: authentication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Login, screen unlock, sudo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Gatekeeper/XProtect events</w:t>
            </w:r>
          </w:p>
        </w:tc>
        <w:tc>
          <w:tcPr>
            <w:tcW w:type="dxa" w:w="5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Malware quarantine decisions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EDR alerts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Behavioral/malware detections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endpointsecurity.framework</w:t>
            </w:r>
          </w:p>
        </w:tc>
        <w:tc>
          <w:tcPr>
            <w:tcW w:type="dxa" w:w="5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Deep process and file telemetry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FileVault status changes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Disk encryption tamper detection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</w:rPr>
        <w:t xml:space="preserve">5. Log Collector Optimization</w:t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5.1 Filtering and Noise Reduction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Filter at the source when possible (device-level syslog facility/severity filters) before it ever reaches the collector — cheaper than filtering after ingestion.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Drop or downsample known-noisy, low-value events at the collector: informational-only Windows Application log entries, successful DHCP renewals, routine SNMP polling, verbose debug-level device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Never filter out P1 events to hit an EPS budget — scale the collector or negotiate a higher license tier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allow-listing for high-volume sources (NetFlow, proxy) and deny-listing for low-volume, high-value sources (AD, firewall) so a misconfigured filter fails safe (over-collects) rather than fails silent (drops evidence).</w:t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5.2 Parsing and Normalization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Normalize every source to a common schema (CIM, ECS, or the SIEM's native CEF/LEEF equivalent) at ingest time, not at search time — this is what makes cross-source correlation (e.g. firewall IP → AD username → endpoint process)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Standard fields every parsed event must populate when available: timestamp (normalized to UTC, source timezone recorded separately), source/destination IP, source/destination hostname, username, event outcome (success/failure), event category, source device/vendor.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Validate parser coverage after every onboarding: run a sample of raw events through the parser and confirm the extraction rate before marking the source “live.” Target &gt;95% parse success.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Version-control parser/props.conf/pipeline configs and track changes the same way as detection rules — a silent parser break is a silent detection gap.</w:t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5.3 Storage Tiering and Retention</w:t>
      </w:r>
    </w:p>
    <w:tbl>
      <w:tblPr>
        <w:tblW w:type="dxa" w:w="9360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2400"/>
        <w:gridCol w:w="2900"/>
        <w:gridCol w:w="2160"/>
        <w:gridCol w:w="19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1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Typical Retention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Hot (searchable, indexed)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 sources, all auth/identity logs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30–35 days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Active investigation window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Warm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 + P2, aged out of hot</w:t>
            </w:r>
          </w:p>
        </w:tc>
        <w:tc>
          <w:tcPr>
            <w:tcW w:type="dxa" w:w="21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6–12 months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Trend analysis, extended IR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Cold/archive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ingested logs incl. P3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1–7 years per compliance mandate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Regulatory/legal hold, forensic replay</w:t>
            </w:r>
          </w:p>
        </w:tc>
      </w:tr>
    </w:tbl>
    <w:p>
      <w:pPr>
        <w:pBdr>
          <w:left w:val="single" w:color="2E5395" w:sz="18" w:space="6"/>
        </w:pBdr>
        <w:shd w:fill="DCE6F1" w:color="auto" w:val="clear"/>
        <w:spacing w:after="200" w:before="100"/>
      </w:pPr>
      <w:r>
        <w:rPr>
          <w:i/>
          <w:iCs/>
          <w:sz w:val="20"/>
          <w:szCs w:val="20"/>
        </w:rPr>
        <w:t xml:space="preserve">Align retention with the strictest applicable regulatory requirement (e.g. PCI DSS, central bank/NRB guidelines for financial clients, local data protection law) rather than a single global default.</w:t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5.4 Collector Sizing and Resilience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Size collectors on peak EPS, not average — business-hours logon storms and month-end batch jobs can spike 3–5x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Deploy collectors with local disk buffering (minimum 24–72 hours) so a SIEM indexer or network outage does not cause permanent log loss; alert when buffer utilization exceeds 70%.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 critical P1 sources, use dual-homed forwarding (two collectors/paths) or at minimum monitor for forwarder heartbeat loss within 5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Separate collection tiers by function where volume justifies it: a dedicated flow/NetFlow collector, a dedicated endpoint/EDR collector, and a general syslog collector — this isolates a noisy source from starving a critical one.</w:t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</w:rPr>
        <w:t xml:space="preserve">6. Ingestion Architecture and Transport</w:t>
      </w:r>
    </w:p>
    <w:p>
      <w:pPr>
        <w:spacing w:after="160"/>
      </w:pPr>
      <w:r>
        <w:rPr>
          <w:sz w:val="21"/>
          <w:szCs w:val="21"/>
        </w:rPr>
        <w:t xml:space="preserve">Recommended data flow: perimeter and network devices, Windows estate, Linux estate, and endpoint/EDR sources each forward through a purpose-built collector tier into parsing and normalization, before landing in the SIEM's hot index and aging into warm/cold storage.</w:t>
      </w:r>
    </w:p>
    <w:tbl>
      <w:tblPr>
        <w:tblW w:type="dxa" w:w="9360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1900"/>
        <w:gridCol w:w="3200"/>
        <w:gridCol w:w="1560"/>
        <w:gridCol w:w="27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Preferred Transport</w:t>
            </w:r>
          </w:p>
        </w:tc>
        <w:tc>
          <w:tcPr>
            <w:tcW w:type="dxa" w:w="15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Fallback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Firewalls/Switches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Syslog TCP (reliable) over TLS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Syslog UDP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UDP acceptable only for non-critical, high-volume flow data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Windows (Servers/AD/WS)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Windows Event Forwarding (WEF/WEC), or a lightweight agent (Winlogbeat, NXLog)</w:t>
            </w:r>
          </w:p>
        </w:tc>
        <w:tc>
          <w:tcPr>
            <w:tcW w:type="dxa" w:w="15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WMI polling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Avoid WMI at scale — high resource cost, unreliable under load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Linux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Agent (Filebeat, rsyslog forwarding, auditd dispatcher)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Direct syslog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Ship auditd via audisp/dispatcher plugin, not raw log tailing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EDR / cloud identity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Vendor API / webhook</w:t>
            </w:r>
          </w:p>
        </w:tc>
        <w:tc>
          <w:tcPr>
            <w:tcW w:type="dxa" w:w="15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Respect vendor API rate limits; use pagination and backoff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macOS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Agent (osquery, EDR agent) with unified log streaming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Native syslog on macOS is deprecated for security-relevant events</w:t>
            </w:r>
          </w:p>
        </w:tc>
      </w:tr>
    </w:tbl>
    <w:p>
      <w:pPr>
        <w:pBdr>
          <w:left w:val="single" w:color="2E5395" w:sz="18" w:space="6"/>
        </w:pBdr>
        <w:shd w:fill="DCE6F1" w:color="auto" w:val="clear"/>
        <w:spacing w:after="200" w:before="100"/>
      </w:pPr>
      <w:r>
        <w:rPr>
          <w:i/>
          <w:iCs/>
          <w:sz w:val="20"/>
          <w:szCs w:val="20"/>
        </w:rPr>
        <w:t xml:space="preserve">Use TLS-encrypted transport for any log crossing an untrusted network segment and for anything containing authentication data. Time-sync every log source to NTP against the same reference clock as the SIEM — clock drift breaks correlation and timeline reconstruction during IR.</w:t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</w:rPr>
        <w:t xml:space="preserve">7. Validation, Health Monitoring, and Coverage Assurance</w:t>
      </w:r>
    </w:p>
    <w:p>
      <w:pPr>
        <w:spacing w:after="160"/>
      </w:pPr>
      <w:r>
        <w:rPr>
          <w:sz w:val="21"/>
          <w:szCs w:val="21"/>
        </w:rPr>
        <w:t xml:space="preserve">A log source that silently stops sending is worse than one that was never onboarded — it creates false confidence in coverage.</w:t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7.1 Onboarding Checklist (run for every new source)</w:t>
      </w:r>
    </w:p>
    <w:p>
      <w:pPr>
        <w:spacing w:after="60"/>
      </w:pPr>
      <w:r>
        <w:rPr>
          <w:sz w:val="21"/>
          <w:szCs w:val="21"/>
        </w:rPr>
        <w:t xml:space="preserve">☐  Source confirmed reachable and time-synced (NTP)</w:t>
      </w:r>
    </w:p>
    <w:p>
      <w:pPr>
        <w:spacing w:after="60"/>
      </w:pPr>
      <w:r>
        <w:rPr>
          <w:sz w:val="21"/>
          <w:szCs w:val="21"/>
        </w:rPr>
        <w:t xml:space="preserve">☐  Raw events arriving at collector (verify with packet capture or agent debug log)</w:t>
      </w:r>
    </w:p>
    <w:p>
      <w:pPr>
        <w:spacing w:after="60"/>
      </w:pPr>
      <w:r>
        <w:rPr>
          <w:sz w:val="21"/>
          <w:szCs w:val="21"/>
        </w:rPr>
        <w:t xml:space="preserve">☐  Parser applied and field-extraction rate ≥ 95% validated against a sample</w:t>
      </w:r>
    </w:p>
    <w:p>
      <w:pPr>
        <w:spacing w:after="60"/>
      </w:pPr>
      <w:r>
        <w:rPr>
          <w:sz w:val="21"/>
          <w:szCs w:val="21"/>
        </w:rPr>
        <w:t xml:space="preserve">☐  EPS/volume baseline recorded for capacity planning</w:t>
      </w:r>
    </w:p>
    <w:p>
      <w:pPr>
        <w:spacing w:after="60"/>
      </w:pPr>
      <w:r>
        <w:rPr>
          <w:sz w:val="21"/>
          <w:szCs w:val="21"/>
        </w:rPr>
        <w:t xml:space="preserve">☐  Mapped to at least one detection use case (Section 3) or compliance requirement</w:t>
      </w:r>
    </w:p>
    <w:p>
      <w:pPr>
        <w:spacing w:after="60"/>
      </w:pPr>
      <w:r>
        <w:rPr>
          <w:sz w:val="21"/>
          <w:szCs w:val="21"/>
        </w:rPr>
        <w:t xml:space="preserve">☐  Test event generated end-to-end and confirmed searchable in SIEM within SLA (e.g. &lt; 5 minutes for P1)</w:t>
      </w:r>
    </w:p>
    <w:p>
      <w:pPr>
        <w:spacing w:after="60"/>
      </w:pPr>
      <w:r>
        <w:rPr>
          <w:sz w:val="21"/>
          <w:szCs w:val="21"/>
        </w:rPr>
        <w:t xml:space="preserve">☐  Source added to the log source inventory and dead-source monitoring</w:t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7.2 Ongoing Health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Maintain a log source inventory (CMDB-linked where possible): source, owner, tier, expected EPS range, last-seen timestamp, parser 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Alert on “silent source” — any P1 source with zero events for longer than its expected quiet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Alert on EPS anomalies in both directions: a sudden drop (collector/agent failure, tampering) and a sudden spike (log flooding, misconfiguration).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Reconcile the log source inventory against the asset inventory quarterly — new servers, decommissioned devices, and shadow IT are the most common coverage gaps.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Track parser/field-extraction health as its own metric; a parser silently breaking after a vendor firmware/OS update is a common cause of undetected coverage loss.</w:t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7.3 Periodic Assurance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Run purple-team or synthetic-event testing against each P1 use case in Section 3 at least twice a year to confirm the log source actually supports detection end-to-end, not just that events are arriving.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Include log source coverage review in every post-incident review: if a source that should have shown the activity didn't, that is a corrective action, not a footnote.</w:t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</w:rPr>
        <w:t xml:space="preserve">8. Roles, Responsibilities, and Change Management</w:t>
      </w:r>
    </w:p>
    <w:tbl>
      <w:tblPr>
        <w:tblW w:type="dxa" w:w="9360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SIEM Engineer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Onboards sources, builds/validates parsers, sizes and maintains collectors, owns the log source inventory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SOC Analyst</w:t>
            </w:r>
          </w:p>
        </w:tc>
        <w:tc>
          <w:tcPr>
            <w:tcW w:type="dxa" w:w="69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Reports detection gaps and false-negative findings back to SIEM engineering; requests new sources when investigations reveal a blind spot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Validates during post-incident review whether required log sources were present and sufficient; drives corrective onboarding actions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System/Network Owner</w:t>
            </w:r>
          </w:p>
        </w:tc>
        <w:tc>
          <w:tcPr>
            <w:tcW w:type="dxa" w:w="69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Grants access, maintains the source device, notifies SIEM engineering of planned changes that can break parsing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ISO / Compliance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Confirms retention and coverage meet regulatory obligations (ISO 27001, PCI DSS, sector-specific mandates)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95"/>
        </w:rPr>
        <w:t xml:space="preserve">8.1 Change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Any change to a source device (OS/firmware upgrade, log format change, IP/hostname change) must be logged as a change ticket and flagged to SIEM engineering in advance — vendor updates are the leading cause of silent parser breakage.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Parser and collector configuration changes are version-controlled and peer-reviewed before deployment to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Decommissioning a source requires sign-off removing it from the inventory and dead-source alerting, to avoid stale alerts.</w:t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8.2 Review Cadence</w:t>
      </w:r>
    </w:p>
    <w:tbl>
      <w:tblPr>
        <w:tblW w:type="dxa" w:w="9360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 source inventory reconciliation vs. asset inventory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6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SOP review and update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Annually, or after a material platform/vendor change</w:t>
            </w:r>
          </w:p>
        </w:tc>
      </w:tr>
      <w:tr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 use-case detection validation (Section 7.3)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Semi-annually</w:t>
            </w:r>
          </w:p>
        </w:tc>
      </w:tr>
      <w:tr>
        <w:tc>
          <w:tcPr>
            <w:tcW w:type="dxa" w:w="6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Collector capacity/EPS review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Quarterly</w:t>
            </w:r>
          </w:p>
        </w:tc>
      </w:tr>
    </w:tbl>
    <w:p>
      <w:pPr>
        <w:spacing w:before="300"/>
      </w:pPr>
      <w:r>
        <w:rPr>
          <w:b/>
          <w:bCs/>
          <w:sz w:val="20"/>
          <w:szCs w:val="20"/>
        </w:rPr>
        <w:t xml:space="preserve">Document control: </w:t>
      </w:r>
      <w:r>
        <w:rPr>
          <w:sz w:val="20"/>
          <w:szCs w:val="20"/>
        </w:rPr>
        <w:t xml:space="preserve">owned by SIEM Engineering; changes require review by the SOC Manager before publication.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6"/>
        <w:szCs w:val="16"/>
      </w:rPr>
      <w:t xml:space="preserve">   |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6DE" w:sz="4" w:space="4"/>
      </w:pBdr>
      <w:tabs>
        <w:tab w:val="right" w:pos="9360"/>
      </w:tabs>
    </w:pPr>
    <w:r>
      <w:rPr>
        <w:color w:val="808080"/>
        <w:sz w:val="16"/>
        <w:szCs w:val="16"/>
      </w:rPr>
      <w:t xml:space="preserve">SIEM Log Ingestion &amp; Parsing SOP</w:t>
    </w:r>
    <w:r>
      <w:rPr>
        <w:color w:val="808080"/>
        <w:sz w:val="16"/>
        <w:szCs w:val="16"/>
      </w:rPr>
      <w:t xml:space="preserve">	CSOC / SIEM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Log Ingestion &amp; Parsing — Standard Operating Procedure</dc:title>
  <dc:creator>Prem Basnet</dc:creator>
  <cp:lastModifiedBy>Un-named</cp:lastModifiedBy>
  <cp:revision>1</cp:revision>
  <dcterms:created xsi:type="dcterms:W3CDTF">2026-09-17T11:04:17.239Z</dcterms:created>
  <dcterms:modified xsi:type="dcterms:W3CDTF">2026-09-17T11:04:17.249Z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