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0689" cy="777240"/>
            <wp:docPr id="1" name="Picture 1" descr="Logotipo do SchoolSyn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sync-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89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Arial" w:hAnsi="Arial"/>
          <w:b/>
          <w:color w:val="0B1F3A"/>
          <w:sz w:val="44"/>
        </w:rPr>
        <w:t>SchoolSync: organização acadêmica colaborativa</w:t>
      </w:r>
    </w:p>
    <w:p>
      <w:pPr>
        <w:spacing w:after="120"/>
        <w:jc w:val="center"/>
      </w:pPr>
      <w:r>
        <w:rPr>
          <w:rFonts w:ascii="Arial" w:hAnsi="Arial"/>
          <w:i/>
          <w:color w:val="5B6573"/>
          <w:sz w:val="21"/>
        </w:rPr>
        <w:t>Rascunho para o formulário do resumo informativo - 35ª META</w:t>
      </w:r>
    </w:p>
    <w:p>
      <w:pPr>
        <w:spacing w:after="160"/>
        <w:jc w:val="center"/>
      </w:pPr>
      <w:r>
        <w:rPr>
          <w:rFonts w:ascii="Arial" w:hAnsi="Arial"/>
          <w:color w:val="000000"/>
          <w:sz w:val="21"/>
        </w:rPr>
        <w:t>Marcos Daniel Vieira Benedito; Victor Hugo Mendes Soares.</w:t>
        <w:br/>
        <w:t>Maurílio Alves Martins da Costa (Orientador).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5F9"/>
          </w:tcPr>
          <w:p>
            <w:pPr>
              <w:spacing w:after="0"/>
            </w:pPr>
            <w:r>
              <w:rPr>
                <w:rFonts w:ascii="Arial" w:hAnsi="Arial"/>
                <w:b/>
                <w:color w:val="0B1F3A"/>
                <w:sz w:val="19"/>
              </w:rPr>
              <w:t>Código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9"/>
              </w:rPr>
              <w:t>26177C1</w:t>
            </w:r>
          </w:p>
        </w:tc>
      </w:tr>
      <w:tr>
        <w:tc>
          <w:tcPr>
            <w:tcW w:type="dxa" w:w="1800"/>
            <w:shd w:fill="F2F5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F3A"/>
                <w:sz w:val="19"/>
              </w:rPr>
              <w:t>Campus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9"/>
              </w:rPr>
              <w:t>Timóteo</w:t>
            </w:r>
          </w:p>
        </w:tc>
      </w:tr>
      <w:tr>
        <w:tc>
          <w:tcPr>
            <w:tcW w:type="dxa" w:w="1800"/>
            <w:shd w:fill="F2F5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F3A"/>
                <w:sz w:val="19"/>
              </w:rPr>
              <w:t>Área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9"/>
              </w:rPr>
              <w:t>Ciências Exatas e da Terra</w:t>
            </w:r>
          </w:p>
        </w:tc>
      </w:tr>
      <w:tr>
        <w:tc>
          <w:tcPr>
            <w:tcW w:type="dxa" w:w="1800"/>
            <w:shd w:fill="F2F5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F3A"/>
                <w:sz w:val="19"/>
              </w:rPr>
              <w:t>Modalidade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9"/>
              </w:rPr>
              <w:t>Ciência Aplicada/Inovação Tecnológica</w:t>
            </w:r>
          </w:p>
        </w:tc>
      </w:tr>
    </w:tbl>
    <w:p>
      <w:pPr>
        <w:pStyle w:val="Heading1"/>
      </w:pPr>
      <w:r>
        <w:t>Resumo informativo</w:t>
      </w:r>
    </w:p>
    <w:p>
      <w:pPr>
        <w:spacing w:after="80" w:line="276" w:lineRule="auto"/>
        <w:jc w:val="both"/>
      </w:pPr>
      <w:r>
        <w:rPr>
          <w:rFonts w:ascii="Arial" w:hAnsi="Arial"/>
          <w:color w:val="000000"/>
          <w:sz w:val="22"/>
        </w:rPr>
        <w:t>Estudantes frequentemente registram tarefas em agendas, mensagens e ferramentas desconectadas, o que dificulta o acompanhamento de prazos e a divisão de responsabilidades. O SchoolSync tem como objetivo centralizar e tornar colaborativa a gestão de atividades acadêmicas para turmas do ensino técnico. A solução foi desenvolvida como aplicação móvel e web com Ionic e Angular, integrada a uma API Java com Spring Boot e banco de dados relacional. O processo incluiu levantamento de requisitos, modelagem de casos de uso e dados, implementação incremental e testes automatizados dos serviços críticos. A versão atual reúne 21 páginas de interface e 47 operações de API para salas, grupos, atividades, tarefas, comentários, calendário e notificações. Na verificação realizada em 20 de agosto de 2026, a aplicação web foi compilada com sucesso e os seis testes automatizados da API foram aprovados, sem falhas, erros ou testes ignorados. Os resultados indicam que o protótipo integra em um único ambiente os principais fluxos previstos e oferece base funcional para reduzir a dispersão das informações acadêmicas. Conclui-se que o SchoolSync apresenta potencial de apoiar a organização, a colaboração e o cumprimento de prazos, devendo ser complementado por avaliações de usabilidade com estudantes.</w:t>
      </w:r>
    </w:p>
    <w:p>
      <w:pPr>
        <w:spacing w:after="100"/>
        <w:jc w:val="right"/>
      </w:pPr>
      <w:r>
        <w:rPr>
          <w:rFonts w:ascii="Arial" w:hAnsi="Arial"/>
          <w:i/>
          <w:color w:val="5B6573"/>
          <w:sz w:val="18"/>
        </w:rPr>
        <w:t>193 palavras - dentro do limite oficial de 100 a 200</w:t>
      </w:r>
    </w:p>
    <w:p>
      <w:pPr>
        <w:pStyle w:val="Heading1"/>
      </w:pPr>
      <w:r>
        <w:t>Palavras-chave</w:t>
      </w:r>
    </w:p>
    <w:p>
      <w:pPr>
        <w:spacing w:before="0" w:after="60" w:line="264" w:lineRule="auto"/>
      </w:pPr>
      <w:r>
        <w:rPr>
          <w:rFonts w:ascii="Arial" w:hAnsi="Arial"/>
          <w:b/>
          <w:color w:val="0B1F3A"/>
          <w:sz w:val="21"/>
        </w:rPr>
        <w:t xml:space="preserve">Campo 1: </w:t>
      </w:r>
      <w:r>
        <w:rPr>
          <w:rFonts w:ascii="Arial" w:hAnsi="Arial"/>
          <w:color w:val="000000"/>
          <w:sz w:val="21"/>
        </w:rPr>
        <w:t>Gestão acadêmica</w:t>
      </w:r>
    </w:p>
    <w:p>
      <w:pPr>
        <w:spacing w:before="0" w:after="60" w:line="264" w:lineRule="auto"/>
      </w:pPr>
      <w:r>
        <w:rPr>
          <w:rFonts w:ascii="Arial" w:hAnsi="Arial"/>
          <w:b/>
          <w:color w:val="0B1F3A"/>
          <w:sz w:val="21"/>
        </w:rPr>
        <w:t xml:space="preserve">Campo 2: </w:t>
      </w:r>
      <w:r>
        <w:rPr>
          <w:rFonts w:ascii="Arial" w:hAnsi="Arial"/>
          <w:color w:val="000000"/>
          <w:sz w:val="21"/>
        </w:rPr>
        <w:t>Aplicação móvel</w:t>
      </w:r>
    </w:p>
    <w:p>
      <w:pPr>
        <w:spacing w:before="0" w:after="60" w:line="264" w:lineRule="auto"/>
      </w:pPr>
      <w:r>
        <w:rPr>
          <w:rFonts w:ascii="Arial" w:hAnsi="Arial"/>
          <w:b/>
          <w:color w:val="0B1F3A"/>
          <w:sz w:val="21"/>
        </w:rPr>
        <w:t xml:space="preserve">Campo 3: </w:t>
      </w:r>
      <w:r>
        <w:rPr>
          <w:rFonts w:ascii="Arial" w:hAnsi="Arial"/>
          <w:color w:val="000000"/>
          <w:sz w:val="21"/>
        </w:rPr>
        <w:t>Colaboração estudantil</w:t>
      </w:r>
    </w:p>
    <w:sectPr w:rsidR="00FC693F" w:rsidRPr="0006063C" w:rsidSect="00034616">
      <w:footerReference w:type="default" r:id="rId10"/>
      <w:pgSz w:w="12240" w:h="15840"/>
      <w:pgMar w:top="893" w:right="1440" w:bottom="89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7"/>
      </w:rPr>
      <w:t>SchoolSync | 35ª META | Preparado em 20 de agosto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F6FB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informativo - SchoolSync - 35ª META</dc:title>
  <dc:subject>Rascunho para submissão do resumo informativo</dc:subject>
  <dc:creator>Marcos Daniel Vieira Benedito; Victor Hugo Mendes Soares</dc:creator>
  <cp:keywords>SchoolSync, META, resumo informativo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