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Manual endnotes.</w:t>
      </w:r>
    </w:p>
    <w:p>
      <w:pPr>
        <w:pStyle w:val="BodyText"/>
      </w:pPr>
      <w:r>
        <w:t xml:space="preserve">Nullam eu ante vel est convallis dignissim. Nunc porta vulputate tellus. Nunc rutrum turpis sed pede. Sed bibendum.</w:t>
      </w:r>
      <w:bookmarkStart w:id="0" w:name="Aliquam"/>
      <w:r>
        <w:t xml:space="preserve">Aliquam posuere.</w:t>
      </w:r>
    </w:p>
    <w:p>
      <w:pPr>
        <w:pStyle w:val="BodyText"/>
      </w:pPr>
      <w:r>
        <w:t xml:space="preserve">Nunc aliquet, augue nec adipiscing interdum, lacus tellus malesuada massa, quis varius mi purus non odio.</w:t>
      </w:r>
      <w:bookmarkEnd w:id="0"/>
      <w:r>
        <w:t xml:space="preserve">Pellentesque condimentum, magna ut suscipit hendrerit, ipsum augue ornare nulla, non luctus diam neque sit amet urna. Curabitur vulputate vestibulum lorem.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2021-05-12T04:29:05Z</dcterms:created>
  <dcterms:modified xsi:type="dcterms:W3CDTF">2021-05-12T04:29:05Z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