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de eventos superados y protocolo de confirmación</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ciclo de vida del evento,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endurecimiento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57</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59</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113</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113</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118</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119</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119</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126</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128</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136</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136</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136</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137</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139</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143</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144</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145</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148</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151</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152</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159</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161</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162</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164</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167</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168</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169</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170</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Pila tecnológica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108</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114</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115</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116</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148</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150</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153</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161</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142</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160</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la autoría o la trazabilidad: commits en los apartados 3.7, 3.8, 5.5 y 9.1.2 y en la nota de la Tabla 8, reglas en la Tabla 15, cambios en la Tabla 29 y códigos de pendientes (P</w:t>
        <w:noBreakHyphen/>
        <w:t xml:space="preserve">n, Anexo F.3) en los apartados 6.4, 8.1 y 9.1.2, donde figura además el hallazgo T</w:t>
        <w:noBreakHyphen/>
        <w:t xml:space="preserve">2. El Anexo L reúne los recálculos y las órdenes de comprobación; el M relaciona la lista de triage con NIST SP 800-61r3, y el N resume las revisiones.</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la pila tecnológica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Pila tecnológica por componente</w:t>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cadena de eventos superados admite, además, una compactación: cuando una ruta acumula más de diez, el backend depura los más antiguos, salvo los que referencia la auditoría.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de eventos superados y protocolo de confirmación</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ciclo de vida del evento, bloqueo optimista y anti-replay</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endurecimiento web</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por ejemplo, ordena las nueve operaciones del apartado 4.4.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de los tres componentes aprobaron sin fallas ni errores; la Tabla 14 resume sus recuentos y su cobertura, y el apartado 5.7 los informa como resultado.</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antes de implementarse,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con el alcance que fija el apartado 4.2.</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 300, es decir, el 60 % (apartado 5.3). Ese cálculo no señala ninguna pérdida en particular: indica que, de las 428, 402 y 406 operaciones omitidas en cada réplica, al menos 200 se habrían perdido con cualquier reparto de la carga entre rutas y ciclos. Cómo se perdió cada operación lo responde, en cambio, la clasificación del apartado 5.3, que asigna cada omisión a uno de dos mecanismos excluyentes. En el primero, los cambios sucesivos sobre una misma ruta colapsan en uno solo antes del escaneo; en el segundo, los cambios que se revierten, se borran o desaparecen dentro del ciclo no dejan rastro. En las réplicas 1, 2 y 3, el colapso explica 179, 252 y 278 omisiones, y los cambios nunca observados, 249, 150 y 128, de modo que entre ambos cubren todo lo omitido. Las 200 pérdidas que impone el diseño están, así, dentro de esas cifras y no se agregan a ellas.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produce una versión distinta de la evaluada: exige etiquetar v6.0-tesis y repetir la corrida unificada. Los resultados de v5.1-tesis siguen valiendo para esa versión.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6.6: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la etiqueta entrega-tesis-v8 (P-7 a P-12). La correspondencia de la lista de triage con la revisión 3 de NIST SP 800-61, que agrega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reducen la superficie de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Tetragon aportaría observación desde el núcleo, menos expuesta a un adversario en espacio de usuario, y esta propuesta, la decisión humana, la restauración y la auditoría (Tabla 27). Exige, a cambio, núcleos con soporte de eBPF en los anfitriones de destino.</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incidencias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con los ajustes posteriores a los datos declarados aparte (apartado 1.6).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que reúne tesis/cierre/anexo_l/comprobaciones.md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recorte y 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flujos exportados para correo, Slack y gestión de incidencias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y el trabajo no invoca un código deontológico profesional determinado.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contraseñas con consumo intensivo de memoria. Es la variante híbrida de Argon2, que ganó la Password Hashing Competition de 2015, y la estandariza el RFC 9106.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Cadena de eventos superados (superseded).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para un archivo que vuelve a cambiar antes de que un operador decida sobre su evento pendiente: el agente marca ese evento como superseded y crea otro que lo referencia con parent_event_id, de modo que solo el último queda pendiente (apartado 4.4).</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Cola local.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Cola acotada en el disco del agente que retiene cada evento hasta recibir la confirmación de persistencia del backend, y sostiene la entrega tras un corte. Al llegar a 100 MiB descarta los eventos más antiguos (apartados 2.9 y 2.12).</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Cuarentena.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Acción del agente que retira un archivo modificado de su ruta y lo conserva cifrado con AES-256-GCM, bajo un nombre opaco, hasta que un comando firmado lo libera: restaurando el original, restaurando la línea base o descartándolo (apartado 4.4).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Formulación de un criterio de aceptación tal como quedó registrada en la versión del documento del 30 de junio de 2026, antes de todo dato de medición. La Tabla 26 dictamina cada criterio con ella (apartado 1.6 y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ejecuta aplicaciones en contenedores; Docker Compose describe en un archivo YAML un conjunto de servicios que forman una aplicación multicontenedor. En este trabajo, el servidor central corre en Docker Compose, y el agente, fuera de él (apartados 4.1 y 4.10).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Drenaje.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que va desde el fin de un corte del intermediario de mensajería hasta que el backend recibe el último evento encolado durante el corte. Comprende la reconexión del agente, un tramo sin consumo y el consumo (apartados 3.6 y 5.5).</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Término que el trabajo adopta para el inglés polling, a falta de un equivalente asentado en español: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web de Python para construir API, con validación automática de datos y documentación conforme a OpenAPI. Es la base del backend (apartado 2.8).</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Grupo de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verificación periódica con el que el estudio compara el artefacto: un script recorre el mismo directorio cada 900 s, calcula el SHA-256 de cada archivo y compara cada pasada con la anterior (apartado 3.3 y Anexo J).</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 Su propiedad decisiva es la resistencia a colisiones: debe resultar inviable hallar dos entradas con la misma salida (apartado 2.2).</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Núcleo Linux (kernel).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 de código abierto. En este trabajo guarda el estado autoritativo del servidor central: eventos, reglas, alertas, auditoría y metadatos de la línea base (apartado 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y propósito general. En este trabajo se usa para el agente, el backend y los scripts del arnés (Tabla 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a partir de componentes. En este trabajo, la consola administrativa usa React 19 con TypeScript (apartado 4.6).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Registro de acciones con escritura anticipada (journal).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en el que el agente anota cada acción como pendiente antes de ejecutarla, de modo que, si el proceso falla, al arrancar retoma las acciones interrumpidas (apartado 4.3).</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del sistema en las principales distribuciones de Linux. El agente se despliega como unidad de systemd, que gestiona su arranque, su reinicio ante fallas y su ciclo de vida (apartado 4.10).</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sucede a TLS 1.2. Provee cifrado y autenticación del canal de comunicación entre dos partes, y es el mecanismo que opera detrás del protocolo HTTPS.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Triage.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Clasificación inicial de un evento de seguridad para decidir su tratamiento. En este trabajo, una lista de once tareas derivada de la fase de detección y análisis de NIST SP 800-61r2; su cobertura de automatización es la proporción de tareas que el sistema practica sin intervención humana (apartados 3.6 y 5.6).</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Ventana anti-replay.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máximo admitido entre la transmisión de un mensaje, sent_at, y su recepción. El backend rechaza los eventos que lo exceden, para impedir la reinyección de mensajes antiguos; en este trabajo, cinco minutos (apartados 2.12 y 4.5).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del código identificada por una etiqueta del repositorio, como v5.1-tesis, que se somete a evaluación. Todos los resultados del Capítulo 5 corresponden a v5.1-tesis (Guía de lectura).</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el daño informático y la alteración de datos.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