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11</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16</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18</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19</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20</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22</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24</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25</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26</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27</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29</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29</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31</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33</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35</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35</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38</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41</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de eventos superados y protocolo de confirmación</w:t>
        <w:tab/>
        <w:t xml:space="preserve">44</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ciclo de vida del evento, bloqueo optimista y anti</w:t>
        <w:noBreakHyphen/>
        <w:t xml:space="preserve">replay</w:t>
        <w:tab/>
        <w:t xml:space="preserve">47</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endurecimiento web</w:t>
        <w:tab/>
        <w:t xml:space="preserve">50</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53</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55</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56</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57</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58</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59</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63</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64</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65</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67</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70</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71</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73</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74</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76</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78</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80</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80</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83</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84</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85</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87</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88</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90</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92</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92</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96</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97</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97</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98</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98</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98</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100</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100</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101</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102</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102</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102</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102</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103</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103</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103</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104</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105</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105</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105</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105</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113</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113</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118</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119</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119</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126</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128</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136</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136</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136</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137</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139</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143</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144</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145</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148</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151</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152</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159</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161</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162</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164</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167</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168</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168</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169</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170</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21</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26</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27</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31</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Pila tecnológica por componente</w:t>
        <w:tab/>
        <w:t xml:space="preserve">37</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40</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44</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48</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54</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56</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60</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61</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63</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65</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67</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68</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70</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71</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73</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74</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75</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76</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78</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90</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92</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108</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114</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115</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116</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148</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150</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153</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161</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170</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36</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40</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42</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45</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48</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Panel principal de la consola</w:t>
        <w:tab/>
        <w:t xml:space="preserve">51</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Lista de eventos de la consola, con filtros</w:t>
        <w:tab/>
        <w:t xml:space="preserve">52</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Cascada de alternativas automáticas de notificación</w:t>
        <w:tab/>
        <w:t xml:space="preserve">53</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142</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Diagrama de componentes UML de la plataforma FIM</w:t>
        <w:tab/>
        <w:t xml:space="preserve">160</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la autoría o la trazabilidad: commits en los apartados 3.7, 3.8, 5.5 y 9.1.2 y en la nota de la Tabla 8, reglas en la Tabla 15, y códigos de pendientes (P</w:t>
        <w:noBreakHyphen/>
        <w:t xml:space="preserve">n, Anexo F.3) en los apartados 6.4, 8.1 y 9.1.2, donde figura además el hallazgo T</w:t>
        <w:noBreakHyphen/>
        <w:t xml:space="preserve">2. El Anexo L reúne los recálculos y las órdenes de comprobación; el M relaciona la lista de triage con NIST SP 800-61r3, y el N resume las revisiones.</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Durante años, su énfasis estuvo en proteger el perímetro de la red; hoy gana terreno la arquitectura de confianza cero, cuya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MD5, que la consigna original incluía (apartado 1.3), tiene colisiones prácticas conocidas desde 2004 (Wang &amp; Yu, 2005), de modo que no sirve donde importa la resistencia a colisiones. SHA-1 corrió la misma suerte con el primer ataque práctico de colisión de prefijo elegido (Leurent &amp; Peyrin, 2020) y dejó de ser aceptable para esos usos.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en forma sostenida: recalcula las huellas periódicamente o ante eventos del sistema operativo y las compara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con la designación de sus autoridades por el Decreto 92/2026 (Poder Ejecutivo Nacional,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que, según la premisa del apartado 1.1, suelen quedar fuera del alcance económico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Marcos internacionales.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monitoreo de integridad figura en varios marcos,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 Por eso n8n es prescindible: el carácter abierto que plantea la pregunta de investigación se refiere al código propio de la plataforma, que puede operar sin él (apartado 6.6).</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se guía, además, por tres pautas de uso extendido en la industria, que no forman parte de la enumeración de NIST: verificar de forma explícita, conceder el privilegio mínimo y asumir que el compromiso ya ocurrió. Se ocupa sobre todo de los dispositivos, con certificados mutuos, y de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919445"/>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3919445"/>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Diagrama generado con inteligencia artificial desde su fuente en tesis/figuras/ y revisado por los autores contra el sistema (apartado 9.1.2).</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la pila tecnológica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Pila tecnológica por componente</w:t>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cadena de eventos superados admite, además, una compactación: cuando una ruta acumula más de diez, el backend depura los más antiguos, salvo los que referencia la auditoría.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Diagrama generado con inteligencia artificial desde su fuente en tesis/figuras/ y revisado por los autores contra el sistema (apartado 9.1.2).</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23902"/>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5923902"/>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Diagrama generado con inteligencia artificial desde su fuente en tesis/figuras/ y revisado por los autores contra el sistema (apartado 9.1.2).</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de eventos superados y protocolo de confirmación</w:t>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Diagrama generado con inteligencia artificial desde su fuente en tesis/figuras/ y revisado por los autores contra el sistema (apartado 9.1.2).</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ciclo de vida del evento, bloqueo optimista y anti-replay</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Diagrama generado con inteligencia artificial desde su fuente en tesis/figuras/ y revisado por los autores contra el sistema (apartado 9.1.2).</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endurecimiento web</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 La Figura 6 muestra el panel principal de la consola, y la Figura 7, la lista de eventos con sus filtros.</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Panel principal de la consola</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Lista de eventos de la consola, con filtros</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Cascada de alternativas automáticas de notificación</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a cargo del componente NotificationDispatcher,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Diagrama generado con inteligencia artificial desde su fuente en tesis/figuras/ y revisado por los autores contra el sistema (apartado 9.1.2).</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por ejemplo, ordena las nueve operaciones del apartado 4.4.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de los tres componentes aprobaron sin fallas ni errores; la Tabla 14 resume sus recuentos y su cobertura, y el apartado 5.7 los informa como resultado.</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antes de implementarse,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con el alcance que fija el apartado 4.2.</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los términos de la ciencia del diseño (Capítulo 3), la contribución teórica del trabajo es un argumento de aplicabilidad que el diseño experimental no valida: este caso ilustra que una arquitectura distribuida con componentes abiertos de Python y JavaScript puede servir a la seguridad operacional en contextos de recursos limitados.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 la cuarta del apartado 6.2, el catálogo de reglas trazadas, se trata como aporte metodológico (apartado 7.3).</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 (apartado 2.12 y Tabla 4), que ningún tercero validó.</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Incluye el catálogo de reglas de negocio trazadas hasta el código que las implementa y la prueba que las verifica, la cuarta contribución del apartado 6.2.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Forma parte del mismo aporte dictaminar cada criterio con su formulación preregistrada, aun cuando varios no se alcanzan, y declarar aparte los ajustes posteriores a los datos (apartado 1.6).</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En lo normativo, relaciona cada control técnico con los instrumentos argentinos que analiza (apartados 2.4 y 6.3), con el alcance de la Tabla 2: una contribución a sus medidas, no un cumplimiento.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La máscara de eventos no observa cambios de atributos, como chmod u+s, chown o setcap, que AIDE sí controla (apartado 1.7). El cifrado local no protege frente al compromiso privilegiado del anfitrión (apartado 2.10).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custodia de la evidencia conserva defectos, ninguno de los cuales sustenta cifras de v5.1-tesis: tres de los 38 manifiestos de tesis/cierre/evidencia/ no verifican íntegros, y las tres trazas de resiliencia de v2.0-tesis son copias de una misma corrida de diagnóstico (amenaza 6, apartado 6.4, y Anexo F.1). Los defectos conocidos de v5.1-tesis figuran en el apartado 6.6, y corregirlos exige una versión nueva y repetir la validación.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hipótesis conjunta no se corrobora, y el trabajo no establece la aptitud productiva.</w:t>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contraseñas con consumo intensivo de memoria. Es la variante híbrida de Argon2, que ganó la Password Hashing Competition de 2015, y la estandariza el RFC 9106.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Cadena de eventos superados (superseded).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para un archivo que vuelve a cambiar antes de que un operador decida sobre su evento pendiente: el agente marca ese evento como superseded y crea otro que lo referencia con parent_event_id, de modo que solo el último queda pendiente (apartado 4.4).</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Cola local.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Cola acotada en el disco del agente que retiene cada evento hasta recibir la confirmación de persistencia del backend, y sostiene la entrega tras un corte. Al llegar a 100 MiB descarta los eventos más antiguos (apartados 2.9 y 2.12).</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Cuarentena.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Acción del agente que retira un archivo modificado de su ruta y lo conserva cifrado con AES-256-GCM, bajo un nombre opaco, hasta que un comando firmado lo libera: restaurando el original, restaurando la línea base o descartándolo (apartado 4.4).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Formulación de un criterio de aceptación tal como quedó registrada en la versión del documento del 30 de junio de 2026, antes de todo dato de medición. La Tabla 26 dictamina cada criterio con ella (apartado 1.6 y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ejecuta aplicaciones en contenedores; Docker Compose describe en un archivo YAML un conjunto de servicios que forman una aplicación multicontenedor. En este trabajo, el servidor central corre en Docker Compose, y el agente, fuera de él (apartados 4.1 y 4.10).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Drenaje.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que va desde el fin de un corte del intermediario de mensajería hasta que el backend recibe el último evento encolado durante el corte. Comprende la reconexión del agente, un tramo sin consumo y el consumo (apartados 3.6 y 5.5).</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Término que el trabajo adopta para el inglés polling, a falta de un equivalente asentado en español: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web de Python para construir API, con validación automática de datos y documentación conforme a OpenAPI. Es la base del backend (apartado 2.8).</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Grupo de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verificación periódica con el que el estudio compara el artefacto: un script recorre el mismo directorio cada 900 s, calcula el SHA-256 de cada archivo y compara cada pasada con la anterior (apartado 3.3 y Anexo J).</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 Su propiedad decisiva es la resistencia a colisiones: debe resultar inviable hallar dos entradas con la misma salida (apartado 2.2).</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Núcleo Linux (kernel).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 de código abierto. En este trabajo guarda el estado autoritativo del servidor central: eventos, reglas, alertas, auditoría y metadatos de la línea base (apartado 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y propósito general. En este trabajo se usa para el agente, el backend y los scripts del arnés (Tabla 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a partir de componentes. En este trabajo, la consola administrativa usa React 19 con TypeScript (apartado 4.6).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Registro de acciones con escritura anticipada (journal).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en el que el agente anota cada acción como pendiente antes de ejecutarla, de modo que, si el proceso falla, al arrancar retoma las acciones interrumpidas (apartado 4.3).</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del sistema en las principales distribuciones de Linux. El agente se despliega como unidad de systemd, que gestiona su arranque, su reinicio ante fallas y su ciclo de vida (apartado 4.10).</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sucede a TLS 1.2. Provee cifrado y autenticación del canal de comunicación entre dos partes, y es el mecanismo que opera detrás del protocolo HTTPS.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Triage.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Clasificación inicial de un evento de seguridad para decidir su tratamiento. En este trabajo, una lista de once tareas derivada de la fase de detección y análisis de NIST SP 800-61r2; su cobertura de automatización es la proporción de tareas que el sistema practica sin intervención humana (apartados 3.6 y 5.6).</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Ventana anti-replay.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máximo admitido entre la transmisión de un mensaje, sent_at, y su recepción. El backend rechaza los eventos que lo exceden, para impedir la reinyección de mensajes antiguos; en este trabajo, cinco minutos (apartados 2.12 y 4.5).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del código identificada por una etiqueta del repositorio, como v5.1-tesis, que se somete a evaluación. Todos los resultados del Capítulo 5 corresponden a v5.1-tesis (Guía de lectura).</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el daño informático y la alteración de datos.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pPr>
        <w:spacing w:after="0" w:before="0" w:line="480" w:lineRule="auto"/>
        <w:ind w:left="720" w:hanging="720"/>
        <w:rPr/>
      </w:pPr>
      <w:r>
        <w:rPr>
          <w:rtl w:val="0"/>
        </w:rPr>
        <w:t xml:space="preserve">Wang, X., &amp; Yu, H. (2005). How to break MD5 and other hash functions. En R. Cramer (Ed.), </w:t>
      </w:r>
      <w:r>
        <w:rPr>
          <w:i w:val="1"/>
          <w:iCs w:val="1"/>
          <w:rtl w:val="0"/>
        </w:rPr>
        <w:t xml:space="preserve">Advances in cryptology – EUROCRYPT 2005</w:t>
      </w:r>
      <w:r>
        <w:rPr>
          <w:rtl w:val="0"/>
        </w:rPr>
        <w:t xml:space="preserve"> (pp. 19–35). Springer. https://doi.org/10.1007/11426639_2</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Diagrama generado con inteligencia artificial desde la fuente que cita el Anexo L.6 y revisado por los autores contra el sistema (apartado 9.1.2). Impreso a A4,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componentes UML de la plataforma FIM</w:t>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Diagrama generado con inteligencia artificial desde la fuente que cita el Anexo L.6 y revisado por los autores contra el sistema (apartado 9.1.2). Impreso a A4,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Todas las figuras vectoriales incrustan su texto convertido a trazos: las de Graphviz, en la tipografía DejaVu Sans que fija cada fuente, y la Figura 4, de Mermaid, sin tipografía fija en tesis/figuras/fig4.mmd. 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