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svg+xml" Extension="sv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del Trabajo Final</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b9wsix5quwr2" w:id="0"/>
    <w:bookmarkEnd w:id="0"/>
    <w:p w:rsidR="00000000" w:rsidDel="00000000" w:rsidP="00000000" w:rsidRDefault="00000000" w:rsidRPr="00000000" w14:paraId="0000000C">
      <w:pPr>
        <w:pStyle w:val="Heading1"/>
        <w:rPr/>
      </w:pPr>
      <w:r>
        <w:rPr>
          <w:b w:val="1"/>
          <w:bCs w:val="1"/>
          <w:rtl w:val="0"/>
        </w:rPr>
        <w:t xml:space="preserve">DECLARACIÓN DE ORIGINALIDAD</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3">
      <w:pPr>
        <w:pStyle w:val="Heading1"/>
        <w:rPr/>
      </w:pPr>
      <w:r>
        <w:rPr>
          <w:b w:val="1"/>
          <w:bCs w:val="1"/>
          <w:rtl w:val="0"/>
        </w:rPr>
        <w:t xml:space="preserve">DEDICATORIA</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y8jkripn9l05" w:id="1"/>
    <w:bookmarkEnd w:id="1"/>
    <w:p w:rsidR="00000000" w:rsidDel="00000000" w:rsidP="00000000" w:rsidRDefault="00000000" w:rsidRPr="00000000" w14:paraId="00000017">
      <w:pPr>
        <w:pStyle w:val="Heading1"/>
        <w:rPr/>
      </w:pPr>
      <w:r>
        <w:rPr>
          <w:b w:val="1"/>
          <w:bCs w:val="1"/>
          <w:rtl w:val="0"/>
        </w:rPr>
        <w:t xml:space="preserve">AGRADECIMIENTOS</w:t>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y director de este Trabajo Final, Alberto Cortez, por sus orientaciones durante la formulación y el desarrollo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yunw7l9uit22" w:id="2"/>
    <w:bookmarkEnd w:id="2"/>
    <w:p w:rsidR="00000000" w:rsidDel="00000000" w:rsidP="00000000" w:rsidRDefault="00000000" w:rsidRPr="00000000" w14:paraId="0000001A">
      <w:pPr>
        <w:pStyle w:val="Heading1"/>
        <w:rPr/>
      </w:pPr>
      <w:r>
        <w:rPr>
          <w:b w:val="1"/>
          <w:bCs w:val="1"/>
          <w:rtl w:val="0"/>
        </w:rPr>
        <w:t xml:space="preserve">RESUMEN</w:t>
      </w: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o36x66ndenj9" w:id="3"/>
    <w:bookmarkEnd w:id="3"/>
    <w:p w:rsidR="00000000" w:rsidDel="00000000" w:rsidP="00000000" w:rsidRDefault="00000000" w:rsidRPr="00000000" w14:paraId="00000020">
      <w:pPr>
        <w:pStyle w:val="Heading1"/>
        <w:rPr/>
      </w:pPr>
      <w:r>
        <w:rPr>
          <w:b w:val="1"/>
          <w:bCs w:val="1"/>
          <w:rtl w:val="0"/>
        </w:rPr>
        <w:t xml:space="preserve">ABSTRACT</w:t>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pPr>
        <w:rPr/>
      </w:pPr>
      <w:r>
        <w:br w:type="page"/>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7">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9">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2A">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2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2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2D">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2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14:paraId="0000002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0">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4</w:t>
      </w:r>
    </w:p>
    <w:p w:rsidR="00000000" w:rsidDel="00000000" w:rsidP="00000000" w:rsidRDefault="00000000" w:rsidRPr="00000000" w14:paraId="0000003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3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3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11</w:t>
      </w:r>
    </w:p>
    <w:p w:rsidR="00000000" w:rsidDel="00000000" w:rsidP="00000000" w:rsidRDefault="00000000" w:rsidRPr="00000000" w14:paraId="0000003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3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16</w:t>
      </w:r>
    </w:p>
    <w:p w:rsidR="00000000" w:rsidDel="00000000" w:rsidP="00000000" w:rsidRDefault="00000000" w:rsidRPr="00000000" w14:paraId="0000003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18</w:t>
      </w:r>
    </w:p>
    <w:p w:rsidR="00000000" w:rsidDel="00000000" w:rsidP="00000000" w:rsidRDefault="00000000" w:rsidRPr="00000000" w14:paraId="0000004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19</w:t>
      </w:r>
    </w:p>
    <w:p w:rsidR="00000000" w:rsidDel="00000000" w:rsidP="00000000" w:rsidRDefault="00000000" w:rsidRPr="00000000" w14:paraId="0000004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20</w:t>
      </w:r>
    </w:p>
    <w:p w:rsidR="00000000" w:rsidDel="00000000" w:rsidP="00000000" w:rsidRDefault="00000000" w:rsidRPr="00000000" w14:paraId="0000004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22</w:t>
      </w:r>
    </w:p>
    <w:p w:rsidR="00000000" w:rsidDel="00000000" w:rsidP="00000000" w:rsidRDefault="00000000" w:rsidRPr="00000000" w14:paraId="0000004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24</w:t>
      </w:r>
    </w:p>
    <w:p w:rsidR="00000000" w:rsidDel="00000000" w:rsidP="00000000" w:rsidRDefault="00000000" w:rsidRPr="00000000" w14:paraId="0000004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25</w:t>
      </w:r>
    </w:p>
    <w:p w:rsidR="00000000" w:rsidDel="00000000" w:rsidP="00000000" w:rsidRDefault="00000000" w:rsidRPr="00000000" w14:paraId="0000004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26</w:t>
      </w:r>
    </w:p>
    <w:p w:rsidR="00000000" w:rsidDel="00000000" w:rsidP="00000000" w:rsidRDefault="00000000" w:rsidRPr="00000000" w14:paraId="0000004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27</w:t>
      </w:r>
    </w:p>
    <w:p w:rsidR="00000000" w:rsidDel="00000000" w:rsidP="00000000" w:rsidRDefault="00000000" w:rsidRPr="00000000" w14:paraId="0000004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29</w:t>
      </w:r>
    </w:p>
    <w:p w:rsidR="00000000" w:rsidDel="00000000" w:rsidP="00000000" w:rsidRDefault="00000000" w:rsidRPr="00000000" w14:paraId="0000004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29</w:t>
      </w:r>
    </w:p>
    <w:p w:rsidR="00000000" w:rsidDel="00000000" w:rsidP="00000000" w:rsidRDefault="00000000" w:rsidRPr="00000000" w14:paraId="0000004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31</w:t>
      </w:r>
    </w:p>
    <w:p w:rsidR="00000000" w:rsidDel="00000000" w:rsidP="00000000" w:rsidRDefault="00000000" w:rsidRPr="00000000" w14:paraId="0000004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33</w:t>
      </w:r>
    </w:p>
    <w:p w:rsidR="00000000" w:rsidDel="00000000" w:rsidP="00000000" w:rsidRDefault="00000000" w:rsidRPr="00000000" w14:paraId="0000004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35</w:t>
      </w:r>
    </w:p>
    <w:p w:rsidR="00000000" w:rsidDel="00000000" w:rsidP="00000000" w:rsidRDefault="00000000" w:rsidRPr="00000000" w14:paraId="0000005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35</w:t>
      </w:r>
    </w:p>
    <w:p w:rsidR="00000000" w:rsidDel="00000000" w:rsidP="00000000" w:rsidRDefault="00000000" w:rsidRPr="00000000" w14:paraId="0000005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37</w:t>
      </w:r>
    </w:p>
    <w:p w:rsidR="00000000" w:rsidDel="00000000" w:rsidP="00000000" w:rsidRDefault="00000000" w:rsidRPr="00000000" w14:paraId="0000005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40</w:t>
      </w:r>
    </w:p>
    <w:p w:rsidR="00000000" w:rsidDel="00000000" w:rsidP="00000000" w:rsidRDefault="00000000" w:rsidRPr="00000000" w14:paraId="0000005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superseded y protocolo ACK</w:t>
        <w:tab/>
        <w:t xml:space="preserve">43</w:t>
      </w:r>
    </w:p>
    <w:p w:rsidR="00000000" w:rsidDel="00000000" w:rsidP="00000000" w:rsidRDefault="00000000" w:rsidRPr="00000000" w14:paraId="0000005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lifecycle formal, bloqueo optimista y anti</w:t>
        <w:noBreakHyphen/>
        <w:t xml:space="preserve">replay</w:t>
        <w:tab/>
        <w:t xml:space="preserve">46</w:t>
      </w:r>
    </w:p>
    <w:p w:rsidR="00000000" w:rsidDel="00000000" w:rsidP="00000000" w:rsidRDefault="00000000" w:rsidRPr="00000000" w14:paraId="0000005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hardening web</w:t>
        <w:tab/>
        <w:t xml:space="preserve">49</w:t>
      </w:r>
    </w:p>
    <w:p w:rsidR="00000000" w:rsidDel="00000000" w:rsidP="00000000" w:rsidRDefault="00000000" w:rsidRPr="00000000" w14:paraId="0000005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52</w:t>
      </w:r>
    </w:p>
    <w:p w:rsidR="00000000" w:rsidDel="00000000" w:rsidP="00000000" w:rsidRDefault="00000000" w:rsidRPr="00000000" w14:paraId="0000005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54</w:t>
      </w:r>
    </w:p>
    <w:p w:rsidR="00000000" w:rsidDel="00000000" w:rsidP="00000000" w:rsidRDefault="00000000" w:rsidRPr="00000000" w14:paraId="0000005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55</w:t>
      </w:r>
    </w:p>
    <w:p w:rsidR="00000000" w:rsidDel="00000000" w:rsidP="00000000" w:rsidRDefault="00000000" w:rsidRPr="00000000" w14:paraId="0000005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57</w:t>
      </w:r>
    </w:p>
    <w:p w:rsidR="00000000" w:rsidDel="00000000" w:rsidP="00000000" w:rsidRDefault="00000000" w:rsidRPr="00000000" w14:paraId="0000005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57</w:t>
      </w:r>
    </w:p>
    <w:p w:rsidR="00000000" w:rsidDel="00000000" w:rsidP="00000000" w:rsidRDefault="00000000" w:rsidRPr="00000000" w14:paraId="0000005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59</w:t>
      </w:r>
    </w:p>
    <w:p w:rsidR="00000000" w:rsidDel="00000000" w:rsidP="00000000" w:rsidRDefault="00000000" w:rsidRPr="00000000" w14:paraId="0000005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62</w:t>
      </w:r>
    </w:p>
    <w:p w:rsidR="00000000" w:rsidDel="00000000" w:rsidP="00000000" w:rsidRDefault="00000000" w:rsidRPr="00000000" w14:paraId="0000005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63</w:t>
      </w:r>
    </w:p>
    <w:p w:rsidR="00000000" w:rsidDel="00000000" w:rsidP="00000000" w:rsidRDefault="00000000" w:rsidRPr="00000000" w14:paraId="0000005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64</w:t>
      </w:r>
    </w:p>
    <w:p w:rsidR="00000000" w:rsidDel="00000000" w:rsidP="00000000" w:rsidRDefault="00000000" w:rsidRPr="00000000" w14:paraId="0000005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66</w:t>
      </w:r>
    </w:p>
    <w:p w:rsidR="00000000" w:rsidDel="00000000" w:rsidP="00000000" w:rsidRDefault="00000000" w:rsidRPr="00000000" w14:paraId="0000006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69</w:t>
      </w:r>
    </w:p>
    <w:p w:rsidR="00000000" w:rsidDel="00000000" w:rsidP="00000000" w:rsidRDefault="00000000" w:rsidRPr="00000000" w14:paraId="0000006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70</w:t>
      </w:r>
    </w:p>
    <w:p w:rsidR="00000000" w:rsidDel="00000000" w:rsidP="00000000" w:rsidRDefault="00000000" w:rsidRPr="00000000" w14:paraId="0000006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72</w:t>
      </w:r>
    </w:p>
    <w:p w:rsidR="00000000" w:rsidDel="00000000" w:rsidP="00000000" w:rsidRDefault="00000000" w:rsidRPr="00000000" w14:paraId="0000006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73</w:t>
      </w:r>
    </w:p>
    <w:p w:rsidR="00000000" w:rsidDel="00000000" w:rsidP="00000000" w:rsidRDefault="00000000" w:rsidRPr="00000000" w14:paraId="0000006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75</w:t>
      </w:r>
    </w:p>
    <w:p w:rsidR="00000000" w:rsidDel="00000000" w:rsidP="00000000" w:rsidRDefault="00000000" w:rsidRPr="00000000" w14:paraId="0000006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77</w:t>
      </w:r>
    </w:p>
    <w:p w:rsidR="00000000" w:rsidDel="00000000" w:rsidP="00000000" w:rsidRDefault="00000000" w:rsidRPr="00000000" w14:paraId="0000006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79</w:t>
      </w:r>
    </w:p>
    <w:p w:rsidR="00000000" w:rsidDel="00000000" w:rsidP="00000000" w:rsidRDefault="00000000" w:rsidRPr="00000000" w14:paraId="0000006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79</w:t>
      </w:r>
    </w:p>
    <w:p w:rsidR="00000000" w:rsidDel="00000000" w:rsidP="00000000" w:rsidRDefault="00000000" w:rsidRPr="00000000" w14:paraId="0000006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82</w:t>
      </w:r>
    </w:p>
    <w:p w:rsidR="00000000" w:rsidDel="00000000" w:rsidP="00000000" w:rsidRDefault="00000000" w:rsidRPr="00000000" w14:paraId="0000006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83</w:t>
      </w:r>
    </w:p>
    <w:p w:rsidR="00000000" w:rsidDel="00000000" w:rsidP="00000000" w:rsidRDefault="00000000" w:rsidRPr="00000000" w14:paraId="0000006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84</w:t>
      </w:r>
    </w:p>
    <w:p w:rsidR="00000000" w:rsidDel="00000000" w:rsidP="00000000" w:rsidRDefault="00000000" w:rsidRPr="00000000" w14:paraId="0000006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86</w:t>
      </w:r>
    </w:p>
    <w:p w:rsidR="00000000" w:rsidDel="00000000" w:rsidP="00000000" w:rsidRDefault="00000000" w:rsidRPr="00000000" w14:paraId="0000006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87</w:t>
      </w:r>
    </w:p>
    <w:p w:rsidR="00000000" w:rsidDel="00000000" w:rsidP="00000000" w:rsidRDefault="00000000" w:rsidRPr="00000000" w14:paraId="0000006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89</w:t>
      </w:r>
    </w:p>
    <w:p w:rsidR="00000000" w:rsidDel="00000000" w:rsidP="00000000" w:rsidRDefault="00000000" w:rsidRPr="00000000" w14:paraId="0000006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91</w:t>
      </w:r>
    </w:p>
    <w:p w:rsidR="00000000" w:rsidDel="00000000" w:rsidP="00000000" w:rsidRDefault="00000000" w:rsidRPr="00000000" w14:paraId="0000006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91</w:t>
      </w:r>
    </w:p>
    <w:p w:rsidR="00000000" w:rsidDel="00000000" w:rsidP="00000000" w:rsidRDefault="00000000" w:rsidRPr="00000000" w14:paraId="00000070">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95</w:t>
      </w:r>
    </w:p>
    <w:p w:rsidR="00000000" w:rsidDel="00000000" w:rsidP="00000000" w:rsidRDefault="00000000" w:rsidRPr="00000000" w14:paraId="0000007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96</w:t>
      </w:r>
    </w:p>
    <w:p w:rsidR="00000000" w:rsidDel="00000000" w:rsidP="00000000" w:rsidRDefault="00000000" w:rsidRPr="00000000" w14:paraId="0000007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96</w:t>
      </w:r>
    </w:p>
    <w:p w:rsidR="00000000" w:rsidDel="00000000" w:rsidP="00000000" w:rsidRDefault="00000000" w:rsidRPr="00000000" w14:paraId="0000007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97</w:t>
      </w:r>
    </w:p>
    <w:p w:rsidR="00000000" w:rsidDel="00000000" w:rsidP="00000000" w:rsidRDefault="00000000" w:rsidRPr="00000000" w14:paraId="0000007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97</w:t>
      </w:r>
    </w:p>
    <w:p w:rsidR="00000000" w:rsidDel="00000000" w:rsidP="00000000" w:rsidRDefault="00000000" w:rsidRPr="00000000" w14:paraId="0000007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97</w:t>
      </w:r>
    </w:p>
    <w:p w:rsidR="00000000" w:rsidDel="00000000" w:rsidP="00000000" w:rsidRDefault="00000000" w:rsidRPr="00000000" w14:paraId="0000007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99</w:t>
      </w:r>
    </w:p>
    <w:p w:rsidR="00000000" w:rsidDel="00000000" w:rsidP="00000000" w:rsidRDefault="00000000" w:rsidRPr="00000000" w14:paraId="0000007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99</w:t>
      </w:r>
    </w:p>
    <w:p w:rsidR="00000000" w:rsidDel="00000000" w:rsidP="00000000" w:rsidRDefault="00000000" w:rsidRPr="00000000" w14:paraId="0000007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100</w:t>
      </w:r>
    </w:p>
    <w:p w:rsidR="00000000" w:rsidDel="00000000" w:rsidP="00000000" w:rsidRDefault="00000000" w:rsidRPr="00000000" w14:paraId="0000007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101</w:t>
      </w:r>
    </w:p>
    <w:p w:rsidR="00000000" w:rsidDel="00000000" w:rsidP="00000000" w:rsidRDefault="00000000" w:rsidRPr="00000000" w14:paraId="0000007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101</w:t>
      </w:r>
    </w:p>
    <w:p w:rsidR="00000000" w:rsidDel="00000000" w:rsidP="00000000" w:rsidRDefault="00000000" w:rsidRPr="00000000" w14:paraId="0000007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101</w:t>
      </w:r>
    </w:p>
    <w:p w:rsidR="00000000" w:rsidDel="00000000" w:rsidP="00000000" w:rsidRDefault="00000000" w:rsidRPr="00000000" w14:paraId="0000007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101</w:t>
      </w:r>
    </w:p>
    <w:p w:rsidR="00000000" w:rsidDel="00000000" w:rsidP="00000000" w:rsidRDefault="00000000" w:rsidRPr="00000000" w14:paraId="0000007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102</w:t>
      </w:r>
    </w:p>
    <w:p w:rsidR="00000000" w:rsidDel="00000000" w:rsidP="00000000" w:rsidRDefault="00000000" w:rsidRPr="00000000" w14:paraId="0000007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102</w:t>
      </w:r>
    </w:p>
    <w:p w:rsidR="00000000" w:rsidDel="00000000" w:rsidP="00000000" w:rsidRDefault="00000000" w:rsidRPr="00000000" w14:paraId="0000007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102</w:t>
      </w:r>
    </w:p>
    <w:p w:rsidR="00000000" w:rsidDel="00000000" w:rsidP="00000000" w:rsidRDefault="00000000" w:rsidRPr="00000000" w14:paraId="0000008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103</w:t>
      </w:r>
    </w:p>
    <w:p w:rsidR="00000000" w:rsidDel="00000000" w:rsidP="00000000" w:rsidRDefault="00000000" w:rsidRPr="00000000" w14:paraId="00000081">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104</w:t>
      </w:r>
    </w:p>
    <w:p w:rsidR="00000000" w:rsidDel="00000000" w:rsidP="00000000" w:rsidRDefault="00000000" w:rsidRPr="00000000" w14:paraId="0000008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104</w:t>
      </w:r>
    </w:p>
    <w:p w:rsidR="00000000" w:rsidDel="00000000" w:rsidP="00000000" w:rsidRDefault="00000000" w:rsidRPr="00000000" w14:paraId="00000083">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104</w:t>
      </w:r>
    </w:p>
    <w:p w:rsidR="00000000" w:rsidDel="00000000" w:rsidP="00000000" w:rsidRDefault="00000000" w:rsidRPr="00000000" w14:paraId="00000084">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104</w:t>
      </w:r>
    </w:p>
    <w:p w:rsidR="00000000" w:rsidDel="00000000" w:rsidP="00000000" w:rsidRDefault="00000000" w:rsidRPr="00000000" w14:paraId="0000008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112</w:t>
      </w:r>
    </w:p>
    <w:p w:rsidR="00000000" w:rsidDel="00000000" w:rsidP="00000000" w:rsidRDefault="00000000" w:rsidRPr="00000000" w14:paraId="00000086">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112</w:t>
      </w:r>
    </w:p>
    <w:p w:rsidR="00000000" w:rsidDel="00000000" w:rsidP="00000000" w:rsidRDefault="00000000" w:rsidRPr="00000000" w14:paraId="00000087">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117</w:t>
      </w:r>
    </w:p>
    <w:p w:rsidR="00000000" w:rsidDel="00000000" w:rsidP="00000000" w:rsidRDefault="00000000" w:rsidRPr="00000000" w14:paraId="0000008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118</w:t>
      </w:r>
    </w:p>
    <w:p w:rsidR="00000000" w:rsidDel="00000000" w:rsidP="00000000" w:rsidRDefault="00000000" w:rsidRPr="00000000" w14:paraId="0000008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118</w:t>
      </w:r>
    </w:p>
    <w:p w:rsidR="00000000" w:rsidDel="00000000" w:rsidP="00000000" w:rsidRDefault="00000000" w:rsidRPr="00000000" w14:paraId="0000008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124</w:t>
      </w:r>
    </w:p>
    <w:p w:rsidR="00000000" w:rsidDel="00000000" w:rsidP="00000000" w:rsidRDefault="00000000" w:rsidRPr="00000000" w14:paraId="0000008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126</w:t>
      </w:r>
    </w:p>
    <w:p w:rsidR="00000000" w:rsidDel="00000000" w:rsidP="00000000" w:rsidRDefault="00000000" w:rsidRPr="00000000" w14:paraId="0000008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134</w:t>
      </w:r>
    </w:p>
    <w:p w:rsidR="00000000" w:rsidDel="00000000" w:rsidP="00000000" w:rsidRDefault="00000000" w:rsidRPr="00000000" w14:paraId="0000008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134</w:t>
      </w:r>
    </w:p>
    <w:p w:rsidR="00000000" w:rsidDel="00000000" w:rsidP="00000000" w:rsidRDefault="00000000" w:rsidRPr="00000000" w14:paraId="0000008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134</w:t>
      </w:r>
    </w:p>
    <w:p w:rsidR="00000000" w:rsidDel="00000000" w:rsidP="00000000" w:rsidRDefault="00000000" w:rsidRPr="00000000" w14:paraId="0000008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135</w:t>
      </w:r>
    </w:p>
    <w:p w:rsidR="00000000" w:rsidDel="00000000" w:rsidP="00000000" w:rsidRDefault="00000000" w:rsidRPr="00000000" w14:paraId="0000009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137</w:t>
      </w:r>
    </w:p>
    <w:p w:rsidR="00000000" w:rsidDel="00000000" w:rsidP="00000000" w:rsidRDefault="00000000" w:rsidRPr="00000000" w14:paraId="0000009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141</w:t>
      </w:r>
    </w:p>
    <w:p w:rsidR="00000000" w:rsidDel="00000000" w:rsidP="00000000" w:rsidRDefault="00000000" w:rsidRPr="00000000" w14:paraId="0000009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142</w:t>
      </w:r>
    </w:p>
    <w:p w:rsidR="00000000" w:rsidDel="00000000" w:rsidP="00000000" w:rsidRDefault="00000000" w:rsidRPr="00000000" w14:paraId="0000009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143</w:t>
      </w:r>
    </w:p>
    <w:p w:rsidR="00000000" w:rsidDel="00000000" w:rsidP="00000000" w:rsidRDefault="00000000" w:rsidRPr="00000000" w14:paraId="0000009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146</w:t>
      </w:r>
    </w:p>
    <w:p w:rsidR="00000000" w:rsidDel="00000000" w:rsidP="00000000" w:rsidRDefault="00000000" w:rsidRPr="00000000" w14:paraId="0000009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149</w:t>
      </w:r>
    </w:p>
    <w:p w:rsidR="00000000" w:rsidDel="00000000" w:rsidP="00000000" w:rsidRDefault="00000000" w:rsidRPr="00000000" w14:paraId="0000009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150</w:t>
      </w:r>
    </w:p>
    <w:p w:rsidR="00000000" w:rsidDel="00000000" w:rsidP="00000000" w:rsidRDefault="00000000" w:rsidRPr="00000000" w14:paraId="0000009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157</w:t>
      </w:r>
    </w:p>
    <w:p w:rsidR="00000000" w:rsidDel="00000000" w:rsidP="00000000" w:rsidRDefault="00000000" w:rsidRPr="00000000" w14:paraId="0000009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159</w:t>
      </w:r>
    </w:p>
    <w:p w:rsidR="00000000" w:rsidDel="00000000" w:rsidP="00000000" w:rsidRDefault="00000000" w:rsidRPr="00000000" w14:paraId="0000009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160</w:t>
      </w:r>
    </w:p>
    <w:p w:rsidR="00000000" w:rsidDel="00000000" w:rsidP="00000000" w:rsidRDefault="00000000" w:rsidRPr="00000000" w14:paraId="0000009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162</w:t>
      </w:r>
    </w:p>
    <w:p w:rsidR="00000000" w:rsidDel="00000000" w:rsidP="00000000" w:rsidRDefault="00000000" w:rsidRPr="00000000" w14:paraId="0000009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163</w:t>
      </w:r>
    </w:p>
    <w:p w:rsidR="00000000" w:rsidDel="00000000" w:rsidP="00000000" w:rsidRDefault="00000000" w:rsidRPr="00000000" w14:paraId="0000009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164</w:t>
      </w:r>
    </w:p>
    <w:p w:rsidR="00000000" w:rsidDel="00000000" w:rsidP="00000000" w:rsidRDefault="00000000" w:rsidRPr="00000000" w14:paraId="0000009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165</w:t>
      </w:r>
    </w:p>
    <w:p w:rsidR="00000000" w:rsidDel="00000000" w:rsidP="00000000" w:rsidRDefault="00000000" w:rsidRPr="00000000" w14:paraId="0000009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165</w:t>
      </w:r>
    </w:p>
    <w:p w:rsidR="00000000" w:rsidDel="00000000" w:rsidP="00000000" w:rsidRDefault="00000000" w:rsidRPr="00000000" w14:paraId="0000009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165</w:t>
      </w:r>
    </w:p>
    <w:p w:rsidR="00000000" w:rsidDel="00000000" w:rsidP="00000000" w:rsidRDefault="00000000" w:rsidRPr="00000000" w14:paraId="000000A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w:t>
        <w:noBreakHyphen/>
        <w:t xml:space="preserve">256 de los paquetes sin manifiesto</w:t>
        <w:tab/>
        <w:t xml:space="preserve">166</w:t>
      </w:r>
    </w:p>
    <w:p w:rsidR="00000000" w:rsidDel="00000000" w:rsidP="00000000" w:rsidRDefault="00000000" w:rsidRPr="00000000" w14:paraId="000000A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166</w:t>
      </w:r>
    </w:p>
    <w:p w:rsidR="00000000" w:rsidDel="00000000" w:rsidP="00000000" w:rsidRDefault="00000000" w:rsidRPr="00000000" w14:paraId="000000A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167</w:t>
      </w:r>
    </w:p>
    <w:p w:rsidR="00000000" w:rsidDel="00000000" w:rsidP="00000000" w:rsidRDefault="00000000" w:rsidRPr="00000000" w14:paraId="000000A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w:t>
        <w:noBreakHyphen/>
        <w:t xml:space="preserve">61r3</w:t>
        <w:tab/>
        <w:t xml:space="preserve">168</w:t>
      </w:r>
    </w:p>
    <w:p w:rsidR="00000000" w:rsidDel="00000000" w:rsidP="00000000" w:rsidRDefault="00000000" w:rsidRPr="00000000" w14:paraId="000000A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k3t50b4rqxxn" w:id="4"/>
    <w:bookmarkEnd w:id="4"/>
    <w:p w:rsidR="00000000" w:rsidDel="00000000" w:rsidP="00000000" w:rsidRDefault="00000000" w:rsidRPr="00000000" w14:paraId="000000A6">
      <w:pPr>
        <w:pStyle w:val="Heading1"/>
        <w:spacing w:line="240" w:lineRule="auto"/>
        <w:rPr/>
      </w:pPr>
      <w:r>
        <w:rPr>
          <w:b w:val="1"/>
          <w:bCs w:val="1"/>
          <w:rtl w:val="0"/>
        </w:rPr>
        <w:t xml:space="preserve">ÍNDICE DE TABLAS</w:t>
      </w:r>
      <w:r>
        <w:rPr>
          <w:rtl w:val="0"/>
        </w:rPr>
      </w:r>
    </w:p>
    <w:p w:rsidR="00000000" w:rsidDel="00000000" w:rsidP="00000000" w:rsidRDefault="00000000" w:rsidRPr="00000000" w14:paraId="000000A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 xml:space="preserve">6</w:t>
      </w:r>
    </w:p>
    <w:p w:rsidR="00000000" w:rsidDel="00000000" w:rsidP="00000000" w:rsidRDefault="00000000" w:rsidRPr="00000000" w14:paraId="000000A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 xml:space="preserve">12</w:t>
      </w:r>
    </w:p>
    <w:p w:rsidR="00000000" w:rsidDel="00000000" w:rsidP="00000000" w:rsidRDefault="00000000" w:rsidRPr="00000000" w14:paraId="000000A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 xml:space="preserve">14</w:t>
      </w:r>
    </w:p>
    <w:p w:rsidR="00000000" w:rsidDel="00000000" w:rsidP="00000000" w:rsidRDefault="00000000" w:rsidRPr="00000000" w14:paraId="000000A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 xml:space="preserve">21</w:t>
      </w:r>
    </w:p>
    <w:p w:rsidR="00000000" w:rsidDel="00000000" w:rsidP="00000000" w:rsidRDefault="00000000" w:rsidRPr="00000000" w14:paraId="000000A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 xml:space="preserve">26</w:t>
      </w:r>
    </w:p>
    <w:p w:rsidR="00000000" w:rsidDel="00000000" w:rsidP="00000000" w:rsidRDefault="00000000" w:rsidRPr="00000000" w14:paraId="000000A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 xml:space="preserve">27</w:t>
      </w:r>
    </w:p>
    <w:p w:rsidR="00000000" w:rsidDel="00000000" w:rsidP="00000000" w:rsidRDefault="00000000" w:rsidRPr="00000000" w14:paraId="000000A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w:t>
        <w:noBreakHyphen/>
        <w:t xml:space="preserve">tesis</w:t>
        <w:tab/>
        <w:t xml:space="preserve">31</w:t>
      </w:r>
    </w:p>
    <w:p w:rsidR="00000000" w:rsidDel="00000000" w:rsidP="00000000" w:rsidRDefault="00000000" w:rsidRPr="00000000" w14:paraId="000000A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Stack tecnológico por componente</w:t>
        <w:tab/>
        <w:t xml:space="preserve">36</w:t>
      </w:r>
    </w:p>
    <w:p w:rsidR="00000000" w:rsidDel="00000000" w:rsidP="00000000" w:rsidRDefault="00000000" w:rsidRPr="00000000" w14:paraId="000000A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 xml:space="preserve">39</w:t>
      </w:r>
    </w:p>
    <w:p w:rsidR="00000000" w:rsidDel="00000000" w:rsidP="00000000" w:rsidRDefault="00000000" w:rsidRPr="00000000" w14:paraId="000000B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 xml:space="preserve">42</w:t>
      </w:r>
    </w:p>
    <w:p w:rsidR="00000000" w:rsidDel="00000000" w:rsidP="00000000" w:rsidRDefault="00000000" w:rsidRPr="00000000" w14:paraId="000000B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 xml:space="preserve">47</w:t>
      </w:r>
    </w:p>
    <w:p w:rsidR="00000000" w:rsidDel="00000000" w:rsidP="00000000" w:rsidRDefault="00000000" w:rsidRPr="00000000" w14:paraId="000000B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 xml:space="preserve">53</w:t>
      </w:r>
    </w:p>
    <w:p w:rsidR="00000000" w:rsidDel="00000000" w:rsidP="00000000" w:rsidRDefault="00000000" w:rsidRPr="00000000" w14:paraId="000000B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 xml:space="preserve">55</w:t>
      </w:r>
    </w:p>
    <w:p w:rsidR="00000000" w:rsidDel="00000000" w:rsidP="00000000" w:rsidRDefault="00000000" w:rsidRPr="00000000" w14:paraId="000000B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 xml:space="preserve">59</w:t>
      </w:r>
    </w:p>
    <w:p w:rsidR="00000000" w:rsidDel="00000000" w:rsidP="00000000" w:rsidRDefault="00000000" w:rsidRPr="00000000" w14:paraId="000000B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w:t>
        <w:noBreakHyphen/>
        <w:t xml:space="preserve">tesis</w:t>
        <w:tab/>
        <w:t xml:space="preserve">60</w:t>
      </w:r>
    </w:p>
    <w:p w:rsidR="00000000" w:rsidDel="00000000" w:rsidP="00000000" w:rsidRDefault="00000000" w:rsidRPr="00000000" w14:paraId="000000B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 xml:space="preserve">62</w:t>
      </w:r>
    </w:p>
    <w:p w:rsidR="00000000" w:rsidDel="00000000" w:rsidP="00000000" w:rsidRDefault="00000000" w:rsidRPr="00000000" w14:paraId="000000B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w:t>
        <w:noBreakHyphen/>
        <w:t xml:space="preserve">backend por repetición, candidato v5.1</w:t>
        <w:noBreakHyphen/>
        <w:t xml:space="preserve">tesis (ms)</w:t>
        <w:tab/>
        <w:t xml:space="preserve">64</w:t>
      </w:r>
    </w:p>
    <w:p w:rsidR="00000000" w:rsidDel="00000000" w:rsidP="00000000" w:rsidRDefault="00000000" w:rsidRPr="00000000" w14:paraId="000000B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w:t>
        <w:noBreakHyphen/>
        <w:t xml:space="preserve">tesis</w:t>
        <w:tab/>
        <w:t xml:space="preserve">66</w:t>
      </w:r>
    </w:p>
    <w:p w:rsidR="00000000" w:rsidDel="00000000" w:rsidP="00000000" w:rsidRDefault="00000000" w:rsidRPr="00000000" w14:paraId="000000B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w:t>
        <w:noBreakHyphen/>
        <w:t xml:space="preserve">tesis</w:t>
        <w:tab/>
        <w:t xml:space="preserve">67</w:t>
      </w:r>
    </w:p>
    <w:p w:rsidR="00000000" w:rsidDel="00000000" w:rsidP="00000000" w:rsidRDefault="00000000" w:rsidRPr="00000000" w14:paraId="000000B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w:t>
        <w:noBreakHyphen/>
        <w:t xml:space="preserve">tesis (ms)</w:t>
        <w:tab/>
        <w:t xml:space="preserve">69</w:t>
      </w:r>
    </w:p>
    <w:p w:rsidR="00000000" w:rsidDel="00000000" w:rsidP="00000000" w:rsidRDefault="00000000" w:rsidRPr="00000000" w14:paraId="000000B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w:t>
        <w:noBreakHyphen/>
        <w:t xml:space="preserve">tesis</w:t>
        <w:tab/>
        <w:t xml:space="preserve">70</w:t>
      </w:r>
    </w:p>
    <w:p w:rsidR="00000000" w:rsidDel="00000000" w:rsidP="00000000" w:rsidRDefault="00000000" w:rsidRPr="00000000" w14:paraId="000000B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 xml:space="preserve">72</w:t>
      </w:r>
    </w:p>
    <w:p w:rsidR="00000000" w:rsidDel="00000000" w:rsidP="00000000" w:rsidRDefault="00000000" w:rsidRPr="00000000" w14:paraId="000000B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w:t>
        <w:noBreakHyphen/>
        <w:t xml:space="preserve">tesis</w:t>
        <w:tab/>
        <w:t xml:space="preserve">73</w:t>
      </w:r>
    </w:p>
    <w:p w:rsidR="00000000" w:rsidDel="00000000" w:rsidP="00000000" w:rsidRDefault="00000000" w:rsidRPr="00000000" w14:paraId="000000B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w:t>
        <w:noBreakHyphen/>
        <w:t xml:space="preserve">tesis</w:t>
        <w:tab/>
        <w:t xml:space="preserve">74</w:t>
      </w:r>
    </w:p>
    <w:p w:rsidR="00000000" w:rsidDel="00000000" w:rsidP="00000000" w:rsidRDefault="00000000" w:rsidRPr="00000000" w14:paraId="000000B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 xml:space="preserve">75</w:t>
      </w:r>
    </w:p>
    <w:p w:rsidR="00000000" w:rsidDel="00000000" w:rsidP="00000000" w:rsidRDefault="00000000" w:rsidRPr="00000000" w14:paraId="000000C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w:t>
        <w:noBreakHyphen/>
        <w:t xml:space="preserve">tesis</w:t>
        <w:tab/>
        <w:t xml:space="preserve">77</w:t>
      </w:r>
    </w:p>
    <w:p w:rsidR="00000000" w:rsidDel="00000000" w:rsidP="00000000" w:rsidRDefault="00000000" w:rsidRPr="00000000" w14:paraId="000000C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 xml:space="preserve">89</w:t>
      </w:r>
    </w:p>
    <w:p w:rsidR="00000000" w:rsidDel="00000000" w:rsidP="00000000" w:rsidRDefault="00000000" w:rsidRPr="00000000" w14:paraId="000000C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 xml:space="preserve">91</w:t>
      </w:r>
    </w:p>
    <w:p w:rsidR="00000000" w:rsidDel="00000000" w:rsidP="00000000" w:rsidRDefault="00000000" w:rsidRPr="00000000" w14:paraId="000000C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 xml:space="preserve">107</w:t>
      </w:r>
    </w:p>
    <w:p w:rsidR="00000000" w:rsidDel="00000000" w:rsidP="00000000" w:rsidRDefault="00000000" w:rsidRPr="00000000" w14:paraId="000000C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 xml:space="preserve">113</w:t>
      </w:r>
    </w:p>
    <w:p w:rsidR="00000000" w:rsidDel="00000000" w:rsidP="00000000" w:rsidRDefault="00000000" w:rsidRPr="00000000" w14:paraId="000000C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 xml:space="preserve">114</w:t>
      </w:r>
    </w:p>
    <w:p w:rsidR="00000000" w:rsidDel="00000000" w:rsidP="00000000" w:rsidRDefault="00000000" w:rsidRPr="00000000" w14:paraId="000000C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 xml:space="preserve">115</w:t>
      </w:r>
    </w:p>
    <w:p w:rsidR="00000000" w:rsidDel="00000000" w:rsidP="00000000" w:rsidRDefault="00000000" w:rsidRPr="00000000" w14:paraId="000000C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verifican su manifiesto</w:t>
        <w:tab/>
        <w:t xml:space="preserve">146</w:t>
      </w:r>
    </w:p>
    <w:p w:rsidR="00000000" w:rsidDel="00000000" w:rsidP="00000000" w:rsidRDefault="00000000" w:rsidRPr="00000000" w14:paraId="000000C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 xml:space="preserve">148</w:t>
      </w:r>
    </w:p>
    <w:p w:rsidR="00000000" w:rsidDel="00000000" w:rsidP="00000000" w:rsidRDefault="00000000" w:rsidRPr="00000000" w14:paraId="000000C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 xml:space="preserve">151</w:t>
      </w:r>
    </w:p>
    <w:p w:rsidR="00000000" w:rsidDel="00000000" w:rsidP="00000000" w:rsidRDefault="00000000" w:rsidRPr="00000000" w14:paraId="000000C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 xml:space="preserve">159</w:t>
      </w:r>
    </w:p>
    <w:p w:rsidR="00000000" w:rsidDel="00000000" w:rsidP="00000000" w:rsidRDefault="00000000" w:rsidRPr="00000000" w14:paraId="000000C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Correspondencia de las tareas de triage con los resultados de NIST SP 800</w:t>
        <w:noBreakHyphen/>
        <w:t xml:space="preserve">61r3</w:t>
        <w:tab/>
        <w:t xml:space="preserve">168</w:t>
      </w:r>
    </w:p>
    <w:bookmarkStart w:colFirst="0" w:colLast="0" w:name="udcpbyfgiiyw" w:id="5"/>
    <w:bookmarkEnd w:id="5"/>
    <w:p w:rsidR="00000000" w:rsidDel="00000000" w:rsidP="00000000" w:rsidRDefault="00000000" w:rsidRPr="00000000" w14:paraId="000000CD">
      <w:pPr>
        <w:rPr/>
      </w:pPr>
      <w:r>
        <w:br w:type="page"/>
      </w:r>
      <w:r>
        <w:rPr>
          <w:rtl w:val="0"/>
        </w:rPr>
      </w:r>
    </w:p>
    <w:bookmarkStart w:colFirst="0" w:colLast="0" w:name="xqj5abujur2l" w:id="6"/>
    <w:bookmarkEnd w:id="6"/>
    <w:p w:rsidR="00000000" w:rsidDel="00000000" w:rsidP="00000000" w:rsidRDefault="00000000" w:rsidRPr="00000000" w14:paraId="000000CE">
      <w:pPr>
        <w:pStyle w:val="Heading1"/>
        <w:rPr/>
      </w:pPr>
      <w:r>
        <w:rPr>
          <w:b w:val="1"/>
          <w:bCs w:val="1"/>
          <w:rtl w:val="0"/>
        </w:rPr>
        <w:t xml:space="preserve">ÍNDICE DE FIGURAS</w:t>
      </w:r>
      <w:r>
        <w:rPr>
          <w:rtl w:val="0"/>
        </w:rPr>
      </w:r>
    </w:p>
    <w:p w:rsidR="00000000" w:rsidDel="00000000" w:rsidP="00000000" w:rsidRDefault="00000000" w:rsidRPr="00000000" w14:paraId="000000C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35</w:t>
      </w:r>
    </w:p>
    <w:p w:rsidR="00000000" w:rsidDel="00000000" w:rsidP="00000000" w:rsidRDefault="00000000" w:rsidRPr="00000000" w14:paraId="000000D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w:t>
        <w:noBreakHyphen/>
        <w:t xml:space="preserve">relación de las tablas principales de PostgreSQL</w:t>
        <w:tab/>
        <w:t xml:space="preserve">39</w:t>
      </w:r>
    </w:p>
    <w:p w:rsidR="00000000" w:rsidDel="00000000" w:rsidP="00000000" w:rsidRDefault="00000000" w:rsidRPr="00000000" w14:paraId="000000D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41</w:t>
      </w:r>
    </w:p>
    <w:p w:rsidR="00000000" w:rsidDel="00000000" w:rsidP="00000000" w:rsidRDefault="00000000" w:rsidRPr="00000000" w14:paraId="000000D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44</w:t>
      </w:r>
    </w:p>
    <w:p w:rsidR="00000000" w:rsidDel="00000000" w:rsidP="00000000" w:rsidRDefault="00000000" w:rsidRPr="00000000" w14:paraId="000000D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47</w:t>
      </w:r>
    </w:p>
    <w:p w:rsidR="00000000" w:rsidDel="00000000" w:rsidP="00000000" w:rsidRDefault="00000000" w:rsidRPr="00000000" w14:paraId="000000D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Vista del panel administrativo — Dashboard con contadores por estado, estado de agentes e infraestructura, y aviso de notificaciones pendientes</w:t>
        <w:tab/>
        <w:t xml:space="preserve">50</w:t>
      </w:r>
    </w:p>
    <w:p w:rsidR="00000000" w:rsidDel="00000000" w:rsidP="00000000" w:rsidRDefault="00000000" w:rsidRPr="00000000" w14:paraId="000000D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Vista del panel administrativo — Lista de eventos con controles de filtrado y de inclusión de eventos superseded</w:t>
        <w:tab/>
        <w:t xml:space="preserve">51</w:t>
      </w:r>
    </w:p>
    <w:p w:rsidR="00000000" w:rsidDel="00000000" w:rsidP="00000000" w:rsidRDefault="00000000" w:rsidRPr="00000000" w14:paraId="000000D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NotificationDispatcher: cascada de alternativas automáticas</w:t>
        <w:tab/>
        <w:t xml:space="preserve">52</w:t>
      </w:r>
    </w:p>
    <w:p w:rsidR="00000000" w:rsidDel="00000000" w:rsidP="00000000" w:rsidRDefault="00000000" w:rsidRPr="00000000" w14:paraId="000000D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140</w:t>
      </w:r>
    </w:p>
    <w:p w:rsidR="00000000" w:rsidDel="00000000" w:rsidP="00000000" w:rsidRDefault="00000000" w:rsidRPr="00000000" w14:paraId="000000D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Organización interna de componentes de la plataforma FIM, en notación de diagrama de componentes de UML</w:t>
        <w:tab/>
        <w:t xml:space="preserve">158</w:t>
      </w:r>
    </w:p>
    <w:bookmarkStart w:colFirst="0" w:colLast="0" w:name="mhvseyqwk5zf" w:id="7"/>
    <w:bookmarkEnd w:id="7"/>
    <w:p w:rsidR="00000000" w:rsidDel="00000000" w:rsidP="00000000" w:rsidRDefault="00000000" w:rsidRPr="00000000" w14:paraId="000000D9">
      <w:pPr>
        <w:rPr/>
      </w:pPr>
      <w:r>
        <w:br w:type="page"/>
      </w:r>
      <w:r>
        <w:rPr>
          <w:rtl w:val="0"/>
        </w:rPr>
      </w:r>
    </w:p>
    <w:bookmarkStart w:colFirst="0" w:colLast="0" w:name="yoegl9b8klly" w:id="8"/>
    <w:bookmarkEnd w:id="8"/>
    <w:p w:rsidR="00000000" w:rsidDel="00000000" w:rsidP="00000000" w:rsidRDefault="00000000" w:rsidRPr="00000000" w14:paraId="000000DA">
      <w:pPr>
        <w:pStyle w:val="Heading1"/>
        <w:rPr/>
      </w:pPr>
      <w:r>
        <w:rPr>
          <w:b w:val="1"/>
          <w:bCs w:val="1"/>
          <w:rtl w:val="0"/>
        </w:rPr>
        <w:t xml:space="preserve">LISTA DE ABREVIATURAS Y SIGLAS</w:t>
      </w: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w:t>
      </w:r>
    </w:p>
    <w:tbl>
      <w:tblPr>
        <w:tblStyle w:val="Table1"/>
        <w:tblW w:w="8888" w:type="dxa"/>
        <w:jc w:val="left"/>
        <w:tblBorders>
          <w:top w:color="000000" w:space="0" w:sz="8" w:val="single"/>
          <w:bottom w:color="000000" w:space="0" w:sz="8" w:val="single"/>
          <w:insideH w:color="808080" w:space="0" w:sz="4" w:val="single"/>
        </w:tblBorders>
        <w:tblLayout w:type="fixed"/>
        <w:tblLook w:val="0020"/>
      </w:tblPr>
      <w:tblGrid>
        <w:gridCol w:w="1250"/>
        <w:gridCol w:w="7638"/>
        <w:tblGridChange w:id="0">
          <w:tblGrid>
            <w:gridCol w:w="1250"/>
            <w:gridCol w:w="7638"/>
          </w:tblGrid>
        </w:tblGridChange>
      </w:tblGrid>
      <w:tr>
        <w:trPr>
          <w:cantSplit w:val="0"/>
          <w:tblHeader w:val="1"/>
        </w:trPr>
        <w:tc>
          <w:tcP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w:t>
              <w:noBreakHyphen/>
              <w:t xml:space="preserve">GCM</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w:t>
              <w:noBreakHyphen/>
              <w:t xml:space="preserve">256</w:t>
            </w:r>
          </w:p>
        </w:tc>
        <w:tc>
          <w:tcPr>
            <w:tcBorders>
              <w:top w:color="808080" w:space="0" w:sz="4" w:val="single"/>
              <w:bottom w:color="80808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w:t>
              <w:noBreakHyphen/>
              <w:t xml:space="preserve">FRM</w:t>
            </w:r>
          </w:p>
        </w:tc>
        <w:tc>
          <w:tcPr>
            <w:tcBorders>
              <w:top w:color="808080" w:space="0" w:sz="4" w:val="single"/>
              <w:bottom w:color="80808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cantSplit w:val="0"/>
          <w:tblHeader w:val="0"/>
        </w:trPr>
        <w:tc>
          <w:tcPr>
            <w:tcBorders>
              <w:top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12B">
      <w:pPr>
        <w:spacing w:after="0" w:before="0" w:lineRule="auto"/>
        <w:rPr/>
      </w:pPr>
      <w:r>
        <w:rPr>
          <w:rtl w:val="0"/>
        </w:rPr>
      </w:r>
    </w:p>
    <w:p w:rsidR="00000000" w:rsidDel="00000000" w:rsidP="00000000" w:rsidRDefault="00000000" w:rsidRPr="00000000" w14:paraId="0000012C">
      <w:pPr>
        <w:pStyle w:val="Heading1"/>
        <w:rPr/>
      </w:pPr>
      <w:r>
        <w:rPr>
          <w:b w:val="1"/>
          <w:bCs w:val="1"/>
          <w:rtl w:val="0"/>
        </w:rPr>
        <w:t xml:space="preserve">GUÍA DE LECTURA</w:t>
      </w:r>
      <w:r>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el cuerpo solo cita los que sustentan la procedencia o la autoría: commits en los apartados 3.7, 3.8, 5.5 y 9.1.2 y en la nota de la Tabla 8, y códigos de pendientes (P-n, Anexo F.3) en los apartados 6.4, 7.6, 8.1 y 9.1.2, y el hallazgo T-2 en el 9.1.2. El Anexo L reúne los procedimientos de recálculo y las órdenes de comprobación; el M relaciona la lista de triage con NIST SP 800-61r3, y el N resume las revisiones del documento.</w:t>
      </w:r>
    </w:p>
    <w:p w:rsidR="00000000" w:rsidDel="00000000" w:rsidP="00000000" w:rsidRDefault="00000000" w:rsidRPr="00000000" w14:paraId="00000132">
      <w:pPr>
        <w:pStyle w:val="Heading1"/>
        <w:pageBreakBefore w:val="0"/>
        <w:rPr/>
      </w:pPr>
      <w:r>
        <w:rPr>
          <w:b w:val="1"/>
          <w:bCs w:val="1"/>
          <w:rtl w:val="0"/>
        </w:rPr>
        <w:t xml:space="preserve">CAPÍTULO 1. INTRODUCCIÓN</w:t>
      </w:r>
      <w:r>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34">
      <w:pPr>
        <w:pStyle w:val="Heading2"/>
        <w:rPr/>
      </w:pPr>
      <w:r>
        <w:rPr>
          <w:b w:val="1"/>
          <w:bCs w:val="1"/>
          <w:rtl w:val="0"/>
        </w:rPr>
        <w:t xml:space="preserve">1.1 Contexto del problema</w:t>
      </w:r>
      <w:r>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introdujo una puerta trasera en XZ Utils, oculta entre archivos de prueba del repositorio y en un script de compilación que solo figuraba en los paquetes publicados. Un ingeniero ajeno al proyecto la descubrió por casualidad, a partir de una anomalía menor de rendimiento (Freund, 2024), y la agencia estadounidense de ciberseguridad emitió una alerta el mismo día (Cybersecurity and Infrastructure Security Agency, 2024). El caso muestra el daño de una modificación encubierta y que no la descubrió un control, sino una anomalía. Un monitor de integridad no la habría detenido: la puerta trasera llegó como actualización legítima del paquete, de modo que el monitor habría informado el cambio, pero un operador lo habría aprobado como autorizado.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Su vínculo con este trabajo es interpretativo; el más cercano es esta última, que cuenta el control de cambios entre sus procesos, y el apartado 2.4 analiza el alcance de cada instrumento.</w:t>
      </w:r>
    </w:p>
    <w:bookmarkStart w:colFirst="0" w:colLast="0" w:name="6it6qwwfmb00" w:id="9"/>
    <w:bookmarkEnd w:id="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39">
      <w:pPr>
        <w:pStyle w:val="Heading2"/>
        <w:rPr/>
      </w:pPr>
      <w:r>
        <w:rPr>
          <w:b w:val="1"/>
          <w:bCs w:val="1"/>
          <w:rtl w:val="0"/>
        </w:rPr>
        <w:t xml:space="preserve">1.2 Planteamiento del problema</w:t>
      </w:r>
      <w:r>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m06n4ligkdfm" w:id="10"/>
    <w:bookmarkEnd w:id="1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Detección reactiva no equivale a tiempo real estricto: la nota de la Tabla 1 fija qué latencia se exige y con qué alcance.</w:t>
      </w:r>
    </w:p>
    <w:p w:rsidR="00000000" w:rsidDel="00000000" w:rsidP="00000000" w:rsidRDefault="00000000" w:rsidRPr="00000000" w14:paraId="0000013C">
      <w:pPr>
        <w:pStyle w:val="Heading2"/>
        <w:rPr/>
      </w:pPr>
      <w:r>
        <w:rPr>
          <w:b w:val="1"/>
          <w:bCs w:val="1"/>
          <w:rtl w:val="0"/>
        </w:rPr>
        <w:t xml:space="preserve">1.3 Justificación</w:t>
      </w:r>
      <w:r>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está poco sistematizado en español; es una apreciación que no respaldan con una revisión sistemática.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reemplaza el encuestamiento por detección reactiva con fanotify. Segunda: descarta MD5 en favor de SHA-256. Tercera: separa el almacenamiento; el anfitrión conserva cifrado el contenido restaurable de los archivos vigilados, y el servidor central guarda metadatos, hashes y resoluciones. Ese cifrado tiene el alcance que acota la tercera limitación del apartado 1.7.</w:t>
      </w:r>
    </w:p>
    <w:bookmarkStart w:colFirst="0" w:colLast="0" w:name="a4w071ym74o1" w:id="11"/>
    <w:bookmarkEnd w:id="11"/>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Cuarta: limita n8n a enrutar notificaciones. Quinta: somete cada cambio a validación humana, con bloqueo optimista para resolver la concurrencia entre operadores. El resultado deja de ser un verificador periódico y pasa a ser una plataforma distribuida de detección y respuesta.</w:t>
      </w:r>
    </w:p>
    <w:p w:rsidR="00000000" w:rsidDel="00000000" w:rsidP="00000000" w:rsidRDefault="00000000" w:rsidRPr="00000000" w14:paraId="00000141">
      <w:pPr>
        <w:pStyle w:val="Heading2"/>
        <w:rPr/>
      </w:pPr>
      <w:r>
        <w:rPr>
          <w:b w:val="1"/>
          <w:bCs w:val="1"/>
          <w:rtl w:val="0"/>
        </w:rPr>
        <w:t xml:space="preserve">1.4 Objetivo general</w:t>
      </w:r>
      <w:r>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iqm8ljgsct6" w:id="12"/>
    <w:bookmarkEnd w:id="12"/>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 La mayoría de los objetivos específicos se formula como análisis, diseño o especificación: la implementación de lo diseñado la verifican las suites de pruebas de cada componente (Tabla 23), y la evaluación en laboratorio, los criterios del apartado 1.6, que dictamina el Capítulo 5.</w:t>
      </w:r>
    </w:p>
    <w:p w:rsidR="00000000" w:rsidDel="00000000" w:rsidP="00000000" w:rsidRDefault="00000000" w:rsidRPr="00000000" w14:paraId="00000144">
      <w:pPr>
        <w:pStyle w:val="Heading2"/>
        <w:rPr/>
      </w:pPr>
      <w:r>
        <w:rPr>
          <w:b w:val="1"/>
          <w:bCs w:val="1"/>
          <w:rtl w:val="0"/>
        </w:rPr>
        <w:t xml:space="preserve">1.5 Objetivos específicos</w:t>
      </w:r>
      <w:r>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46">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47">
      <w:pPr>
        <w:numPr>
          <w:ilvl w:val="0"/>
          <w:numId w:val="1"/>
        </w:numPr>
        <w:ind w:left="720" w:hanging="480"/>
        <w:rPr/>
      </w:pPr>
      <w:r>
        <w:rPr>
          <w:rtl w:val="0"/>
        </w:rPr>
        <w:t xml:space="preserve">Caracterizar el estado del arte de las soluciones de monitoreo de integridad de archivos disponibles en el período 2024-2026, con sus fortalezas y limitaciones.</w:t>
      </w:r>
    </w:p>
    <w:p w:rsidR="00000000" w:rsidDel="00000000" w:rsidP="00000000" w:rsidRDefault="00000000" w:rsidRPr="00000000" w14:paraId="00000148">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49">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4A">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4B">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4C">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4D">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4E">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4F">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v0e4kqhqrpte" w:id="13"/>
    <w:bookmarkEnd w:id="13"/>
    <w:p w:rsidR="00000000" w:rsidDel="00000000" w:rsidP="00000000" w:rsidRDefault="00000000" w:rsidRPr="00000000" w14:paraId="00000150">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51">
      <w:pPr>
        <w:pStyle w:val="Heading2"/>
        <w:rPr/>
      </w:pPr>
      <w:r>
        <w:rPr>
          <w:b w:val="1"/>
          <w:bCs w:val="1"/>
          <w:rtl w:val="0"/>
        </w:rPr>
        <w:t xml:space="preserve">1.6 Hipótesis y criterios de aceptación</w:t>
      </w:r>
      <w:r>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La última columna de la Tabla 1 rotula cada ajuste respecto de la versión registrada. «Antes de todo dato» señala un ajuste hecho antes de medir, que sirve para dictaminar; «Posterior a datos», uno hecho después, que no sirve para declarar un criterio cumplido. Tres criterios se precisaron antes de todo dato: los dos de notificación y el de drenaje. Dos se ajustaron después. Uno es la preservación, que conserva, por eso, su definición original. El otro es la cobertura del triage: su lista se redujo de trece a once tareas, lo que bajó el resultado de 84,6 a 81,8 %, y el apartado 5.6 lo declara. La columna marca, además, dos lecturas posteriores a datos que la Tabla 26 no usa para dictaminar: la de los falsos negativos y la de los criterios de siete historias. El Anexo K detalla la secuencia.</w:t>
      </w:r>
      <w:r>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r>
        <w:rPr>
          <w:rtl w:val="0"/>
        </w:rPr>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Change w:id="0">
          <w:tblGrid>
            <w:gridCol w:w="2500"/>
            <w:gridCol w:w="1150"/>
            <w:gridCol w:w="2430"/>
            <w:gridCol w:w="2900"/>
          </w:tblGrid>
        </w:tblGridChange>
      </w:tblGrid>
      <w:tr>
        <w:trPr>
          <w:cantSplit w:val="1"/>
          <w:tblHeader w:val="1"/>
        </w:trPr>
        <w:tc>
          <w:tcP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Borders>
              <w:top w:color="808080" w:space="0" w:sz="4" w:val="single"/>
              <w:bottom w:color="80808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Borders>
              <w:top w:color="808080" w:space="0" w:sz="4" w:val="single"/>
              <w:bottom w:color="80808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Borders>
              <w:top w:color="808080" w:space="0" w:sz="4" w:val="single"/>
              <w:bottom w:color="80808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Borders>
              <w:top w:color="808080" w:space="0" w:sz="4" w:val="single"/>
              <w:bottom w:color="80808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Borders>
              <w:top w:color="808080" w:space="0" w:sz="4" w:val="single"/>
              <w:bottom w:color="80808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Borders>
              <w:top w:color="808080" w:space="0" w:sz="4" w:val="single"/>
              <w:bottom w:color="80808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Borders>
              <w:top w:color="808080" w:space="0" w:sz="4" w:val="single"/>
              <w:bottom w:color="80808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blHeader w:val="0"/>
        </w:trPr>
        <w:tc>
          <w:tcPr>
            <w:tcBorders>
              <w:top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Borders>
              <w:top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Borders>
              <w:top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q338q3ma1wm0" w:id="14"/>
    <w:bookmarkEnd w:id="14"/>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apartado 1.6 explica sus rótulos, y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r>
        <w:rPr>
          <w:rtl w:val="0"/>
        </w:rPr>
      </w:r>
    </w:p>
    <w:bookmarkStart w:colFirst="0" w:colLast="0" w:name="ip4d3jrtljos" w:id="15"/>
    <w:bookmarkEnd w:id="15"/>
    <w:p w:rsidR="00000000" w:rsidDel="00000000" w:rsidP="00000000" w:rsidRDefault="00000000" w:rsidRPr="00000000" w14:paraId="0000017C">
      <w:pPr>
        <w:pStyle w:val="Heading2"/>
        <w:rPr/>
      </w:pPr>
      <w:r>
        <w:rPr>
          <w:b w:val="1"/>
          <w:bCs w:val="1"/>
          <w:rtl w:val="0"/>
        </w:rPr>
        <w:t xml:space="preserve">1.7 Alcance y limitaciones</w:t>
      </w:r>
      <w:r>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7E">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r>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(amenaza 10, apartado 6.5).</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4qfnyuwgdc1s" w:id="16"/>
    <w:bookmarkEnd w:id="16"/>
    <w:p w:rsidR="00000000" w:rsidDel="00000000" w:rsidP="00000000" w:rsidRDefault="00000000" w:rsidRPr="00000000" w14:paraId="00000189">
      <w:pPr>
        <w:pStyle w:val="Heading1"/>
        <w:rPr/>
      </w:pPr>
      <w:r>
        <w:rPr>
          <w:b w:val="1"/>
          <w:bCs w:val="1"/>
          <w:rtl w:val="0"/>
        </w:rPr>
        <w:t xml:space="preserve">CAPÍTULO 2. MARCO TEÓRICO</w:t>
      </w:r>
      <w:r>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8B">
      <w:pPr>
        <w:pStyle w:val="Heading2"/>
        <w:rPr/>
      </w:pPr>
      <w:r>
        <w:rPr>
          <w:b w:val="1"/>
          <w:bCs w:val="1"/>
          <w:rtl w:val="0"/>
        </w:rPr>
        <w:t xml:space="preserve">2.1 Seguridad informática y la tríada CIA</w:t>
      </w:r>
      <w:r>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Durante años, su énfasis estuvo en proteger el perímetro de la red; hoy gana terreno la arquitectura de confianza cero, cuya premisa es que ningún activo ni cuenta recibe confianza implícita por su ubicación física o de red (Rose et al., 2020).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yq4qer10pbl" w:id="17"/>
    <w:bookmarkEnd w:id="17"/>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8F">
      <w:pPr>
        <w:pStyle w:val="Heading2"/>
        <w:rPr/>
      </w:pPr>
      <w:r>
        <w:rPr>
          <w:b w:val="1"/>
          <w:bCs w:val="1"/>
          <w:rtl w:val="0"/>
        </w:rPr>
        <w:t xml:space="preserve">2.2 Funciones hash criptográficas</w:t>
      </w:r>
      <w:r>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kgnekvkh7tft" w:id="18"/>
    <w:bookmarkEnd w:id="18"/>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MD5, que la consigna original incluía (apartado 1.3), tiene colisiones prácticas conocidas desde 2004 (Wang &amp; Yu, 2005), de modo que no sirve donde importa la resistencia a colisiones. SHA-1 corrió la misma suerte con el primer ataque práctico de colisión de prefijo elegido (Leurent &amp; Peyrin, 2020) y dejó de ser aceptable para esos usos. Funciones recientes como BLAKE3 mejoran el rendimiento y quedan como línea de evaluación futura.</w:t>
      </w:r>
    </w:p>
    <w:p w:rsidR="00000000" w:rsidDel="00000000" w:rsidP="00000000" w:rsidRDefault="00000000" w:rsidRPr="00000000" w14:paraId="00000193">
      <w:pPr>
        <w:pStyle w:val="Heading2"/>
        <w:rPr/>
      </w:pPr>
      <w:r>
        <w:rPr>
          <w:b w:val="1"/>
          <w:bCs w:val="1"/>
          <w:rtl w:val="0"/>
        </w:rPr>
        <w:t xml:space="preserve">2.3 Monitoreo de Integridad de Archivos</w:t>
      </w:r>
      <w:r>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en forma sostenida: recalcula las huellas periódicamente o ante eventos del sistema operativo y las compara con la línea base.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2f915uva6qmd" w:id="19"/>
    <w:bookmarkEnd w:id="19"/>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ebsrqmf59gsl" w:id="20"/>
    <w:bookmarkEnd w:id="20"/>
    <w:p w:rsidR="00000000" w:rsidDel="00000000" w:rsidP="00000000" w:rsidRDefault="00000000" w:rsidRPr="00000000" w14:paraId="00000198">
      <w:pPr>
        <w:pStyle w:val="Heading2"/>
        <w:rPr/>
      </w:pPr>
      <w:r>
        <w:rPr>
          <w:b w:val="1"/>
          <w:bCs w:val="1"/>
          <w:rtl w:val="0"/>
        </w:rPr>
        <w:t xml:space="preserve">2.4 Marco normativo argentino aplicable</w:t>
      </w:r>
      <w:r>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con la designación de sus autoridades por el Decreto 92/2026 (Poder Ejecutivo Nacional,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r>
        <w:rPr>
          <w:rtl w:val="0"/>
        </w:rPr>
      </w:r>
    </w:p>
    <w:tbl>
      <w:tblPr>
        <w:tblStyle w:val="Table3"/>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blHeader w:val="0"/>
        </w:trPr>
        <w:tc>
          <w:tcPr>
            <w:tcBorders>
              <w:top w:color="808080" w:space="0" w:sz="4"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r>
        <w:rPr>
          <w:rtl w:val="0"/>
        </w:rPr>
      </w:r>
    </w:p>
    <w:p w:rsidR="00000000" w:rsidDel="00000000" w:rsidP="00000000" w:rsidRDefault="00000000" w:rsidRPr="00000000" w14:paraId="000001D0">
      <w:pPr>
        <w:pStyle w:val="Heading2"/>
        <w:rPr/>
      </w:pPr>
      <w:r>
        <w:rPr>
          <w:b w:val="1"/>
          <w:bCs w:val="1"/>
          <w:rtl w:val="0"/>
        </w:rPr>
        <w:t xml:space="preserve">2.5 Estado del arte de soluciones FIM</w:t>
      </w:r>
      <w:r>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que, según la premisa del apartado 1.1, suelen quedar fuera del alcance económico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con bloqueo optimista frente a la concurrencia de operadores y una copia del contenido restaurable cifrada en reposo en el anfitrión.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r>
        <w:rPr>
          <w:rtl w:val="0"/>
        </w:rPr>
      </w:r>
    </w:p>
    <w:tbl>
      <w:tblPr>
        <w:tblStyle w:val="Table4"/>
        <w:tblW w:w="8889"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solo sobre cambios de archivos; 100 % de detección (Sutanto &amp; Rakhman,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r>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yp2m8z640cz2" w:id="21"/>
    <w:bookmarkEnd w:id="2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Marcos internacionales.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monitoreo de integridad figura en varios marcos,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F1">
      <w:pPr>
        <w:pStyle w:val="Heading2"/>
        <w:rPr/>
      </w:pPr>
      <w:r>
        <w:rPr>
          <w:b w:val="1"/>
          <w:bCs w:val="1"/>
          <w:rtl w:val="0"/>
        </w:rPr>
        <w:t xml:space="preserve">2.6 Subsistemas del núcleo Linux para detección de eventos de archivo</w:t>
      </w:r>
      <w:r>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raxc4cxkyt27" w:id="22"/>
    <w:bookmarkEnd w:id="22"/>
    <w:p w:rsidR="00000000" w:rsidDel="00000000" w:rsidP="00000000" w:rsidRDefault="00000000" w:rsidRPr="00000000" w14:paraId="000001F9">
      <w:pPr>
        <w:pStyle w:val="Heading2"/>
        <w:rPr/>
      </w:pPr>
      <w:r>
        <w:rPr>
          <w:b w:val="1"/>
          <w:bCs w:val="1"/>
          <w:rtl w:val="0"/>
        </w:rPr>
        <w:t xml:space="preserve">2.7 Paradigma SOAR y orquestación con n8n</w:t>
      </w:r>
      <w:r>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w5kaagoq2nag" w:id="23"/>
    <w:bookmarkEnd w:id="23"/>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 Por eso n8n es prescindible: el carácter abierto que plantea la pregunta de investigación se refiere al código propio de la plataforma, que puede operar sin él (apartado 6.6).</w:t>
      </w:r>
    </w:p>
    <w:p w:rsidR="00000000" w:rsidDel="00000000" w:rsidP="00000000" w:rsidRDefault="00000000" w:rsidRPr="00000000" w14:paraId="000001FC">
      <w:pPr>
        <w:pStyle w:val="Heading2"/>
        <w:rPr/>
      </w:pPr>
      <w:r>
        <w:rPr>
          <w:b w:val="1"/>
          <w:bCs w:val="1"/>
          <w:rtl w:val="0"/>
        </w:rPr>
        <w:t xml:space="preserve">2.8 Stack backend: FastAPI, SQLModel y PostgreSQL</w:t>
      </w:r>
      <w:r>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mlcsb7ts4g6v" w:id="24"/>
    <w:bookmarkEnd w:id="24"/>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FF">
      <w:pPr>
        <w:pStyle w:val="Heading2"/>
        <w:rPr/>
      </w:pPr>
      <w:r>
        <w:rPr>
          <w:b w:val="1"/>
          <w:bCs w:val="1"/>
          <w:rtl w:val="0"/>
        </w:rPr>
        <w:t xml:space="preserve">2.9 Mensajería con Valkey Streams</w:t>
      </w:r>
      <w:r>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5bugomtadk5j" w:id="25"/>
    <w:bookmarkEnd w:id="25"/>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203">
      <w:pPr>
        <w:pStyle w:val="Heading2"/>
        <w:rPr/>
      </w:pPr>
      <w:r>
        <w:rPr>
          <w:b w:val="1"/>
          <w:bCs w:val="1"/>
          <w:rtl w:val="0"/>
        </w:rPr>
        <w:t xml:space="preserve">2.10 Primitivas criptográficas adoptadas</w:t>
      </w:r>
      <w:r>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f9ud7gga39a4" w:id="26"/>
    <w:bookmarkEnd w:id="26"/>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20A">
      <w:pPr>
        <w:pStyle w:val="Heading2"/>
        <w:rPr/>
      </w:pPr>
      <w:r>
        <w:rPr>
          <w:b w:val="1"/>
          <w:bCs w:val="1"/>
          <w:rtl w:val="0"/>
        </w:rPr>
        <w:t xml:space="preserve">2.11 Zero Trust y raíz de confianza</w:t>
      </w:r>
      <w:r>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se guía, además, por tres pautas de uso extendido en la industria, que no forman parte de la enumeración de NIST: verificar de forma explícita, conceder el privilegio mínimo y asumir que el compromiso ya ocurrió. Se ocupa sobre todo de los dispositivos, con certificados mutuos, y de los datos, con verificación continua, línea base cifrada y comandos firmados.</w:t>
      </w:r>
    </w:p>
    <w:bookmarkStart w:colFirst="0" w:colLast="0" w:name="e7oeb3ttfmyp" w:id="27"/>
    <w:bookmarkEnd w:id="27"/>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p5jrfuhkap59" w:id="28"/>
    <w:bookmarkEnd w:id="28"/>
    <w:p w:rsidR="00000000" w:rsidDel="00000000" w:rsidP="00000000" w:rsidRDefault="00000000" w:rsidRPr="00000000" w14:paraId="0000020D">
      <w:pPr>
        <w:pStyle w:val="Heading2"/>
        <w:rPr/>
      </w:pPr>
      <w:r>
        <w:rPr>
          <w:b w:val="1"/>
          <w:bCs w:val="1"/>
          <w:rtl w:val="0"/>
        </w:rPr>
        <w:t xml:space="preserve">2.12 Modelo de amenazas STRIDE</w:t>
      </w:r>
      <w:r>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r>
        <w:rPr>
          <w:rtl w:val="0"/>
        </w:rPr>
      </w:r>
    </w:p>
    <w:tbl>
      <w:tblPr>
        <w:tblStyle w:val="Table5"/>
        <w:tblW w:w="898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blHeader w:val="0"/>
        </w:trPr>
        <w:tc>
          <w:tcPr>
            <w:tcBorders>
              <w:top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blHeader w:val="0"/>
        </w:trPr>
        <w:tc>
          <w:tcPr>
            <w:tcBorders>
              <w:top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r>
        <w:rPr>
          <w:rtl w:val="0"/>
        </w:rPr>
      </w:r>
    </w:p>
    <w:bookmarkStart w:colFirst="0" w:colLast="0" w:name="p5uimxjl8c3b" w:id="29"/>
    <w:bookmarkEnd w:id="29"/>
    <w:p w:rsidR="00000000" w:rsidDel="00000000" w:rsidP="00000000" w:rsidRDefault="00000000" w:rsidRPr="00000000" w14:paraId="0000022C">
      <w:pPr>
        <w:pStyle w:val="Heading2"/>
        <w:rPr/>
      </w:pPr>
      <w:r>
        <w:rPr>
          <w:b w:val="1"/>
          <w:bCs w:val="1"/>
          <w:rtl w:val="0"/>
        </w:rPr>
        <w:t xml:space="preserve">2.13 Organización modular y disciplina transaccional</w:t>
      </w: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usuarios,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i8zrgh3a6yzq" w:id="30"/>
    <w:bookmarkEnd w:id="30"/>
    <w:p w:rsidR="00000000" w:rsidDel="00000000" w:rsidP="00000000" w:rsidRDefault="00000000" w:rsidRPr="00000000" w14:paraId="00000231">
      <w:pPr>
        <w:pStyle w:val="Heading1"/>
        <w:rPr/>
      </w:pPr>
      <w:r>
        <w:rPr>
          <w:b w:val="1"/>
          <w:bCs w:val="1"/>
          <w:rtl w:val="0"/>
        </w:rPr>
        <w:t xml:space="preserve">CAPÍTULO 3. MARCO METODOLÓGICO</w:t>
      </w:r>
      <w:r>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14:paraId="00000258">
      <w:pPr>
        <w:pStyle w:val="Heading2"/>
        <w:rPr/>
      </w:pPr>
      <w:r>
        <w:rPr>
          <w:b w:val="1"/>
          <w:bCs w:val="1"/>
          <w:rtl w:val="0"/>
        </w:rPr>
        <w:t xml:space="preserve">3.1 Tipo de investigación</w:t>
      </w:r>
      <w:r>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lfmntwl554ga" w:id="31"/>
    <w:bookmarkEnd w:id="3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25C">
      <w:pPr>
        <w:pStyle w:val="Heading2"/>
        <w:rPr/>
      </w:pPr>
      <w:r>
        <w:rPr>
          <w:b w:val="1"/>
          <w:bCs w:val="1"/>
          <w:rtl w:val="0"/>
        </w:rPr>
        <w:t xml:space="preserve">3.2 Enfoque metodológico</w:t>
      </w:r>
      <w:r>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una versión completa del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esa versión y antes de obtener cualquier dato de medición. Las versiones posteriores, hasta v5.1-tesis, se evaluaron contra esos mismos umbrales, con los ajustes que declara la Tabla 1.</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28w20k4bbk5f" w:id="32"/>
    <w:bookmarkEnd w:id="32"/>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r>
        <w:rPr>
          <w:rtl w:val="0"/>
        </w:rPr>
      </w:r>
    </w:p>
    <w:tbl>
      <w:tblPr>
        <w:tblStyle w:val="Table6"/>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Change w:id="0">
          <w:tblGrid>
            <w:gridCol w:w="1700"/>
            <w:gridCol w:w="1500"/>
            <w:gridCol w:w="2880"/>
            <w:gridCol w:w="2900"/>
          </w:tblGrid>
        </w:tblGridChange>
      </w:tblGrid>
      <w:tr>
        <w:trPr>
          <w:cantSplit w:val="1"/>
          <w:tblHeader w:val="1"/>
        </w:trPr>
        <w:tc>
          <w:tcP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r>
              <w:rPr>
                <w:rtl w:val="0"/>
              </w:rPr>
            </w:r>
          </w:p>
        </w:tc>
        <w:tc>
          <w:tcPr>
            <w:vAlign w:val="bottom"/>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r>
              <w:rPr>
                <w:rtl w:val="0"/>
              </w:rPr>
            </w:r>
          </w:p>
        </w:tc>
        <w:tc>
          <w:tcP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Borders>
              <w:top w:color="808080" w:space="0" w:sz="4" w:val="single"/>
              <w:bottom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Borders>
              <w:top w:color="808080" w:space="0" w:sz="4" w:val="single"/>
              <w:bottom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Borders>
              <w:top w:color="808080" w:space="0" w:sz="4" w:val="single"/>
              <w:bottom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Borders>
              <w:top w:color="808080" w:space="0" w:sz="4" w:val="single"/>
              <w:bottom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Borders>
              <w:top w:color="808080" w:space="0" w:sz="4" w:val="single"/>
              <w:bottom w:color="808080" w:space="0" w:sz="4" w:val="single"/>
            </w:tcBorders>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Borders>
              <w:top w:color="808080" w:space="0" w:sz="4" w:val="single"/>
              <w:bottom w:color="80808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Borders>
              <w:top w:color="808080" w:space="0" w:sz="4" w:val="single"/>
              <w:bottom w:color="808080" w:space="0" w:sz="4" w:val="single"/>
            </w:tcBorders>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Borders>
              <w:top w:color="808080" w:space="0" w:sz="4" w:val="single"/>
              <w:bottom w:color="80808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Borders>
              <w:top w:color="808080" w:space="0" w:sz="4" w:val="single"/>
              <w:bottom w:color="80808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Borders>
              <w:top w:color="808080" w:space="0" w:sz="4" w:val="single"/>
              <w:bottom w:color="80808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Borders>
              <w:top w:color="808080" w:space="0" w:sz="4" w:val="single"/>
              <w:bottom w:color="80808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Borders>
              <w:top w:color="808080" w:space="0" w:sz="4" w:val="single"/>
              <w:bottom w:color="80808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Borders>
              <w:top w:color="808080" w:space="0" w:sz="4" w:val="single"/>
              <w:bottom w:color="80808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r>
        <w:rPr>
          <w:rtl w:val="0"/>
        </w:rPr>
      </w:r>
    </w:p>
    <w:p w:rsidR="00000000" w:rsidDel="00000000" w:rsidP="00000000" w:rsidRDefault="00000000" w:rsidRPr="00000000" w14:paraId="00000261">
      <w:pPr>
        <w:pStyle w:val="Heading2"/>
        <w:rPr/>
      </w:pPr>
      <w:r>
        <w:rPr>
          <w:b w:val="1"/>
          <w:bCs w:val="1"/>
          <w:rtl w:val="0"/>
        </w:rPr>
        <w:t xml:space="preserve">3.3 Diseño experimental con grupo de control</w:t>
      </w:r>
      <w:r>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6cuucl3rvqs2" w:id="33"/>
    <w:bookmarkEnd w:id="3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p w:rsidR="00000000" w:rsidDel="00000000" w:rsidP="00000000" w:rsidRDefault="00000000" w:rsidRPr="00000000" w14:paraId="00000264">
      <w:pPr>
        <w:pStyle w:val="Heading2"/>
        <w:rPr/>
      </w:pPr>
      <w:r>
        <w:rPr>
          <w:b w:val="1"/>
          <w:bCs w:val="1"/>
          <w:rtl w:val="0"/>
        </w:rPr>
        <w:t xml:space="preserve">3.4 Variables e indicadores</w:t>
      </w:r>
      <w:r>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r>
        <w:rPr>
          <w:rtl w:val="0"/>
        </w:rPr>
      </w:r>
    </w:p>
    <w:tbl>
      <w:tblPr>
        <w:tblStyle w:val="Table7"/>
        <w:tblW w:w="9071" w:type="dxa"/>
        <w:jc w:val="left"/>
        <w:tblBorders>
          <w:top w:color="000000" w:space="0" w:sz="8" w:val="single"/>
          <w:bottom w:color="000000" w:space="0" w:sz="8" w:val="single"/>
          <w:insideH w:color="808080" w:space="0" w:sz="4" w:val="single"/>
        </w:tblBorders>
        <w:tblLayout w:type="fixed"/>
        <w:tblLook w:val="0000"/>
      </w:tblPr>
      <w:tblGrid>
        <w:gridCol w:w="1560"/>
        <w:gridCol w:w="2233"/>
        <w:gridCol w:w="880"/>
        <w:gridCol w:w="960"/>
        <w:gridCol w:w="1250"/>
        <w:gridCol w:w="950"/>
        <w:gridCol w:w="1238"/>
        <w:tblGridChange w:id="0">
          <w:tblGrid>
            <w:gridCol w:w="1560"/>
            <w:gridCol w:w="2233"/>
            <w:gridCol w:w="880"/>
            <w:gridCol w:w="960"/>
            <w:gridCol w:w="1250"/>
            <w:gridCol w:w="950"/>
            <w:gridCol w:w="1238"/>
          </w:tblGrid>
        </w:tblGridChange>
      </w:tblGrid>
      <w:tr>
        <w:trPr>
          <w:cantSplit w:val="1"/>
          <w:tblHeader w:val="1"/>
        </w:trPr>
        <w:tc>
          <w:tcPr>
            <w:tcBorders>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w:t>
            </w:r>
          </w:p>
        </w:tc>
        <w:tc>
          <w:tcPr>
            <w:tcBorders>
              <w:top w:color="808080" w:space="0" w:sz="4" w:val="single"/>
              <w:bottom w:color="808080" w:space="0" w:sz="4" w:val="single"/>
            </w:tcBorders>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w:t>
              <w:softHyphen/>
              <w:t xml:space="preserve">tuales</w:t>
            </w:r>
          </w:p>
        </w:tc>
        <w:tc>
          <w:tcPr>
            <w:tcBorders>
              <w:top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r>
        <w:rPr>
          <w:rtl w:val="0"/>
        </w:rPr>
      </w:r>
    </w:p>
    <w:bookmarkStart w:colFirst="0" w:colLast="0" w:name="11whpwu9w4bt" w:id="34"/>
    <w:bookmarkEnd w:id="3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r>
        <w:rPr>
          <w:rtl w:val="0"/>
        </w:rPr>
      </w:r>
    </w:p>
    <w:p w:rsidR="00000000" w:rsidDel="00000000" w:rsidP="00000000" w:rsidRDefault="00000000" w:rsidRPr="00000000" w14:paraId="000002B1">
      <w:pPr>
        <w:pStyle w:val="Heading2"/>
        <w:rPr/>
      </w:pPr>
      <w:r>
        <w:rPr>
          <w:b w:val="1"/>
          <w:bCs w:val="1"/>
          <w:rtl w:val="0"/>
        </w:rPr>
        <w:t xml:space="preserve">3.5 Herramientas utilizadas</w:t>
      </w:r>
      <w:r>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se apoya en el registro estructurado en JSON con structlog, en consultas SQL sobre PostgreSQL y en scripts de shell que ejecutan las baterías. El procesamiento usa pandas para agregar la latencia (lab/latencia.py); scripts/p99_bootstrap.py y scripts/analisis_control.py calculan los percentiles con la misma interpolación lineal, solo con la biblioteca estándar de Python.</w:t>
      </w:r>
    </w:p>
    <w:bookmarkStart w:colFirst="0" w:colLast="0" w:name="rrukuyvn5704" w:id="35"/>
    <w:bookmarkEnd w:id="3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Las del frontend usan Vitest con Testing Library, y las de extremo a extremo, Playwright. Completan la batería verificadores estáticos de tipos y de estilo.</w:t>
      </w:r>
    </w:p>
    <w:p w:rsidR="00000000" w:rsidDel="00000000" w:rsidP="00000000" w:rsidRDefault="00000000" w:rsidRPr="00000000" w14:paraId="000002B5">
      <w:pPr>
        <w:pStyle w:val="Heading2"/>
        <w:rPr/>
      </w:pPr>
      <w:r>
        <w:rPr>
          <w:b w:val="1"/>
          <w:bCs w:val="1"/>
          <w:rtl w:val="0"/>
        </w:rPr>
        <w:t xml:space="preserve">3.6 Técnicas de recolección</w:t>
      </w:r>
      <w:r>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r>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latencia objetivo es (a)→(c), pero el arnés mide (b)→(c): el agente estampa detected_at después de leer el evento, resolver la ruta y consultar /proc (agent/detector.py). El intervalo medido excluye, así, la permanencia en la cola del núcleo y es una cota inferior de la latencia real. La resolución de nanosegundos de las marcas no implica una exactitud de ese orden.</w:t>
      </w:r>
      <w:r>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r>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r>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r>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r>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de modo que el trabajo no informa el acuerdo entre evaluadores con el coeficiente kappa de Cohen.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w:t>
      </w:r>
      <w:r>
        <w:rPr>
          <w:rtl w:val="0"/>
        </w:rPr>
      </w:r>
    </w:p>
    <w:bookmarkStart w:colFirst="0" w:colLast="0" w:name="fe1tn64w9pc8" w:id="36"/>
    <w:bookmarkEnd w:id="36"/>
    <w:p w:rsidR="00000000" w:rsidDel="00000000" w:rsidP="00000000" w:rsidRDefault="00000000" w:rsidRPr="00000000" w14:paraId="000002BD">
      <w:pPr>
        <w:pStyle w:val="Heading2"/>
        <w:rPr/>
      </w:pPr>
      <w:r>
        <w:rPr>
          <w:b w:val="1"/>
          <w:bCs w:val="1"/>
          <w:rtl w:val="0"/>
        </w:rPr>
        <w:t xml:space="preserve">3.7 Protocolo experimental</w:t>
      </w:r>
      <w:r>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El servidor central corre en Docker Compose sobre un equipo físico, y el agente, como servicio nativo bajo systemd, en una máquina virtual multipass del mismo equipo, enlazada por su red virtual; el grupo de control escanea el mismo directorio que el agente, con su propia línea base. La Tabla 7 detalla el hardware, los núcleos y las versiones.</w:t>
      </w:r>
      <w:r>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r>
        <w:rPr>
          <w:rtl w:val="0"/>
        </w:rPr>
      </w:r>
    </w:p>
    <w:tbl>
      <w:tblPr>
        <w:tblStyle w:val="Table8"/>
        <w:tblW w:w="8889"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r>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6klrlqg1tenp" w:id="37"/>
    <w:bookmarkEnd w:id="37"/>
    <w:bookmarkStart w:colFirst="0" w:colLast="0" w:name="kuuc25b08i3x" w:id="38"/>
    <w:bookmarkEnd w:id="3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E3">
      <w:pPr>
        <w:pStyle w:val="Heading2"/>
        <w:rPr/>
      </w:pPr>
      <w:r>
        <w:rPr>
          <w:b w:val="1"/>
          <w:bCs w:val="1"/>
          <w:rtl w:val="0"/>
        </w:rPr>
        <w:t xml:space="preserve">3.8 Gestión del proceso de desarrollo y verificación de consistencia</w:t>
      </w:r>
      <w:r>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entrega-tesis-v11,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r>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El documento las corrige en las Tablas 9 y 30, en el Anexo D y en el apartado 3.3.</w:t>
      </w:r>
    </w:p>
    <w:bookmarkStart w:colFirst="0" w:colLast="0" w:name="2v4ymtc75wrd" w:id="39"/>
    <w:bookmarkEnd w:id="39"/>
    <w:p w:rsidR="00000000" w:rsidDel="00000000" w:rsidP="00000000" w:rsidRDefault="00000000" w:rsidRPr="00000000" w14:paraId="000002E9">
      <w:pPr>
        <w:pStyle w:val="Heading1"/>
        <w:rPr/>
      </w:pPr>
      <w:r>
        <w:rPr>
          <w:b w:val="1"/>
          <w:bCs w:val="1"/>
          <w:rtl w:val="0"/>
        </w:rPr>
        <w:t xml:space="preserve">CAPÍTULO 4. DESARROLLO DE LA INVESTIGACIÓN</w:t>
      </w:r>
      <w:r>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EB">
      <w:pPr>
        <w:pStyle w:val="Heading2"/>
        <w:rPr/>
      </w:pPr>
      <w:r>
        <w:rPr>
          <w:b w:val="1"/>
          <w:bCs w:val="1"/>
          <w:rtl w:val="0"/>
        </w:rPr>
        <w:t xml:space="preserve">4.1 Arquitectura general y distribución física</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2066959"/>
            <wp:effectExtent b="0" l="0" r="0" t="0"/>
            <wp:docPr descr="Figura 1. Arquitectura del sistema: agentes nativos en anfitriones Linux detectan cambios con fanotify y envían eventos por Valkey Streams con TLS a un servidor central con backend FastAPI, PostgreSQL, n8n y la consola React; el canal agente-backend usa TLS mutuo." id="1" name="image1.png"/>
            <a:graphic>
              <a:graphicData uri="http://schemas.openxmlformats.org/drawingml/2006/picture">
                <pic:pic>
                  <pic:nvPicPr>
                    <pic:cNvPr descr="Figura 1. Arquitectura del sistema: agentes nativos en anfitriones Linux detectan cambios con fanotify y envían eventos por Valkey Streams con TLS a un servidor central con backend FastAPI, PostgreSQL, n8n y la consola React; el canal agente-backend usa TLS mutuo." id="0" name="image1.png"/>
                    <pic:cNvPicPr preferRelativeResize="0"/>
                  </pic:nvPicPr>
                  <pic:blipFill>
                    <a:blip r:embed="rId13">
                      <a:extLst>
                        <a:ext uri="{96DAC541-7B7A-43D3-8B79-37D633B846F1}">
                          <asvg:svgBlip xmlns:asvg="http://schemas.microsoft.com/office/drawing/2016/SVG/main" r:embed="rIdSvgfig1"/>
                        </a:ext>
                      </a:extLst>
                    </a:blip>
                    <a:srcRect b="0" l="0" r="0" t="0"/>
                    <a:stretch>
                      <a:fillRect/>
                    </a:stretch>
                  </pic:blipFill>
                  <pic:spPr>
                    <a:xfrm>
                      <a:off x="0" y="0"/>
                      <a:ext cx="5760000" cy="2066959"/>
                    </a:xfrm>
                    <a:prstGeom prst="rect"/>
                    <a:ln/>
                  </pic:spPr>
                </pic:pic>
              </a:graphicData>
            </a:graphic>
          </wp:inline>
        </w:drawing>
      </w:r>
      <w:r>
        <w:rPr>
          <w:rtl w:val="0"/>
        </w:rPr>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r>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el stack con sus versiones.</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Stack tecnológico por componente</w:t>
      </w:r>
      <w:r>
        <w:rPr>
          <w:rtl w:val="0"/>
        </w:rPr>
      </w:r>
    </w:p>
    <w:tbl>
      <w:tblPr>
        <w:tblStyle w:val="Table9"/>
        <w:tblW w:w="8888"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y en la instalación nativa (agent/install.sh)</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312">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blHeader w:val="0"/>
        </w:trPr>
        <w:tc>
          <w:tcPr>
            <w:tcBorders>
              <w:top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s1956fjcv37b" w:id="40"/>
    <w:bookmarkEnd w:id="40"/>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Python 3.13, que agent/install.sh exige en forma exacta; como Ubuntu 24.04 trae Python 3.12, la instalación nativa requiere instalar 3.13 aparte; en la evaluación, la máquina virtual del agente usó Python 3.13.15 (env/versions.txt). El agente no depende de envoltorios de terceros para fanotify (apartado 2.6). El docstring de agent/_fanotify.py, que no se modificó para no alterar el código evaluado, menciona el núcleo 5.1; el requisito efectivo es 5.9, por FAN_REPORT_DFID_NAME (apartado 2.6), y su corrección queda prevista para v6.0-tesis (apartado 8.1).</w:t>
      </w:r>
      <w:r>
        <w:rPr>
          <w:rtl w:val="0"/>
        </w:rPr>
      </w:r>
    </w:p>
    <w:bookmarkStart w:colFirst="0" w:colLast="0" w:name="v217k17is39q" w:id="41"/>
    <w:bookmarkEnd w:id="41"/>
    <w:p w:rsidR="00000000" w:rsidDel="00000000" w:rsidP="00000000" w:rsidRDefault="00000000" w:rsidRPr="00000000" w14:paraId="00000345">
      <w:pPr>
        <w:pStyle w:val="Heading2"/>
        <w:rPr/>
      </w:pPr>
      <w:r>
        <w:rPr>
          <w:b w:val="1"/>
          <w:bCs w:val="1"/>
          <w:rtl w:val="0"/>
        </w:rPr>
        <w:t xml:space="preserve">4.2 Esquema de persistencia</w:t>
      </w:r>
      <w:r>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 La cadena de eventos superados admite, además, una compactación: cuando una ruta acumula más de diez, el backend depura los más antiguos, con la misma salvedad.</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descr="Figura 2. Modelo entidad-relación de las once tablas de PostgreSQL, con events en el centro, su referencia al agente, al operador que lo resuelve y a su evento padre." id="3" name="image7.png"/>
            <a:graphic>
              <a:graphicData uri="http://schemas.openxmlformats.org/drawingml/2006/picture">
                <pic:pic>
                  <pic:nvPicPr>
                    <pic:cNvPr descr="Figura 2. Modelo entidad-relación de las once tablas de PostgreSQL, con events en el centro, su referencia al agente, al operador que lo resuelve y a su evento padre." id="0" name="image7.png"/>
                    <pic:cNvPicPr preferRelativeResize="0"/>
                  </pic:nvPicPr>
                  <pic:blipFill>
                    <a:blip r:embed="rId14">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r>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r>
        <w:rPr>
          <w:rtl w:val="0"/>
        </w:rPr>
      </w:r>
    </w:p>
    <w:tbl>
      <w:tblPr>
        <w:tblStyle w:val="Table10"/>
        <w:tblW w:w="8979" w:type="dxa"/>
        <w:jc w:val="left"/>
        <w:tblBorders>
          <w:top w:color="000000" w:space="0" w:sz="8" w:val="single"/>
          <w:bottom w:color="000000" w:space="0" w:sz="8" w:val="single"/>
          <w:insideH w:color="808080" w:space="0" w:sz="4" w:val="single"/>
        </w:tblBorders>
        <w:tblLayout w:type="fixed"/>
        <w:tblLook w:val="0020"/>
      </w:tblPr>
      <w:tblGrid>
        <w:gridCol w:w="2200"/>
        <w:gridCol w:w="6779"/>
        <w:tblGridChange w:id="0">
          <w:tblGrid>
            <w:gridCol w:w="2200"/>
            <w:gridCol w:w="6779"/>
          </w:tblGrid>
        </w:tblGridChange>
      </w:tblGrid>
      <w:tr>
        <w:trPr>
          <w:cantSplit w:val="1"/>
          <w:tblHeader w:val="1"/>
        </w:trPr>
        <w:tc>
          <w:tcP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blHeader w:val="0"/>
        </w:trPr>
        <w:tc>
          <w:tcPr>
            <w:tcBorders>
              <w:top w:color="808080" w:space="0" w:sz="4" w:val="single"/>
            </w:tcBorders>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r>
        <w:rPr>
          <w:rtl w:val="0"/>
        </w:rPr>
      </w:r>
    </w:p>
    <w:p w:rsidR="00000000" w:rsidDel="00000000" w:rsidP="00000000" w:rsidRDefault="00000000" w:rsidRPr="00000000" w14:paraId="00000369">
      <w:pPr>
        <w:pStyle w:val="Heading2"/>
        <w:rPr/>
      </w:pPr>
      <w:r>
        <w:rPr>
          <w:b w:val="1"/>
          <w:bCs w:val="1"/>
          <w:rtl w:val="0"/>
        </w:rPr>
        <w:t xml:space="preserve">4.3 Flujo del agente de monitoreo</w:t>
      </w:r>
      <w:r>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334596"/>
            <wp:effectExtent b="0" l="0" r="0" t="0"/>
            <wp:docPr descr="Figura 3. Flujo del agente en tres fases: arranque secuencial con reconciliación de la línea base, operación que procesa los eventos de fanotify según las reglas, y sincronización concurrente de latidos, confirmaciones y cola en orden FIFO." id="2" name="image4.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15">
                      <a:extLst>
                        <a:ext uri="{96DAC541-7B7A-43D3-8B79-37D633B846F1}">
                          <asvg:svgBlip xmlns:asvg="http://schemas.microsoft.com/office/drawing/2016/SVG/main" r:embed="rIdSvgfig3"/>
                        </a:ext>
                      </a:extLst>
                    </a:blip>
                    <a:srcRect b="0" l="0" r="0" t="0"/>
                    <a:stretch>
                      <a:fillRect/>
                    </a:stretch>
                  </pic:blipFill>
                  <pic:spPr>
                    <a:xfrm>
                      <a:off x="0" y="0"/>
                      <a:ext cx="5760000" cy="3334596"/>
                    </a:xfrm>
                    <a:prstGeom prst="rect"/>
                    <a:ln/>
                  </pic:spPr>
                </pic:pic>
              </a:graphicData>
            </a:graphic>
          </wp:inline>
        </w:drawing>
      </w:r>
      <w:r>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r>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r>
        <w:rPr>
          <w:rtl w:val="0"/>
        </w:rPr>
      </w:r>
    </w:p>
    <w:tbl>
      <w:tblPr>
        <w:tblStyle w:val="Table11"/>
        <w:tblW w:w="8888"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blHeader w:val="0"/>
        </w:trPr>
        <w:tc>
          <w:tcPr>
            <w:tcBorders>
              <w:top w:color="808080" w:space="0" w:sz="4" w:val="single"/>
            </w:tcBorders>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r2287ypy60xh" w:id="42"/>
            <w:bookmarkEnd w:id="42"/>
            <w:r>
              <w:rPr>
                <w:rtl w:val="0"/>
              </w:rPr>
            </w:r>
          </w:p>
        </w:tc>
      </w:tr>
    </w:tbl>
    <w:p w:rsidR="00000000" w:rsidDel="00000000" w:rsidP="00000000" w:rsidRDefault="00000000" w:rsidRPr="00000000" w14:paraId="00000384">
      <w:pPr>
        <w:pStyle w:val="Heading2"/>
        <w:rPr/>
      </w:pPr>
      <w:r>
        <w:rPr>
          <w:b w:val="1"/>
          <w:bCs w:val="1"/>
          <w:rtl w:val="0"/>
        </w:rPr>
        <w:t xml:space="preserve">4.4 Motor de decisión, cadena superseded y protocolo ACK</w:t>
      </w:r>
      <w:r>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descr="Figura 4. Secuencia del protocolo de entrega: el agente publica el evento firmado, el backend lo consume, lo persiste sin duplicados y confirma con XACK y event_ack, y el agente borra la entrada de su cola local." id="5" name="image10.png"/>
            <a:graphic>
              <a:graphicData uri="http://schemas.openxmlformats.org/drawingml/2006/picture">
                <pic:pic>
                  <pic:nvPicPr>
                    <pic:cNvPr descr="Figura 4. Secuencia del protocolo de entrega: el agente publica el evento firmado, el backend lo consume, lo persiste sin duplicados y confirma con XACK y event_ack, y el agente borra la entrada de su cola local." id="0" name="image10.png"/>
                    <pic:cNvPicPr preferRelativeResize="0"/>
                  </pic:nvPicPr>
                  <pic:blipFill>
                    <a:blip r:embed="rId16">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r>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El diagrama se generó con inteligencia artificial a partir de su fuente versionada en tesis/figuras/, y los autores lo revisaron contra el sistema (apartado 9.1.2). La fuente tesis/figuras/fig4.mmd no fija una tipografía, y el texto se incrusta convertido a trazos.</w:t>
      </w:r>
      <w:r>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14:paraId="00000391">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14:paraId="00000392">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14:paraId="00000393">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14:paraId="00000394">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14:paraId="00000395">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14:paraId="00000396">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14:paraId="00000397">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14:paraId="00000398">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14:paraId="00000399">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9B">
      <w:pPr>
        <w:pStyle w:val="Heading2"/>
        <w:rPr/>
      </w:pPr>
      <w:r>
        <w:rPr>
          <w:b w:val="1"/>
          <w:bCs w:val="1"/>
          <w:rtl w:val="0"/>
        </w:rPr>
        <w:t xml:space="preserve">4.5 Flujo del backend: lifecycle formal, bloqueo optimista y anti-replay</w:t>
      </w:r>
      <w:r>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descr="Figura 5. Máquina de estados del evento: pending pasa a approved, rejected o superseded; auto_restored, quarantined y alert_only son estados terminales que crea el agente." id="4" name="image5.png"/>
            <a:graphic>
              <a:graphicData uri="http://schemas.openxmlformats.org/drawingml/2006/picture">
                <pic:pic>
                  <pic:nvPicPr>
                    <pic:cNvPr descr="Figura 5. Máquina de estados del evento: pending pasa a approved, rejected o superseded; auto_restored, quarantined y alert_only son estados terminales que crea el agente." id="0" name="image5.png"/>
                    <pic:cNvPicPr preferRelativeResize="0"/>
                  </pic:nvPicPr>
                  <pic:blipFill>
                    <a:blip r:embed="rId17">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r>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r>
        <w:rPr>
          <w:rtl w:val="0"/>
        </w:rPr>
      </w:r>
    </w:p>
    <w:tbl>
      <w:tblPr>
        <w:tblStyle w:val="Table12"/>
        <w:tblW w:w="8889"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r>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osncl15fi8lf" w:id="43"/>
    <w:bookmarkEnd w:id="43"/>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C3">
      <w:pPr>
        <w:pStyle w:val="Heading2"/>
        <w:rPr/>
      </w:pPr>
      <w:r>
        <w:rPr>
          <w:b w:val="1"/>
          <w:bCs w:val="1"/>
          <w:rtl w:val="0"/>
        </w:rPr>
        <w:t xml:space="preserve">4.6 Frontend administrativo y hardening web</w:t>
      </w:r>
      <w:r>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5965850"/>
            <wp:effectExtent b="0" l="0" r="0" t="0"/>
            <wp:docPr descr="Figura 6. Captura del panel de la consola con contadores de eventos por estado, estado de agentes e infraestructura y aviso de notificaciones pendientes." id="7" name="image6.png"/>
            <a:graphic>
              <a:graphicData uri="http://schemas.openxmlformats.org/drawingml/2006/picture">
                <pic:pic>
                  <pic:nvPicPr>
                    <pic:cNvPr descr="Figura 6. Captura del panel de la consola con contadores de eventos por estado, estado de agentes e infraestructura y aviso de notificaciones pendientes." id="0" name="image6.png"/>
                    <pic:cNvPicPr preferRelativeResize="0"/>
                  </pic:nvPicPr>
                  <pic:blipFill>
                    <a:blip r:embed="rId18"/>
                    <a:srcRect b="0" l="0" r="0" t="0"/>
                    <a:stretch>
                      <a:fillRect/>
                    </a:stretch>
                  </pic:blipFill>
                  <pic:spPr>
                    <a:xfrm>
                      <a:off x="0" y="0"/>
                      <a:ext cx="5760000" cy="5965850"/>
                    </a:xfrm>
                    <a:prstGeom prst="rect"/>
                    <a:ln/>
                  </pic:spPr>
                </pic:pic>
              </a:graphicData>
            </a:graphic>
          </wp:inline>
        </w:drawing>
      </w:r>
      <w:r>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Dashboard con contadores por estado, estado de agentes e infraestructura, y aviso de notificaciones pendientes</w:t>
      </w:r>
      <w:r>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4791708"/>
            <wp:effectExtent b="0" l="0" r="0" t="0"/>
            <wp:docPr descr="Figura 7. Captura de la lista de eventos de la consola, con filtros por estado, severidad, ruta y fechas y un control para incluir eventos superseded." id="6" name="image2.png"/>
            <a:graphic>
              <a:graphicData uri="http://schemas.openxmlformats.org/drawingml/2006/picture">
                <pic:pic>
                  <pic:nvPicPr>
                    <pic:cNvPr descr="Figura 7. Captura de la lista de eventos de la consola, con filtros por estado, severidad, ruta y fechas y un control para incluir eventos superseded." id="0" name="image2.png"/>
                    <pic:cNvPicPr preferRelativeResize="0"/>
                  </pic:nvPicPr>
                  <pic:blipFill>
                    <a:blip r:embed="rId19"/>
                    <a:srcRect b="0" l="0" r="0" t="0"/>
                    <a:stretch>
                      <a:fillRect/>
                    </a:stretch>
                  </pic:blipFill>
                  <pic:spPr>
                    <a:xfrm>
                      <a:off x="0" y="0"/>
                      <a:ext cx="5760000" cy="4791708"/>
                    </a:xfrm>
                    <a:prstGeom prst="rect"/>
                    <a:ln/>
                  </pic:spPr>
                </pic:pic>
              </a:graphicData>
            </a:graphic>
          </wp:inline>
        </w:drawing>
      </w:r>
      <w:r>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Lista de eventos con controles de filtrado y de inclusión de eventos superseded</w:t>
      </w:r>
      <w:r>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La vista filtra por estado, severidad, prefijo de ruta y fechas, e incluye los eventos superseded mediante un control separado. En la captura, el filtro de estado muestra los eventos auto_restored: dos eventos de severidad alta del 16 de septiembre de 2026, anteriores a la corrida evaluada y ajenos a ella, que no son resultados de la evaluación. La captura no muestra una cadena de eventos superados, cuya evidencia funcional figura en el Anexo G.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E">
      <w:pPr>
        <w:pStyle w:val="Heading2"/>
        <w:rPr/>
      </w:pPr>
      <w:r>
        <w:rPr>
          <w:b w:val="1"/>
          <w:bCs w:val="1"/>
          <w:rtl w:val="0"/>
        </w:rPr>
        <w:t xml:space="preserve">4.7 Orquestación de notificaciones con alternativas automáticas</w:t>
      </w:r>
      <w:r>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884943"/>
            <wp:effectExtent b="0" l="0" r="0" t="0"/>
            <wp:docPr descr="Figura 8. Cascada de notificación: el backend intenta n8n y, si falla o no está configurado, recurre a SMTP directo, a un webhook alternativo y finalmente al registro de la alerta fallida." id="9" name="image8.png"/>
            <a:graphic>
              <a:graphicData uri="http://schemas.openxmlformats.org/drawingml/2006/picture">
                <pic:pic>
                  <pic:nvPicPr>
                    <pic:cNvPr descr="Figura 8. Cascada de notificación: el backend intenta n8n y, si falla o no está configurado, recurre a SMTP directo, a un webhook alternativo y finalmente al registro de la alerta fallida." id="0" name="image8.png"/>
                    <pic:cNvPicPr preferRelativeResize="0"/>
                  </pic:nvPicPr>
                  <pic:blipFill>
                    <a:blip r:embed="rId20">
                      <a:extLst>
                        <a:ext uri="{96DAC541-7B7A-43D3-8B79-37D633B846F1}">
                          <asvg:svgBlip xmlns:asvg="http://schemas.microsoft.com/office/drawing/2016/SVG/main" r:embed="rIdSvgfig8"/>
                        </a:ext>
                      </a:extLst>
                    </a:blip>
                    <a:srcRect b="0" l="0" r="0" t="0"/>
                    <a:stretch>
                      <a:fillRect/>
                    </a:stretch>
                  </pic:blipFill>
                  <pic:spPr>
                    <a:xfrm>
                      <a:off x="0" y="0"/>
                      <a:ext cx="5760000" cy="3884943"/>
                    </a:xfrm>
                    <a:prstGeom prst="rect"/>
                    <a:ln/>
                  </pic:spPr>
                </pic:pic>
              </a:graphicData>
            </a:graphic>
          </wp:inline>
        </w:drawing>
      </w:r>
      <w:r>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NotificationDispatcher: cascada de alternativas automáticas</w:t>
      </w:r>
      <w:r>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r>
        <w:rPr>
          <w:rtl w:val="0"/>
        </w:rPr>
      </w:r>
    </w:p>
    <w:tbl>
      <w:tblPr>
        <w:tblStyle w:val="Table13"/>
        <w:tblW w:w="8889"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blHeader w:val="0"/>
        </w:trPr>
        <w:tc>
          <w:tcPr>
            <w:tcBorders>
              <w:top w:color="808080" w:space="0" w:sz="4" w:val="single"/>
            </w:tcBorders>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axi6uc1lrpxz" w:id="44"/>
            <w:bookmarkEnd w:id="44"/>
            <w:r>
              <w:rPr>
                <w:rtl w:val="0"/>
              </w:rPr>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r>
        <w:rPr>
          <w:rtl w:val="0"/>
        </w:rPr>
      </w:r>
    </w:p>
    <w:p w:rsidR="00000000" w:rsidDel="00000000" w:rsidP="00000000" w:rsidRDefault="00000000" w:rsidRPr="00000000" w14:paraId="000003EC">
      <w:pPr>
        <w:pStyle w:val="Heading2"/>
        <w:rPr/>
      </w:pPr>
      <w:r>
        <w:rPr>
          <w:b w:val="1"/>
          <w:bCs w:val="1"/>
          <w:rtl w:val="0"/>
        </w:rPr>
        <w:t xml:space="preserve">4.8 Seguridad criptográfica del sistema</w:t>
      </w:r>
      <w:r>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r>
        <w:rPr>
          <w:rtl w:val="0"/>
        </w:rPr>
      </w:r>
    </w:p>
    <w:tbl>
      <w:tblPr>
        <w:tblStyle w:val="Table14"/>
        <w:tblW w:w="8889"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blHeader w:val="0"/>
        </w:trPr>
        <w:tc>
          <w:tcPr>
            <w:tcBorders>
              <w:top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40F">
      <w:pPr>
        <w:pStyle w:val="Heading2"/>
        <w:rPr/>
      </w:pPr>
      <w:r>
        <w:rPr>
          <w:b w:val="1"/>
          <w:bCs w:val="1"/>
          <w:rtl w:val="0"/>
        </w:rPr>
        <w:t xml:space="preserve">4.9 Organización del código y estrategia de verificación</w:t>
      </w:r>
      <w:r>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ordena nueve operaciones (apartado 4.4): las precondiciones anteceden a la actualización optimista, la auditoría y la inserción del comando en la bandeja de salida transaccional preceden a la confirmación, y la publicación la sigue.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registran 811 pruebas del agente, con 1 omitida; 1.106 del backend, con 4 omitidas; y 298 de la consola, sin fallas ni errores en ninguna (Tabla 23). Una corrida posterior sobre la misma etiqueta midió la cobertura de líneas: 82,09 % en el agente, 94,98 % en backend/app y 88,33 % en la consola, que registra además 77,30 % de funciones y 84,02 % de ramas.</w:t>
      </w:r>
      <w:r>
        <w:rPr>
          <w:rtl w:val="0"/>
        </w:rPr>
      </w:r>
    </w:p>
    <w:p w:rsidR="00000000" w:rsidDel="00000000" w:rsidP="00000000" w:rsidRDefault="00000000" w:rsidRPr="00000000" w14:paraId="00000416">
      <w:pPr>
        <w:pStyle w:val="Heading2"/>
        <w:rPr/>
      </w:pPr>
      <w:r>
        <w:rPr>
          <w:b w:val="1"/>
          <w:bCs w:val="1"/>
          <w:rtl w:val="0"/>
        </w:rPr>
        <w:t xml:space="preserve">4.10 Contenedorización del servidor central y despliegue del agente</w:t>
      </w:r>
      <w:r>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evflubgh3tri" w:id="45"/>
    <w:bookmarkEnd w:id="45"/>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41A">
      <w:pPr>
        <w:pStyle w:val="Heading2"/>
        <w:rPr/>
      </w:pPr>
      <w:r>
        <w:rPr>
          <w:b w:val="1"/>
          <w:bCs w:val="1"/>
          <w:rtl w:val="0"/>
        </w:rPr>
        <w:t xml:space="preserve">4.11 Operaciones y observabilidad</w:t>
      </w:r>
      <w:r>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r>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kaq8a0tg7nj9" w:id="46"/>
    <w:bookmarkEnd w:id="46"/>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6225tt8f2i6f" w:id="47"/>
    <w:bookmarkEnd w:id="47"/>
    <w:p w:rsidR="00000000" w:rsidDel="00000000" w:rsidP="00000000" w:rsidRDefault="00000000" w:rsidRPr="00000000" w14:paraId="00000423">
      <w:pPr>
        <w:pStyle w:val="Heading2"/>
        <w:rPr/>
      </w:pPr>
      <w:r>
        <w:rPr>
          <w:b w:val="1"/>
          <w:bCs w:val="1"/>
          <w:rtl w:val="0"/>
        </w:rPr>
        <w:t xml:space="preserve">4.12 Estado del sistema y auditoría interna de consistencia</w:t>
      </w:r>
      <w:r>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r>
        <w:rPr>
          <w:rtl w:val="0"/>
        </w:rPr>
      </w:r>
    </w:p>
    <w:tbl>
      <w:tblPr>
        <w:tblStyle w:val="Table15"/>
        <w:tblW w:w="8889"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entrega-tesis-v11); 128 al 2 de julio de 2026</w:t>
            </w:r>
            <w:r>
              <w:rPr>
                <w:rtl w:val="0"/>
              </w:rPr>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regla → implementación → prueba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blHeader w:val="0"/>
        </w:trPr>
        <w:tc>
          <w:tcPr>
            <w:tcBorders>
              <w:top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r>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r>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r>
        <w:rPr>
          <w:rtl w:val="0"/>
        </w:rPr>
      </w:r>
    </w:p>
    <w:tbl>
      <w:tblPr>
        <w:tblStyle w:val="Table16"/>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Change w:id="0">
          <w:tblGrid>
            <w:gridCol w:w="1900"/>
            <w:gridCol w:w="2350"/>
            <w:gridCol w:w="2300"/>
            <w:gridCol w:w="2430"/>
          </w:tblGrid>
        </w:tblGridChange>
      </w:tblGrid>
      <w:tr>
        <w:trPr>
          <w:cantSplit w:val="1"/>
          <w:tblHeader w:val="1"/>
        </w:trPr>
        <w:tc>
          <w:tcPr>
            <w:vAlign w:val="bottom"/>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r>
              <w:rPr>
                <w:rtl w:val="0"/>
              </w:rPr>
            </w:r>
          </w:p>
        </w:tc>
        <w:tc>
          <w:tcPr>
            <w:vAlign w:val="bottom"/>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r>
              <w:rPr>
                <w:rtl w:val="0"/>
              </w:rPr>
            </w:r>
          </w:p>
        </w:tc>
        <w:tc>
          <w:tcPr>
            <w:vAlign w:val="bottom"/>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r>
              <w:rPr>
                <w:rtl w:val="0"/>
              </w:rPr>
            </w:r>
          </w:p>
        </w:tc>
        <w:tc>
          <w:tcPr>
            <w:vAlign w:val="bottom"/>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Borders>
              <w:top w:color="808080" w:space="0" w:sz="4" w:val="single"/>
              <w:bottom w:color="808080" w:space="0" w:sz="4" w:val="single"/>
            </w:tcBorders>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Borders>
              <w:top w:color="808080" w:space="0" w:sz="4" w:val="single"/>
              <w:bottom w:color="808080" w:space="0" w:sz="4" w:val="single"/>
            </w:tcBorders>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Borders>
              <w:top w:color="808080" w:space="0" w:sz="4" w:val="single"/>
              <w:bottom w:color="808080" w:space="0" w:sz="4" w:val="single"/>
            </w:tcBorders>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r>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el apartado 8.1 declara pendiente un plazo configurable.</w:t>
      </w:r>
    </w:p>
    <w:bookmarkStart w:colFirst="0" w:colLast="0" w:name="193k99e7lwn2" w:id="48"/>
    <w:bookmarkEnd w:id="48"/>
    <w:p w:rsidR="00000000" w:rsidDel="00000000" w:rsidP="00000000" w:rsidRDefault="00000000" w:rsidRPr="00000000" w14:paraId="00000474">
      <w:pPr>
        <w:pStyle w:val="Heading1"/>
        <w:rPr/>
      </w:pPr>
      <w:r>
        <w:rPr>
          <w:b w:val="1"/>
          <w:bCs w:val="1"/>
          <w:rtl w:val="0"/>
        </w:rPr>
        <w:t xml:space="preserve">CAPÍTULO 5. RESULTADOS</w:t>
      </w:r>
      <w:r>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r>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describe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r>
        <w:rPr>
          <w:rtl w:val="0"/>
        </w:rPr>
      </w:r>
    </w:p>
    <w:tbl>
      <w:tblPr>
        <w:tblStyle w:val="Table17"/>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Change w:id="0">
          <w:tblGrid>
            <w:gridCol w:w="1150"/>
            <w:gridCol w:w="1900"/>
            <w:gridCol w:w="1300"/>
            <w:gridCol w:w="2330"/>
            <w:gridCol w:w="2300"/>
          </w:tblGrid>
        </w:tblGridChange>
      </w:tblGrid>
      <w:tr>
        <w:trPr>
          <w:cantSplit w:val="1"/>
          <w:tblHeader w:val="1"/>
        </w:trPr>
        <w:tc>
          <w:tcP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r>
              <w:rPr>
                <w:rtl w:val="0"/>
              </w:rPr>
            </w:r>
          </w:p>
        </w:tc>
        <w:tc>
          <w:tcPr>
            <w:vAlign w:val="bottom"/>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r>
              <w:rPr>
                <w:rtl w:val="0"/>
              </w:rPr>
            </w:r>
          </w:p>
        </w:tc>
        <w:tc>
          <w:tcP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Borders>
              <w:top w:color="808080" w:space="0" w:sz="4" w:val="single"/>
              <w:bottom w:color="808080" w:space="0" w:sz="4" w:val="single"/>
            </w:tcBorders>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Borders>
              <w:top w:color="808080" w:space="0" w:sz="4" w:val="single"/>
              <w:bottom w:color="808080" w:space="0" w:sz="4" w:val="single"/>
            </w:tcBorders>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Borders>
              <w:top w:color="808080" w:space="0" w:sz="4" w:val="single"/>
              <w:bottom w:color="808080" w:space="0" w:sz="4" w:val="single"/>
            </w:tcBorders>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Borders>
              <w:top w:color="808080" w:space="0" w:sz="4" w:val="single"/>
              <w:bottom w:color="808080" w:space="0" w:sz="4" w:val="single"/>
            </w:tcBorders>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Borders>
              <w:top w:color="808080" w:space="0" w:sz="4" w:val="single"/>
              <w:bottom w:color="808080" w:space="0" w:sz="4" w:val="single"/>
            </w:tcBorders>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Borders>
              <w:top w:color="808080" w:space="0" w:sz="4" w:val="single"/>
              <w:bottom w:color="808080" w:space="0" w:sz="4" w:val="single"/>
            </w:tcBorders>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Borders>
              <w:top w:color="808080" w:space="0" w:sz="4" w:val="single"/>
              <w:bottom w:color="808080" w:space="0" w:sz="4" w:val="single"/>
            </w:tcBorders>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Borders>
              <w:top w:color="808080" w:space="0" w:sz="4" w:val="single"/>
              <w:bottom w:color="808080" w:space="0" w:sz="4" w:val="single"/>
            </w:tcBorders>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Borders>
              <w:top w:color="808080" w:space="0" w:sz="4" w:val="single"/>
              <w:bottom w:color="808080" w:space="0" w:sz="4" w:val="single"/>
            </w:tcBorders>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r>
        <w:rPr>
          <w:rtl w:val="0"/>
        </w:rPr>
      </w:r>
    </w:p>
    <w:p w:rsidR="00000000" w:rsidDel="00000000" w:rsidP="00000000" w:rsidRDefault="00000000" w:rsidRPr="00000000" w14:paraId="000004A1">
      <w:pPr>
        <w:pStyle w:val="Heading2"/>
        <w:rPr/>
      </w:pPr>
      <w:r>
        <w:rPr>
          <w:b w:val="1"/>
          <w:bCs w:val="1"/>
          <w:rtl w:val="0"/>
        </w:rPr>
        <w:t xml:space="preserve">5.1 Condiciones de la evaluación de referencia</w:t>
      </w:r>
      <w:r>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indica dónde consta el SHA-256 de cada uno de sus archivos (Anexo F.1).</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4A8">
      <w:pPr>
        <w:pStyle w:val="Heading2"/>
        <w:rPr/>
      </w:pPr>
      <w:r>
        <w:rPr>
          <w:b w:val="1"/>
          <w:bCs w:val="1"/>
          <w:rtl w:val="0"/>
        </w:rPr>
        <w:t xml:space="preserve">5.2 Latencia de detección</w:t>
      </w:r>
      <w:r>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r>
        <w:rPr>
          <w:rtl w:val="0"/>
        </w:rPr>
      </w:r>
    </w:p>
    <w:tbl>
      <w:tblPr>
        <w:tblStyle w:val="Table18"/>
        <w:tblW w:w="8889"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r>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r>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r>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FA">
      <w:pPr>
        <w:pStyle w:val="Heading2"/>
        <w:rPr/>
      </w:pPr>
      <w:r>
        <w:rPr>
          <w:b w:val="1"/>
          <w:bCs w:val="1"/>
          <w:rtl w:val="0"/>
        </w:rPr>
        <w:t xml:space="preserve">5.3 Comparación pareada con el grupo de control</w:t>
      </w:r>
      <w:r>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r>
        <w:rPr>
          <w:rtl w:val="0"/>
        </w:rPr>
      </w:r>
    </w:p>
    <w:tbl>
      <w:tblPr>
        <w:tblStyle w:val="Table19"/>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r>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r>
        <w:rPr>
          <w:rtl w:val="0"/>
        </w:rPr>
      </w:r>
    </w:p>
    <w:tbl>
      <w:tblPr>
        <w:tblStyle w:val="Table20"/>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solo por el artefacto; c: detectada solo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cita el código (tesis/cierre/anexo_l/newcombe.py) que reproduce los dos intervalos y el contraste de McNemar.</w:t>
      </w:r>
      <w:r>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esa relación fija la mayor parte de la diferencia,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r>
        <w:rPr>
          <w:rtl w:val="0"/>
        </w:rPr>
      </w:r>
    </w:p>
    <w:p w:rsidR="00000000" w:rsidDel="00000000" w:rsidP="00000000" w:rsidRDefault="00000000" w:rsidRPr="00000000" w14:paraId="00000553">
      <w:pPr>
        <w:pStyle w:val="Heading2"/>
        <w:rPr/>
      </w:pPr>
      <w:r>
        <w:rPr>
          <w:b w:val="1"/>
          <w:bCs w:val="1"/>
          <w:rtl w:val="0"/>
        </w:rPr>
        <w:t xml:space="preserve">5.4 Tiempo de notificación</w:t>
      </w:r>
      <w:r>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5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r>
        <w:rPr>
          <w:rtl w:val="0"/>
        </w:rPr>
      </w:r>
    </w:p>
    <w:tbl>
      <w:tblPr>
        <w:tblStyle w:val="Table21"/>
        <w:tblW w:w="8889"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solo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r>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593">
      <w:pPr>
        <w:pStyle w:val="Heading2"/>
        <w:rPr/>
      </w:pPr>
      <w:r>
        <w:rPr>
          <w:b w:val="1"/>
          <w:bCs w:val="1"/>
          <w:rtl w:val="0"/>
        </w:rPr>
        <w:t xml:space="preserve">5.5 Resiliencia ante un corte del intermediario de mensajería</w:t>
      </w:r>
      <w:r>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r>
        <w:rPr>
          <w:rtl w:val="0"/>
        </w:rPr>
      </w:r>
    </w:p>
    <w:tbl>
      <w:tblPr>
        <w:tblStyle w:val="Table22"/>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r>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C9">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r>
        <w:rPr>
          <w:rtl w:val="0"/>
        </w:rPr>
      </w:r>
    </w:p>
    <w:p w:rsidR="00000000" w:rsidDel="00000000" w:rsidP="00000000" w:rsidRDefault="00000000" w:rsidRPr="00000000" w14:paraId="000005CA">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r>
        <w:rPr>
          <w:rtl w:val="0"/>
        </w:rPr>
      </w:r>
    </w:p>
    <w:p w:rsidR="00000000" w:rsidDel="00000000" w:rsidP="00000000" w:rsidRDefault="00000000" w:rsidRPr="00000000" w14:paraId="000005CB">
      <w:pPr>
        <w:pStyle w:val="Heading2"/>
        <w:rPr/>
      </w:pPr>
      <w:r>
        <w:rPr>
          <w:b w:val="1"/>
          <w:bCs w:val="1"/>
          <w:rtl w:val="0"/>
        </w:rPr>
        <w:t xml:space="preserve">5.6 Cobertura de automatización del triage</w:t>
      </w:r>
      <w:r>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r>
        <w:rPr>
          <w:rtl w:val="0"/>
        </w:rPr>
      </w:r>
    </w:p>
    <w:tbl>
      <w:tblPr>
        <w:tblStyle w:val="Table23"/>
        <w:tblW w:w="9071" w:type="dxa"/>
        <w:jc w:val="left"/>
        <w:tblBorders>
          <w:top w:color="000000" w:space="0" w:sz="8" w:val="single"/>
          <w:bottom w:color="000000" w:space="0" w:sz="8" w:val="single"/>
          <w:insideH w:color="808080" w:space="0" w:sz="4" w:val="single"/>
        </w:tblBorders>
        <w:tblLayout w:type="fixed"/>
        <w:tblLook w:val="0020"/>
      </w:tblPr>
      <w:tblGrid>
        <w:gridCol w:w="454"/>
        <w:gridCol w:w="2380"/>
        <w:gridCol w:w="1350"/>
        <w:gridCol w:w="1680"/>
        <w:gridCol w:w="3207"/>
        <w:tblGridChange w:id="0">
          <w:tblGrid>
            <w:gridCol w:w="454"/>
            <w:gridCol w:w="2380"/>
            <w:gridCol w:w="1350"/>
            <w:gridCol w:w="1680"/>
            <w:gridCol w:w="3207"/>
          </w:tblGrid>
        </w:tblGridChange>
      </w:tblGrid>
      <w:tr>
        <w:trPr>
          <w:cantSplit w:val="1"/>
          <w:tblHeader w:val="1"/>
        </w:trPr>
        <w:tc>
          <w:tcPr>
            <w:vAlign w:val="bottom"/>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blHeader w:val="0"/>
        </w:trPr>
        <w:tc>
          <w:tcPr>
            <w:tcBorders>
              <w:top w:color="808080" w:space="0" w:sz="4" w:val="single"/>
            </w:tcBorders>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60E">
            <w:pPr>
              <w:widowControl w:val="1"/>
              <w:spacing w:after="200" w:before="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 xml:space="preserve">Umbral ≥ 80 %: cumple.</w:t>
            </w:r>
            <w:r>
              <w:rPr>
                <w:rtl w:val="0"/>
              </w:rPr>
            </w:r>
          </w:p>
          <w:p w:rsidR="00000000" w:rsidDel="00000000" w:rsidP="00000000" w:rsidRDefault="00000000" w:rsidRPr="00000000" w14:paraId="0000060F">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r>
        <w:rPr>
          <w:rtl w:val="0"/>
        </w:rPr>
      </w:r>
    </w:p>
    <w:bookmarkStart w:colFirst="0" w:colLast="0" w:name="am4lac8b49ce" w:id="49"/>
    <w:bookmarkEnd w:id="49"/>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613">
      <w:pPr>
        <w:pStyle w:val="Heading2"/>
        <w:rPr/>
      </w:pPr>
      <w:r>
        <w:rPr>
          <w:b w:val="1"/>
          <w:bCs w:val="1"/>
          <w:rtl w:val="0"/>
        </w:rPr>
        <w:t xml:space="preserve">5.7 Suites de pruebas y cobertura de las historias de usuario</w:t>
      </w:r>
      <w:r>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6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r>
        <w:rPr>
          <w:rtl w:val="0"/>
        </w:rPr>
      </w:r>
    </w:p>
    <w:tbl>
      <w:tblPr>
        <w:tblStyle w:val="Table24"/>
        <w:tblW w:w="8889"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r>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r>
        <w:rPr>
          <w:rtl w:val="0"/>
        </w:rPr>
      </w:r>
    </w:p>
    <w:tbl>
      <w:tblPr>
        <w:tblStyle w:val="Table25"/>
        <w:tblW w:w="8889"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r>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k3u2cjc49g2f" w:id="50"/>
    <w:bookmarkEnd w:id="50"/>
    <w:bookmarkStart w:colFirst="0" w:colLast="0" w:name="94aw7lsritqh" w:id="51"/>
    <w:bookmarkEnd w:id="51"/>
    <w:bookmarkStart w:colFirst="0" w:colLast="0" w:name="ce9iol87p5t6" w:id="52"/>
    <w:bookmarkEnd w:id="52"/>
    <w:p w:rsidR="00000000" w:rsidDel="00000000" w:rsidP="00000000" w:rsidRDefault="00000000" w:rsidRPr="00000000" w14:paraId="00000658">
      <w:pPr>
        <w:pStyle w:val="Heading2"/>
        <w:rPr/>
      </w:pPr>
      <w:r>
        <w:rPr>
          <w:b w:val="1"/>
          <w:bCs w:val="1"/>
          <w:rtl w:val="0"/>
        </w:rPr>
        <w:t xml:space="preserve">5.8 Caracterización del mapeo de memoria</w:t>
      </w:r>
      <w:r>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r>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r>
        <w:rPr>
          <w:rtl w:val="0"/>
        </w:rPr>
      </w:r>
    </w:p>
    <w:tbl>
      <w:tblPr>
        <w:tblStyle w:val="Table26"/>
        <w:tblW w:w="8889"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r>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69D">
      <w:pPr>
        <w:pStyle w:val="Heading2"/>
        <w:rPr/>
      </w:pPr>
      <w:r>
        <w:rPr>
          <w:b w:val="1"/>
          <w:bCs w:val="1"/>
          <w:rtl w:val="0"/>
        </w:rPr>
        <w:t xml:space="preserve">5.9 Síntesis de criterios de aceptación</w:t>
      </w:r>
      <w:r>
        <w:rPr>
          <w:rtl w:val="0"/>
        </w:rPr>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r>
        <w:rPr>
          <w:rtl w:val="0"/>
        </w:rPr>
      </w:r>
    </w:p>
    <w:tbl>
      <w:tblPr>
        <w:tblStyle w:val="Table27"/>
        <w:tblW w:w="8889"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p>
        </w:tc>
        <w:tc>
          <w:tcPr>
            <w:tcBorders>
              <w:top w:color="808080" w:space="0" w:sz="4" w:val="single"/>
              <w:bottom w:color="808080" w:space="0" w:sz="4" w:val="single"/>
            </w:tcBorders>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80 %</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r>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CD">
      <w:pPr>
        <w:pStyle w:val="Heading1"/>
        <w:rPr/>
      </w:pPr>
      <w:r>
        <w:rPr>
          <w:b w:val="1"/>
          <w:bCs w:val="1"/>
          <w:rtl w:val="0"/>
        </w:rPr>
        <w:t xml:space="preserve">CAPÍTULO 6. DISCUSIÓN</w:t>
      </w:r>
      <w:r>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CF">
      <w:pPr>
        <w:pStyle w:val="Heading2"/>
        <w:rPr/>
      </w:pPr>
      <w:r>
        <w:rPr>
          <w:b w:val="1"/>
          <w:bCs w:val="1"/>
          <w:rtl w:val="0"/>
        </w:rPr>
        <w:t xml:space="preserve">6.1 Interpretación de los resultados obtenidos</w:t>
      </w:r>
      <w:r>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es el escenario más cercano al despliegue recomendado. Incorpora un agente nativo, mantiene n8n activo hacia un capturador SMTP local, aplica el límite de ingesta del producto, purga la línea base entre repeticiones y verifica la procedencia antes de medir (apartado 3.7). La Tabla 26 dictamina cada criterio y concluye que la hipótesis conjunta no se corrobora; este apartado busca ir más allá de ese veredicto. Para eso responde tres preguntas: qué muestran los datos, qué no muestran y qué explicaciones alternativas admiten.</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r>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Respecto de la pregunta del apartado 1.2, los datos cuantifican la proporción de la carga ensayada que el control periódico omitió. Por operación, la omisión fue del 80,4 al 85,6 %; por archivo, lo que resultó invisible para el control fue del 25,6 al 49,8 % (Tabla 18). Esas cifras no describen el escaneo periódico en general, sino este control con estos parámetros. Una parte de la omisión se deduce del propio diseño del ensayo. En cada pasada, el control registra como máximo una modificación por ruta, y con 500 operaciones sobre 100 rutas y hasta tres escaneos no puede detectar más del 60 % de ellas. La cota R·S/n fija, entonces, un piso: el control omite por lo menos el 40 % de la carga (apartado 5.3). El resto, hasta el 80,4–85,6 % observado, lo explican los dos mecanismos que cuantifica el apartado 5.3. Por un lado, los cambios sucesivos sobre una misma ruta colapsan en uno solo antes del escaneo, lo que explica entre 179 y 278 operaciones perdidas en cada réplica. Por otro, los cambios que se revierten, se borran o desaparecen dentro del ciclo no dejan rastro, lo que explica entre 128 y 249. El control es, por tanto, demostrativo: los datos miden la ventana de ceguera sobre esta carga, no la de cualquier escaneo periódico.</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apunta en la misma dirección. El control tardó entre 8,0 y 9,0 minutos en mediana, y su percentil 99 llegó a unos 15, el período del escaneo (apartado 5.3). El percentil 99 del artefacto fue de 41,73 ms (apartado 5.2), unos cuatro órdenes de magnitud menos. Esa razón no admite una lectura más fina, porque los dos intervalos no miden lo mismo (apartado 3.6). Frente a cambios dinámicos, entonces, el escaneo periódico no solo es lento: también es «ciego» a una parte de ellos, como muestra la omisión del párrafo anterior. Este contraste no valida la tesis por sí solo, porque cualquier arquitectura reactiva superaría a un escaneo cada quince minutos. Aun así, la latencia obtenida está dentro del orden documentado para la detección con eventos del núcleo. Peeler reporta medias de 115 ms (Ahmed et al., 2021); Falco, Tetragon y Tracee oscilan entre 0,42 y 1,62 s (Syairozi &amp; Arizal, 2025); y Wazuh promedia 3.033 ms en distintos escenarios de ataque (Sutanto &amp; Rakhman, 2025). Esos trabajos miden desde el inicio del ataque hasta la alerta. La comparación sirve, por eso, para situar la magnitud del tiempo de respuesta, no para afirmar que este artefacto sea más rápido (Tabla 3).</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el backend de la versión v5.1-tesis guardó cada evento encolado, sin duplicarlo y respetando el orden. Un aspecto técnico a destacar es que el control anti-replay no rechazó eventos. Una ventana basada estrictamente en el instante de detección habría rechazado en masa cualquier cola acumulada por más de cinco minutos (apartado 4.5). En cuanto a las notificaciones, se entregaron todas las alertas, aunque cada una tuvo que esperar su turno en una cadena de n8n que despacha de 32 a 34 por segundo. La batería del apartado 5.4 indica que ese cuello de botella está aguas abajo del backend, en la cadena de n8n y SMTP: aumentar la cota de entregas concurrentes no acortó la cola. Como esa conclusión descansa en una sola batería, ubica el límite de manera provisional y no lo demuestra.</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r>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vale solo en operación habitual (apartado 5.2). Basta un evento masivo, como una actualización de paquetes del sistema, para superar esa marca. En el plano de control, el tiempo de drenaje fue no concluyente (apartado 5.5). Además, la indisponibilidad del intermediario Valkey inhabilita por completo la superficie autenticada del backend (apartado 6.6). Este último punto es una limitación operativa severa. La Disposición 1/2026 obliga solo a los organismos del Sector Público Nacional, no a los sistemas. Exige, además, planes de contingencia que el sistema no sustituye (Tabla 2 y apartado 6.3). Por eso no corresponde dictaminar si el sistema la satisface. Sí puede afirmarse algo más acotado: para un organismo alcanzado, un sistema que preserva la evidencia pero impide consultarla durante un incidente dificulta sostener la continuidad que la disposición exige. Esa indisponibilidad debería contemplarse en sus planes de contingencia.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de prueba restringido: un único agente en una máquina virtual, con tres repeticiones por batería (apartado 5.1). En esas condiciones, el orden de entrega se sostuvo en las tres repeticiones y el backend persistió todo lo encolado, sin duplicados. Aun así, la preservación no alcanza su definición preregistrada, porque el agente encoló el 99,9 % de las operaciones generadas. El tiempo de drenaje, por su parte, resultó no concluyente (apartado 5.5 y Tabla 26). Tres repeticiones muestran esos resultados, no los garantizan. Los datos indican que la arquitectura atiende la ventana de ceguera en las condiciones ensayadas. Carecen, sin embargo, de validez externa (apartado 6.5) para extrapolar a despliegues distribuidos, cargas sostenidas de alta intensidad o volúmenes mayores.</w:t>
      </w:r>
    </w:p>
    <w:p w:rsidR="00000000" w:rsidDel="00000000" w:rsidP="00000000" w:rsidRDefault="00000000" w:rsidRPr="00000000" w14:paraId="000006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r>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resultados podrían explicarse por factores ajenos al diseño de la plataforma.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tiene una contraparte publicada con la cual compararse directamente. Además, depende de los parámetros de la carga. La cota R·S/n fija el piso de la diferencia frente al control demostrativo, y el resto depende de cuántos cambios colapsan o se deshacen dentro de cada ciclo (apartado 5.3). Para darle más validez a la comparación, haría falta incorporar un comparador de mercado real y barrer de forma sistemática el período y el número de rutas (apartados 6.7 y 8.1).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por una sola tarea. Sin embargo, la lista de criterios la elaboraron y la aplicaron los propios autores, y su reducción de trece a once tareas ocurrió después del primer resultado (apartado 1.6). No puede descartarse, por lo tanto, que la construcción de la métrica haya condicionado el éxito. Las dos tareas que siguen siendo manuales son las que requieren juicio experto: el diseño no elimina al operador, sino que le reserva la decisión.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el percentil 99 de 41,73 ms no es un subproducto del límite de ingesta. El generador trabajó a unas 0,28 operaciones por segundo, y el límite tolera en régimen sostenido 1,67 eventos por segundo. La carga nunca se acercó a ese techo, así que el límite no actuó durante la medición (apartado 5.2). Lo que sí depende de la configuración es hasta dónde vale la cota. Si llegaran de forma sostenida λ eventos por segundo, con λ mayor que 1,67, la ráfaga de 3.000 fichas alcanzaría para 3.000/(λ − 1,67) segundos. Agotada la ráfaga, el backend aceptaría menos eventos de los que llegan; la cola crecería sin pausa y cada evento esperaría más que el anterior, en una progresión lineal mientras dure la carga. Con 20 eventos por segundo, por ejemplo, las fichas durarían unos 164 s (apartado 5.2). Es una derivación del límite, no una medición. La configuración condiciona, en cambio, el tiempo de drenaje. Los cerca de 3.000 eventos encolados entraron completos en la reserva de 3.000 fichas, que los autores dimensionaron con referencia a esa misma batería; por eso el resultado es no concluyente (apartado 5.5).</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último, preferir una alerta tardía pero registrada a una alerta perdida es un juicio sobre el diseño, no un parámetro técnico evaluable con la Tabla 1.</w:t>
      </w:r>
    </w:p>
    <w:p w:rsidR="00000000" w:rsidDel="00000000" w:rsidP="00000000" w:rsidRDefault="00000000" w:rsidRPr="00000000" w14:paraId="000006DD">
      <w:pPr>
        <w:pStyle w:val="Heading2"/>
        <w:rPr/>
      </w:pPr>
      <w:r>
        <w:rPr>
          <w:b w:val="1"/>
          <w:bCs w:val="1"/>
          <w:rtl w:val="0"/>
        </w:rPr>
        <w:t xml:space="preserve">6.2 Contribuciones diferenciales del diseño</w:t>
      </w:r>
      <w:r>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la concurrencia entre operadores con bloqueo optimista.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bloqueo optimista frente a la concurrencia de operadores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y amenaza 10, apartado 6.5). Frente al comparador clásico, el sistema gana detección reactiva del contenido y pierde control de metadatos. Esa pérdida importa, porque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Que el modo clásico no admite eventos de creación, borrado y movimiento, y que el reporte del directorio padre con el nombre permite reconstruir la ruta, está documentado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5wvjz4xlhhsb" w:id="53"/>
    <w:bookmarkEnd w:id="53"/>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E5">
      <w:pPr>
        <w:pStyle w:val="Heading2"/>
        <w:rPr/>
      </w:pPr>
      <w:r>
        <w:rPr>
          <w:b w:val="1"/>
          <w:bCs w:val="1"/>
          <w:rtl w:val="0"/>
        </w:rPr>
        <w:t xml:space="preserve">6.3 Adecuación al marco normativo argentino</w:t>
      </w:r>
      <w:r>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demás instrumentos del apartado 2.4 admiten una lectura análoga. Frente a la Ley 26.388, el registro de auditoría puede servir en una investigación, con un valor probatorio que depende de la cadena de custodia y de que el registro no se haya alterado (apartado 4.11). Frente a la Resolución 126/2024, disponer de controles técnicos documentados facilita informar las medidas de seguridad cuando lo solicite la Dirección Nacional de Protección de Datos Personales. La Decisión Administrativa 641/2021, por último, enmarca el tipo de sistema propuesto entre los controles técnicos que exige, solo para los organismos que alcanza.</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Disposición 1/2026 del Centro Nacional de Ciberseguridad (Centro Nacional de Ciberseguridad, 2026) exige a los organismos del Sector Público Nacional mantener la continuidad del servicio. Las decisiones de resiliencia del sistema, la cola local del agente y la cascada de notificaciones (apartados 4.3 y 4.7), pueden contribuir a esa continuidad en el componente de monitoreo. El sistema no sustituye, en cambio, los planes de contingencia ni los centros alternativos que la disposición exige.</w:t>
      </w:r>
    </w:p>
    <w:bookmarkStart w:colFirst="0" w:colLast="0" w:name="h4ojns5krrjr" w:id="54"/>
    <w:bookmarkEnd w:id="54"/>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E9">
      <w:pPr>
        <w:pStyle w:val="Heading2"/>
        <w:rPr/>
      </w:pPr>
      <w:r>
        <w:rPr>
          <w:b w:val="1"/>
          <w:bCs w:val="1"/>
          <w:rtl w:val="0"/>
        </w:rPr>
        <w:t xml:space="preserve">6.4 Amenazas a la validez interna y de constructo</w:t>
      </w:r>
      <w:r>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validez interna enfrenta ocho amenazas, numeradas del 1 al 8 para que el resto del documento pueda remitir a ellas. Este apartado las ordena por su gravedad para el dictamen, es decir, por la posibilidad de que cambien el estado de un criterio de la Tabla 26, e indica en cada caso cuál.</w:t>
      </w:r>
      <w:r>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1: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2: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3: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4: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5: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6: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registros de suites. Lo revelaron los propios manifiestos al verificarse, no una guarda que lo impidiera (Anexo F.1). Los paquetes de v5.1-tesis no se vieron afectados: la corrida unificada verifica 112 de 112 archivos, las complementarias, 59 de 59, y los tres paquetes sellados después de su generación están versionados desde el 3 de octubre de 2026 (Anexo L.5). Desde entrega-tesis-v8, los originales están restaurados y el arnés aborta si el destino ya contiene un manifiesto (P-9). No cambia ningún dictamen, pero condiciona la verificabilidad de toda la evidencia: un sello detecta una alteración, no la previene.</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7: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8: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r>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r>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F6">
      <w:pPr>
        <w:pStyle w:val="Heading2"/>
        <w:rPr/>
      </w:pPr>
      <w:r>
        <w:rPr>
          <w:b w:val="1"/>
          <w:bCs w:val="1"/>
          <w:rtl w:val="0"/>
        </w:rPr>
        <w:t xml:space="preserve">6.5 Amenazas a la validez externa</w:t>
      </w:r>
      <w:r>
        <w:rPr>
          <w:rtl w:val="0"/>
        </w:rPr>
      </w:r>
    </w:p>
    <w:bookmarkStart w:colFirst="0" w:colLast="0" w:name="bo0soch2f9y0" w:id="55"/>
    <w:bookmarkEnd w:id="55"/>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que continúan la numeración del apartado 6.4. La amenaza 9 es la generalización a sistemas de archivos distribuidos, orquestadores de contenedores o volúmenes masivos, que quedan fuera del alcance. La amenaza 10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amenaza 11 es la escala: la evaluación validó los criterios sobre directorios acotados y a baja tasa de eventos, no sobre sistemas de archivos completos ni bajo actividad intensa. Tampoco los validó con varios agentes ni sobre una red física: los resultados proceden de un único agente en una máquina virtual, enlazada por una red virtual que no reproduce la latencia de una red real. La amenaza residual principal es el compromiso del núcleo (apartado 2.11).</w:t>
      </w:r>
    </w:p>
    <w:p w:rsidR="00000000" w:rsidDel="00000000" w:rsidP="00000000" w:rsidRDefault="00000000" w:rsidRPr="00000000" w14:paraId="000006F8">
      <w:pPr>
        <w:pStyle w:val="Heading2"/>
        <w:rPr/>
      </w:pPr>
      <w:r>
        <w:rPr>
          <w:b w:val="1"/>
          <w:bCs w:val="1"/>
          <w:rtl w:val="0"/>
        </w:rPr>
        <w:t xml:space="preserve">6.6 Limitaciones tecnológicas del stack adoptado</w:t>
      </w:r>
      <w:r>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azkhynfscas7" w:id="56"/>
    <w:bookmarkEnd w:id="56"/>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Fallar abierto restablecería el acceso a costa de la revocación de tokens; fallar cerrado, como hoy, la preserva a costa del acceso. El límite de ingesta pertenece a la misma categoría: protege al backend, pero acota la validez de la latencia y abre el vector de inundación (apartado 4.11).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contraseñas, Argon2id con parámetros fijos puede resultar desmedido o insuficiente según el hardware, limitación que la medición al arrancar mitiga sin eliminar.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consola persiste un defecto menor: ofrece aprobar o rechazar eventos alert_only, operación que el backend rechaza con HTTP 409.</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jkgo5h6xat6m" w:id="57"/>
    <w:bookmarkEnd w:id="57"/>
    <w:p w:rsidR="00000000" w:rsidDel="00000000" w:rsidP="00000000" w:rsidRDefault="00000000" w:rsidRPr="00000000" w14:paraId="00000703">
      <w:pPr>
        <w:pStyle w:val="Heading2"/>
        <w:rPr/>
      </w:pPr>
      <w:r>
        <w:rPr>
          <w:b w:val="1"/>
          <w:bCs w:val="1"/>
          <w:rtl w:val="0"/>
        </w:rPr>
        <w:t xml:space="preserve">6.7 Posicionamiento respecto de Falco y Tetragon</w:t>
      </w:r>
      <w:r>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desarrolla Isovalent, hoy parte de Cisco. Ofrecen más granularidad que esta propuesta sobre procesos, red y actividad de usuario, y Tetragon puede aplicar restricciones en el núcleo.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14:paraId="000007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r>
        <w:rPr>
          <w:rtl w:val="0"/>
        </w:rPr>
      </w:r>
    </w:p>
    <w:tbl>
      <w:tblPr>
        <w:tblStyle w:val="Table28"/>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Change w:id="0">
          <w:tblGrid>
            <w:gridCol w:w="2900"/>
            <w:gridCol w:w="1950"/>
            <w:gridCol w:w="2030"/>
            <w:gridCol w:w="2100"/>
          </w:tblGrid>
        </w:tblGridChange>
      </w:tblGrid>
      <w:tr>
        <w:trPr>
          <w:cantSplit w:val="1"/>
          <w:tblHeader w:val="1"/>
        </w:trPr>
        <w:tc>
          <w:tcPr>
            <w:vAlign w:val="bottom"/>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r>
              <w:rPr>
                <w:rtl w:val="0"/>
              </w:rPr>
            </w:r>
          </w:p>
        </w:tc>
        <w:tc>
          <w:tcPr>
            <w:vAlign w:val="bottom"/>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r>
              <w:rPr>
                <w:rtl w:val="0"/>
              </w:rPr>
            </w:r>
          </w:p>
        </w:tc>
        <w:tc>
          <w:tcPr>
            <w:vAlign w:val="bottom"/>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r>
              <w:rPr>
                <w:rtl w:val="0"/>
              </w:rPr>
            </w:r>
          </w:p>
        </w:tc>
        <w:tc>
          <w:tcPr>
            <w:vAlign w:val="bottom"/>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Borders>
              <w:top w:color="808080" w:space="0" w:sz="4" w:val="single"/>
              <w:bottom w:color="808080" w:space="0" w:sz="4" w:val="single"/>
            </w:tcBorders>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Borders>
              <w:top w:color="808080" w:space="0" w:sz="4" w:val="single"/>
              <w:bottom w:color="808080" w:space="0" w:sz="4" w:val="single"/>
            </w:tcBorders>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Borders>
              <w:top w:color="808080" w:space="0" w:sz="4" w:val="single"/>
              <w:bottom w:color="808080" w:space="0" w:sz="4" w:val="single"/>
            </w:tcBorders>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Borders>
              <w:top w:color="808080" w:space="0" w:sz="4" w:val="single"/>
              <w:bottom w:color="808080" w:space="0" w:sz="4" w:val="single"/>
            </w:tcBorders>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Borders>
              <w:top w:color="808080" w:space="0" w:sz="4" w:val="single"/>
              <w:bottom w:color="808080" w:space="0" w:sz="4" w:val="single"/>
            </w:tcBorders>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Borders>
              <w:top w:color="808080" w:space="0" w:sz="4" w:val="single"/>
              <w:bottom w:color="808080" w:space="0" w:sz="4" w:val="single"/>
            </w:tcBorders>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Borders>
              <w:top w:color="808080" w:space="0" w:sz="4" w:val="single"/>
              <w:bottom w:color="808080" w:space="0" w:sz="4" w:val="single"/>
            </w:tcBorders>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Borders>
              <w:top w:color="808080" w:space="0" w:sz="4" w:val="single"/>
              <w:bottom w:color="808080" w:space="0" w:sz="4" w:val="single"/>
            </w:tcBorders>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Borders>
              <w:top w:color="808080" w:space="0" w:sz="4" w:val="single"/>
              <w:bottom w:color="808080" w:space="0" w:sz="4" w:val="single"/>
            </w:tcBorders>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Borders>
              <w:top w:color="808080" w:space="0" w:sz="4" w:val="single"/>
              <w:bottom w:color="808080" w:space="0" w:sz="4" w:val="single"/>
            </w:tcBorders>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Borders>
              <w:top w:color="808080" w:space="0" w:sz="4" w:val="single"/>
              <w:bottom w:color="808080" w:space="0" w:sz="4" w:val="single"/>
            </w:tcBorders>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Borders>
              <w:top w:color="808080" w:space="0" w:sz="4" w:val="single"/>
              <w:bottom w:color="808080" w:space="0" w:sz="4" w:val="single"/>
            </w:tcBorders>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hoy parte de Cisco</w:t>
            </w:r>
          </w:p>
        </w:tc>
        <w:tc>
          <w:tcPr>
            <w:tcBorders>
              <w:top w:color="808080" w:space="0" w:sz="4" w:val="single"/>
              <w:bottom w:color="80808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r>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cuya diferencia queda fijada en buena parte por la cota R·S/n.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tgnee4b75wst" w:id="58"/>
    <w:bookmarkEnd w:id="58"/>
    <w:p w:rsidR="00000000" w:rsidDel="00000000" w:rsidP="00000000" w:rsidRDefault="00000000" w:rsidRPr="00000000" w14:paraId="00000732">
      <w:pPr>
        <w:pStyle w:val="Heading1"/>
        <w:rPr/>
      </w:pPr>
      <w:r>
        <w:rPr>
          <w:b w:val="1"/>
          <w:bCs w:val="1"/>
          <w:rtl w:val="0"/>
        </w:rPr>
        <w:t xml:space="preserve">CAPÍTULO 7. CONCLUSIONES</w:t>
      </w:r>
      <w:r>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25qi1buvngqv" w:id="59"/>
    <w:bookmarkEnd w:id="59"/>
    <w:p w:rsidR="00000000" w:rsidDel="00000000" w:rsidP="00000000" w:rsidRDefault="00000000" w:rsidRPr="00000000" w14:paraId="00000734">
      <w:pPr>
        <w:pStyle w:val="Heading2"/>
        <w:rPr/>
      </w:pPr>
      <w:r>
        <w:rPr>
          <w:b w:val="1"/>
          <w:bCs w:val="1"/>
          <w:rtl w:val="0"/>
        </w:rPr>
        <w:t xml:space="preserve">7.1 Cumplimiento de los objetivos formulados</w:t>
      </w:r>
      <w:r>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r>
        <w:rPr>
          <w:rtl w:val="0"/>
        </w:rPr>
      </w:r>
    </w:p>
    <w:tbl>
      <w:tblPr>
        <w:tblStyle w:val="Table29"/>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blHeader w:val="0"/>
        </w:trPr>
        <w:tc>
          <w:tcPr>
            <w:tcBorders>
              <w:top w:color="808080" w:space="0" w:sz="4" w:val="single"/>
            </w:tcBorders>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r>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14:paraId="000007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778">
      <w:pPr>
        <w:pStyle w:val="Heading3"/>
        <w:rPr/>
      </w:pPr>
      <w:r>
        <w:rPr>
          <w:b w:val="1"/>
          <w:bCs w:val="1"/>
          <w:rtl w:val="0"/>
        </w:rPr>
        <w:t xml:space="preserve">7.1.1 Respuesta a la pregunta de investigación</w:t>
      </w:r>
      <w:r>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77E">
      <w:pPr>
        <w:pStyle w:val="Heading2"/>
        <w:rPr/>
      </w:pPr>
      <w:r>
        <w:rPr>
          <w:b w:val="1"/>
          <w:bCs w:val="1"/>
          <w:rtl w:val="0"/>
        </w:rPr>
        <w:t xml:space="preserve">7.2 Contribución teórica</w:t>
      </w:r>
      <w:r>
        <w:rPr>
          <w:rtl w:val="0"/>
        </w:rPr>
      </w:r>
    </w:p>
    <w:bookmarkStart w:colFirst="0" w:colLast="0" w:name="6oxiesz99f1c" w:id="60"/>
    <w:bookmarkEnd w:id="60"/>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términos de la ciencia del diseño (Capítulo 3), la contribución teórica del trabajo es un argumento de aplicabilidad que el diseño experimental no valida: este caso ilustra que una arquitectura distribuida con componentes abiertos de Python y JavaScript puede servir a la seguridad operacional en contextos de recursos limitados.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 la cuarta del apartado 6.2, el catálogo de reglas trazadas, se trata como aporte metodológico (apartado 7.3).</w:t>
      </w:r>
    </w:p>
    <w:p w:rsidR="00000000" w:rsidDel="00000000" w:rsidP="00000000" w:rsidRDefault="00000000" w:rsidRPr="00000000" w14:paraId="00000780">
      <w:pPr>
        <w:pStyle w:val="Heading2"/>
        <w:rPr/>
      </w:pPr>
      <w:r>
        <w:rPr>
          <w:b w:val="1"/>
          <w:bCs w:val="1"/>
          <w:rtl w:val="0"/>
        </w:rPr>
        <w:t xml:space="preserve">7.3 Contribución metodológica</w:t>
      </w:r>
      <w:r>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(amenaza 2, apartado 6.4).</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 (apartado 2.12 y Tabla 4), que ningún tercero validó.</w:t>
      </w:r>
    </w:p>
    <w:bookmarkStart w:colFirst="0" w:colLast="0" w:name="6pedwkdu968j" w:id="61"/>
    <w:bookmarkEnd w:id="61"/>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Incluye el catálogo de reglas de negocio trazadas hasta el código que las implementa y la prueba que las verifica, la cuarta contribución del apartado 6.2.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Forma parte del mismo aporte dictaminar cada criterio con su formulación preregistrada, aun cuando varios no se alcanzan, y declarar aparte los ajustes posteriores a los datos (apartado 1.6).</w:t>
      </w:r>
    </w:p>
    <w:p w:rsidR="00000000" w:rsidDel="00000000" w:rsidP="00000000" w:rsidRDefault="00000000" w:rsidRPr="00000000" w14:paraId="00000784">
      <w:pPr>
        <w:pStyle w:val="Heading2"/>
        <w:rPr/>
      </w:pPr>
      <w:r>
        <w:rPr>
          <w:b w:val="1"/>
          <w:bCs w:val="1"/>
          <w:rtl w:val="0"/>
        </w:rPr>
        <w:t xml:space="preserve">7.4 Contribución práctica y normativa</w:t>
      </w:r>
      <w:r>
        <w:rPr>
          <w:rtl w:val="0"/>
        </w:rPr>
      </w:r>
    </w:p>
    <w:bookmarkStart w:colFirst="0" w:colLast="0" w:name="b8sp6lyjes1b" w:id="62"/>
    <w:bookmarkEnd w:id="62"/>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En lo normativo, relaciona cada control técnico con los instrumentos argentinos que analiza (apartados 2.4 y 6.3), con el alcance de la Tabla 2: una contribución a sus medidas, no un cumplimiento. El trabajo no acredita validación multianfitrión, proveedores comerciales, alta disponibilidad ni aptitud productiva.</w:t>
      </w:r>
      <w:r>
        <w:rPr>
          <w:rtl w:val="0"/>
        </w:rPr>
      </w:r>
    </w:p>
    <w:p w:rsidR="00000000" w:rsidDel="00000000" w:rsidP="00000000" w:rsidRDefault="00000000" w:rsidRPr="00000000" w14:paraId="00000786">
      <w:pPr>
        <w:pStyle w:val="Heading2"/>
        <w:rPr/>
      </w:pPr>
      <w:r>
        <w:rPr>
          <w:b w:val="1"/>
          <w:bCs w:val="1"/>
          <w:rtl w:val="0"/>
        </w:rPr>
        <w:t xml:space="preserve">7.5 Contribución formativa</w:t>
      </w:r>
      <w:r>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rxkv8gnqdd7l" w:id="63"/>
    <w:bookmarkEnd w:id="63"/>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ovnbchxigqcz" w:id="64"/>
    <w:bookmarkEnd w:id="64"/>
    <w:p w:rsidR="00000000" w:rsidDel="00000000" w:rsidP="00000000" w:rsidRDefault="00000000" w:rsidRPr="00000000" w14:paraId="00000789">
      <w:pPr>
        <w:pStyle w:val="Heading2"/>
        <w:rPr/>
      </w:pPr>
      <w:r>
        <w:rPr>
          <w:b w:val="1"/>
          <w:bCs w:val="1"/>
          <w:rtl w:val="0"/>
        </w:rPr>
        <w:t xml:space="preserve">7.6 Reconocimiento de limitaciones</w:t>
      </w:r>
      <w:r>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La máscara de eventos no observa cambios de atributos, como chmod u+s, chown o setcap, que AIDE sí controla (apartado 1.7). El cifrado local no protege frente al compromiso privilegiado del anfitrión (apartado 2.10).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custodia de la evidencia conserva defectos, ninguno de los cuales sustenta cifras de v5.1-tesis: tres de los 38 manifiestos de tesis/cierre/evidencia/ no verifican íntegros, y las tres trazas de resiliencia de v2.0-tesis son copias de una misma corrida de diagnóstico (amenaza 6, apartado 6.4, y Anexo F.1). Los defectos conocidos de v5.1-tesis figuran en el apartado 6.6, y corregirlos exige una versión nueva y repetir la validación.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hipótesis conjunta no se corrobora, y el trabajo no establece la aptitud productiva.</w:t>
      </w:r>
    </w:p>
    <w:bookmarkStart w:colFirst="0" w:colLast="0" w:name="fx2rxiwty5fa" w:id="65"/>
    <w:bookmarkEnd w:id="65"/>
    <w:p w:rsidR="00000000" w:rsidDel="00000000" w:rsidP="00000000" w:rsidRDefault="00000000" w:rsidRPr="00000000" w14:paraId="0000078D">
      <w:pPr>
        <w:pStyle w:val="Heading1"/>
        <w:rPr/>
      </w:pPr>
      <w:r>
        <w:rPr>
          <w:b w:val="1"/>
          <w:bCs w:val="1"/>
          <w:rtl w:val="0"/>
        </w:rPr>
        <w:t xml:space="preserve">CAPÍTULO 8. RECOMENDACIONES Y TRABAJO FUTURO</w:t>
      </w:r>
      <w:r>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78F">
      <w:pPr>
        <w:pStyle w:val="Heading2"/>
        <w:rPr/>
      </w:pPr>
      <w:r>
        <w:rPr>
          <w:b w:val="1"/>
          <w:bCs w:val="1"/>
          <w:rtl w:val="0"/>
        </w:rPr>
        <w:t xml:space="preserve">8.1 Correcciones de cierre y validación pendiente</w:t>
      </w:r>
      <w:r>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invalida v5.1-tesis y exige etiquetar una versión nueva, v6.0-tesis, y repetir la corrida unificada.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r>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ocho.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7.6: retención del stream de comandos, acción ON DELETE en alerts.event_id, rotación de la clave de envoltura y degradación tolerante de la lista negra de tokens. La octava corrige el docstring de agent/_fanotify.py, que menciona el núcleo 5.1 en lugar de 5.9 (nota de la Tabla 8).</w:t>
      </w:r>
      <w:r>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r>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r>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esa etiqueta (P-7 a P-12). La correspondencia de la lista de triage con la revisión 3 de NIST SP 800-61, que esta versión agrega en el Anexo M, no sustituye la clasificación de un evaluador ajeno.</w:t>
      </w:r>
      <w:r>
        <w:rPr>
          <w:rtl w:val="0"/>
        </w:rPr>
      </w:r>
    </w:p>
    <w:bookmarkStart w:colFirst="0" w:colLast="0" w:name="dv0r2g8ha1hd" w:id="66"/>
    <w:bookmarkEnd w:id="66"/>
    <w:p w:rsidR="00000000" w:rsidDel="00000000" w:rsidP="00000000" w:rsidRDefault="00000000" w:rsidRPr="00000000" w14:paraId="00000795">
      <w:pPr>
        <w:pStyle w:val="Heading2"/>
        <w:rPr/>
      </w:pPr>
      <w:r>
        <w:rPr>
          <w:b w:val="1"/>
          <w:bCs w:val="1"/>
          <w:rtl w:val="0"/>
        </w:rPr>
        <w:t xml:space="preserve">8.2 Alta disponibilidad del backend</w:t>
      </w:r>
      <w:r>
        <w:rPr>
          <w:rtl w:val="0"/>
        </w:rPr>
      </w:r>
    </w:p>
    <w:bookmarkStart w:colFirst="0" w:colLast="0" w:name="diomr9j97x2e" w:id="67"/>
    <w:bookmarkEnd w:id="67"/>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797">
      <w:pPr>
        <w:pStyle w:val="Heading2"/>
        <w:rPr/>
      </w:pPr>
      <w:r>
        <w:rPr>
          <w:b w:val="1"/>
          <w:bCs w:val="1"/>
          <w:rtl w:val="0"/>
        </w:rPr>
        <w:t xml:space="preserve">8.3 Extensión de la raíz de confianza al núcleo</w:t>
      </w:r>
      <w:r>
        <w:rPr>
          <w:rtl w:val="0"/>
        </w:rPr>
      </w:r>
    </w:p>
    <w:bookmarkStart w:colFirst="0" w:colLast="0" w:name="b5zcjraj3jey" w:id="68"/>
    <w:bookmarkEnd w:id="6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mitigan la amenaza residual de los rootkits que identifica el modelo STRIDE.</w:t>
      </w:r>
    </w:p>
    <w:p w:rsidR="00000000" w:rsidDel="00000000" w:rsidP="00000000" w:rsidRDefault="00000000" w:rsidRPr="00000000" w14:paraId="00000799">
      <w:pPr>
        <w:pStyle w:val="Heading2"/>
        <w:rPr/>
      </w:pPr>
      <w:r>
        <w:rPr>
          <w:b w:val="1"/>
          <w:bCs w:val="1"/>
          <w:rtl w:val="0"/>
        </w:rPr>
        <w:t xml:space="preserve">8.4 Arquitectura híbrida con Tetragon</w:t>
      </w:r>
      <w:r>
        <w:rPr>
          <w:rtl w:val="0"/>
        </w:rPr>
      </w:r>
    </w:p>
    <w:bookmarkStart w:colFirst="0" w:colLast="0" w:name="q4u4zyphz39x" w:id="69"/>
    <w:bookmarkEnd w:id="69"/>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La combinación aprovecharía las fortalezas complementarias de ambos enfoques.</w:t>
      </w:r>
    </w:p>
    <w:p w:rsidR="00000000" w:rsidDel="00000000" w:rsidP="00000000" w:rsidRDefault="00000000" w:rsidRPr="00000000" w14:paraId="0000079B">
      <w:pPr>
        <w:pStyle w:val="Heading2"/>
        <w:rPr/>
      </w:pPr>
      <w:r>
        <w:rPr>
          <w:b w:val="1"/>
          <w:bCs w:val="1"/>
          <w:rtl w:val="0"/>
        </w:rPr>
        <w:t xml:space="preserve">8.5 Respuesta automatizada activa</w:t>
      </w:r>
      <w:r>
        <w:rPr>
          <w:rtl w:val="0"/>
        </w:rPr>
      </w:r>
    </w:p>
    <w:bookmarkStart w:colFirst="0" w:colLast="0" w:name="ecu4h07e2p9t" w:id="70"/>
    <w:bookmarkEnd w:id="70"/>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tickets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79D">
      <w:pPr>
        <w:pStyle w:val="Heading2"/>
        <w:rPr/>
      </w:pPr>
      <w:r>
        <w:rPr>
          <w:b w:val="1"/>
          <w:bCs w:val="1"/>
          <w:rtl w:val="0"/>
        </w:rPr>
        <w:t xml:space="preserve">8.6 Gestión inteligente de falsos positivos</w:t>
      </w:r>
      <w:r>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79F">
      <w:pPr>
        <w:pStyle w:val="Heading2"/>
        <w:rPr/>
      </w:pPr>
      <w:r>
        <w:rPr>
          <w:b w:val="1"/>
          <w:bCs w:val="1"/>
          <w:rtl w:val="0"/>
        </w:rPr>
        <w:t xml:space="preserve">8.7 Integración con ecosistemas SIEM</w:t>
      </w:r>
      <w:r>
        <w:rPr>
          <w:rtl w:val="0"/>
        </w:rPr>
      </w:r>
    </w:p>
    <w:bookmarkStart w:colFirst="0" w:colLast="0" w:name="i60c4bdaykjf" w:id="71"/>
    <w:bookmarkEnd w:id="71"/>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7A1">
      <w:pPr>
        <w:pStyle w:val="Heading2"/>
        <w:rPr/>
      </w:pPr>
      <w:r>
        <w:rPr>
          <w:b w:val="1"/>
          <w:bCs w:val="1"/>
          <w:rtl w:val="0"/>
        </w:rPr>
        <w:t xml:space="preserve">8.8 Empaquetado nativo y recomendaciones operativas</w:t>
      </w:r>
      <w:r>
        <w:rPr>
          <w:rtl w:val="0"/>
        </w:rPr>
      </w:r>
    </w:p>
    <w:bookmarkStart w:colFirst="0" w:colLast="0" w:name="wqkmw5d9qq7i" w:id="72"/>
    <w:bookmarkEnd w:id="72"/>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7A3">
      <w:pPr>
        <w:pStyle w:val="Heading2"/>
        <w:rPr/>
      </w:pPr>
      <w:r>
        <w:rPr>
          <w:b w:val="1"/>
          <w:bCs w:val="1"/>
          <w:rtl w:val="0"/>
        </w:rPr>
        <w:t xml:space="preserve">8.9 Custodia de la clave y reconciliación de la línea base</w:t>
      </w:r>
      <w:r>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wbxxhgyq92a5" w:id="73"/>
    <w:bookmarkEnd w:id="7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ln75kjrv4vn2" w:id="74"/>
    <w:bookmarkEnd w:id="74"/>
    <w:p w:rsidR="00000000" w:rsidDel="00000000" w:rsidP="00000000" w:rsidRDefault="00000000" w:rsidRPr="00000000" w14:paraId="000007A8">
      <w:pPr>
        <w:pStyle w:val="Heading2"/>
        <w:rPr/>
      </w:pPr>
      <w:r>
        <w:rPr>
          <w:b w:val="1"/>
          <w:bCs w:val="1"/>
          <w:rtl w:val="0"/>
        </w:rPr>
        <w:t xml:space="preserve">8.10 Atribución estable del proceso causante</w:t>
      </w:r>
      <w:r>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kjr8qnh3cr4g" w:id="75"/>
    <w:bookmarkEnd w:id="75"/>
    <w:p w:rsidR="00000000" w:rsidDel="00000000" w:rsidP="00000000" w:rsidRDefault="00000000" w:rsidRPr="00000000" w14:paraId="000007AA">
      <w:pPr>
        <w:pStyle w:val="Heading1"/>
        <w:rPr/>
      </w:pPr>
      <w:r>
        <w:rPr>
          <w:b w:val="1"/>
          <w:bCs w:val="1"/>
          <w:rtl w:val="0"/>
        </w:rPr>
        <w:t xml:space="preserve">CAPÍTULO 9. CONSIDERACIONES ÉTICAS</w:t>
      </w:r>
      <w:r>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7AC">
      <w:pPr>
        <w:pStyle w:val="Heading2"/>
        <w:rPr/>
      </w:pPr>
      <w:r>
        <w:rPr>
          <w:b w:val="1"/>
          <w:bCs w:val="1"/>
          <w:rtl w:val="0"/>
        </w:rPr>
        <w:t xml:space="preserve">9.1 Ética profesional</w:t>
      </w:r>
      <w:r>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7AE">
      <w:pPr>
        <w:pStyle w:val="Heading3"/>
        <w:rPr/>
      </w:pPr>
      <w:r>
        <w:rPr>
          <w:b w:val="1"/>
          <w:bCs w:val="1"/>
          <w:rtl w:val="0"/>
        </w:rPr>
        <w:t xml:space="preserve">9.1.1 Responsabilidad en la divulgación técnica</w:t>
      </w:r>
      <w:r>
        <w:rPr>
          <w:rtl w:val="0"/>
        </w:rPr>
      </w:r>
    </w:p>
    <w:bookmarkStart w:colFirst="0" w:colLast="0" w:name="at4pli6kxu4q" w:id="76"/>
    <w:bookmarkEnd w:id="76"/>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7B0">
      <w:pPr>
        <w:pStyle w:val="Heading3"/>
        <w:rPr/>
      </w:pPr>
      <w:r>
        <w:rPr>
          <w:b w:val="1"/>
          <w:bCs w:val="1"/>
          <w:rtl w:val="0"/>
        </w:rPr>
        <w:t xml:space="preserve">9.1.2 Uso de herramientas de inteligencia artificial</w:t>
      </w:r>
      <w:r>
        <w:rPr>
          <w:rtl w:val="0"/>
        </w:rPr>
      </w:r>
    </w:p>
    <w:bookmarkStart w:colFirst="0" w:colLast="0" w:name="pyf4ecv99kjh" w:id="77"/>
    <w:bookmarkEnd w:id="77"/>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6a9fd7a, que corrige las versiones de f0639c2 y 6cea514;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r>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cuya generación describe, para las Figuras 9 y 10, el Anexo L.6.</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las resume, y tesis/HISTORIA_REVISIONES.md reconstruye cada una y lo que cambió. Una de esas revisiones se presentó en la versión entrega-tesis-v9 como documento del tribunal; el párrafo inicial del Anexo N, que los autores escribieron a partir de un borrador de la herramienta, explica esa atribución y su rectificación. En la revisión de la etiqueta entrega-tesis-v10, los autores elaboraron con la herramienta el plan de corrección de la devolución del 19 de octubre de 2026, y la herramienta aplicó sus cambios documentales como cambios marcados, que los autores aceptaron o rechazaron uno por uno. La herramienta no editó el Resumen, el Abstract, los apartados 6.1, 7.1 y 7.5 ni la declaración de contribuciones. El apartado 6.1 corregido lo escribió N. Castro sin asistencia, y la herramienta lo insertó en el documento sin modificarlo. En la revisión de la etiqueta entrega-tesis-v11, los autores volvieron a revisar el documento con la herramienta a partir de la misma devolución. La herramienta reincrustó las figuras vectoriales, unificó los anchos de tabla y las fuentes, trasladó al repositorio el material de proceso de los Anexos F, K, L y N, numeró las amenazas a la validez, recortó y compuso las capturas de las Figuras 6 y 7 y escribió scripts/verificar_medios.py. Editó el archivo del documento directamente, y los autores aplicaron cada cambio en un commit propio, con las verificaciones del Anexo F.1. No editó el Resumen, el Abstract, los apartados 6.1, 7.1 y 7.5 ni la declaración de contribuciones. N. Castro volvió a corregir el apartado 6.1 sin asistencia (6a9fd7a), y la herramienta lo insertó sin modificarlo; el párrafo inicial del Anexo N lo escribieron los autores a partir de un borrador de la herramienta.</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Comprende, además,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7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Registro de uso de la inteligencia artificial generativa por capítulo y por módulo</w:t>
      </w:r>
      <w:r>
        <w:rPr>
          <w:rtl w:val="0"/>
        </w:rPr>
      </w:r>
    </w:p>
    <w:tbl>
      <w:tblPr>
        <w:tblStyle w:val="Table30"/>
        <w:tblW w:w="8889"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1900"/>
            <w:gridCol w:w="2700"/>
            <w:gridCol w:w="1500"/>
            <w:gridCol w:w="27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Capítulo o módulo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produjo la herramienta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 o decisión humana, y autor que lo revisó</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y corregido por él, también sin asistencia de IA, en 6cea514 y en 6a9fd7a;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sin ajuste retrospectivo (apartado 5.9). Revisó N. Castro;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entrega-tesis-v11, que para las Figuras 9 y 10 son las del Anexo L.6</w:t>
            </w:r>
          </w:p>
        </w:tc>
        <w:tc>
          <w:tcPr>
            <w:tcBorders>
              <w:top w:color="808080" w:space="0" w:sz="4" w:val="single"/>
              <w:bottom w:color="808080" w:space="0" w:sz="4" w:val="single"/>
            </w:tcBorders>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(b913b0c), y su texto impreso más chico mide unos 8,3 puntos (Anexo L.6).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que los autores hicieron con la herramienta el 16 de octubre (Anexo N): contraste sobre un clon de entrega-tesis y corrección de la salida esperada de la última orden del Anexo L.7; precisión del alcance de la guarda de procedencia; catorce entradas del glosario; correspondencia del Anexo M;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del Anexo L.7, y el apartado 9.1.2 indica cuáles se incorporaron en la última revisión. La correspondencia del Anexo M no modifica la clasificación ni el dictamen de la Tabla 22.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 corrección que los autores elaboraron con la herramienta el 19 de octubre (Anexo F)</w:t>
            </w:r>
          </w:p>
        </w:tc>
        <w:tc>
          <w:tcPr>
            <w:tcBorders>
              <w:top w:color="808080" w:space="0" w:sz="4" w:val="single"/>
              <w:bottom w:color="808080" w:space="0" w:sz="4" w:val="single"/>
            </w:tcBorders>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entrega-tesis-v10)</w:t>
            </w:r>
            <w:r>
              <w:rPr>
                <w:rtl w:val="0"/>
              </w:rPr>
            </w:r>
          </w:p>
        </w:tc>
        <w:tc>
          <w:tcPr>
            <w:tcBorders>
              <w:top w:color="808080" w:space="0" w:sz="4" w:val="single"/>
              <w:bottom w:color="808080" w:space="0" w:sz="4" w:val="single"/>
            </w:tcBorders>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corrección del 20 de octubre de 2026, que ubica en el documento cada hallazgo de la devolución; el 21 de octubre, edición, como cambios marcados, de la clave de códigos del Anexo F, de esta tabla, del Anexo N, de los apartados 2.13 y 9.1.2, de la Tabla 8 y su nota, de los Anexos F.1 y L, de la entrada del repositorio del Capítulo 11 y de la grafía «solo»; anchos de la Tabla 22, secciones horizontales de las Tablas 30 a 32 y 35 y conservación de cada figura con su título. En el apartado 6.1, solo la ubicación de los pasajes que señala T-2, sin redactar texto</w:t>
            </w:r>
          </w:p>
        </w:tc>
        <w:tc>
          <w:tcPr>
            <w:tcBorders>
              <w:top w:color="808080" w:space="0" w:sz="4" w:val="single"/>
              <w:bottom w:color="808080" w:space="0" w:sz="4" w:val="single"/>
            </w:tcBorders>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 Castro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 asistencia de IA (commit 6cea514)</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tc>
        <w:tc>
          <w:tcPr>
            <w:tcBorders>
              <w:top w:color="808080" w:space="0" w:sz="4" w:val="single"/>
              <w:bottom w:color="808080" w:space="0" w:sz="4" w:val="single"/>
            </w:tcBorders>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aceptaron o rechazaron cada cambio marcado; las verificaciones del Anexo F.1 se repitieron sobre entrega-tesis-v10, y scripts/verificar_autoria.py comprueba el apartado 6.1 corregido. Revisó N. Castro</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entrega-tesis-v11)</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Reincrustación de las Figuras 1 a 5 y 8 a 10 como SVG y scripts/verificar_medios.py con su prueba; anchos de tabla y fuentes unificados; nota de la Tabla 8 y apartado 8.1; fechas del Anexo N y de esta tabla; rol de la dirección; traslado al repositorio del material de proceso de los Anexos F, K, L y N; numeración de las amenazas de los apartados 6.4 y 6.5 y división de oraciones largas; recorte y composición de las capturas de las Figuras 6 y 7; borrador del párrafo inicial del Anexo N; inserción sin cambios de los textos de los autores; paginación de los índices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N. Castro sin asistencia de IA (6a9fd7a); párrafo inicial del Anexo N, escrito por los autores a partir de un borrador de la herramienta (tesis/autoria/reconstruccion_octubre.md); capturas de las Figuras 6 y 7, tomadas por los autores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aplicaron cada cambio en un commit propio y repitieron después de cada uno las verificaciones del Anexo F.1; scripts/verificar_autoria.py comprueba los textos de los autores, y scripts/verificar_medios.py, las figuras vectoriales.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etiqueta entrega-tesis-v11, recorte de la barra lateral y composición de las dos partes de cada captura, sin alterar su contenido</w:t>
            </w:r>
          </w:p>
        </w:tc>
        <w:tc>
          <w:tcPr>
            <w:tcBorders>
              <w:top w:color="808080" w:space="0" w:sz="4" w:val="single"/>
              <w:bottom w:color="808080" w:space="0" w:sz="4" w:val="single"/>
            </w:tcBorders>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Capturas de la consola tomadas por los autores el 23 de octubre de 2026</w:t>
            </w:r>
          </w:p>
        </w:tc>
        <w:tc>
          <w:tcPr>
            <w:tcBorders>
              <w:top w:color="808080" w:space="0" w:sz="4" w:val="single"/>
              <w:bottom w:color="808080" w:space="0" w:sz="4" w:val="single"/>
            </w:tcBorders>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tomaron las capturas y revisaron su composición. Revisó N. Castro</w:t>
            </w:r>
          </w:p>
        </w:tc>
      </w:tr>
    </w:tbl>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r>
        <w:rPr>
          <w:rtl w:val="0"/>
        </w:rPr>
      </w:r>
    </w:p>
    <w:p w:rsidR="00000000" w:rsidDel="00000000" w:rsidP="00000000" w:rsidRDefault="00000000" w:rsidRPr="00000000" w14:paraId="000007F6">
      <w:pPr>
        <w:pStyle w:val="Heading2"/>
        <w:rPr/>
      </w:pPr>
      <w:r>
        <w:rPr>
          <w:b w:val="1"/>
          <w:bCs w:val="1"/>
          <w:rtl w:val="0"/>
        </w:rPr>
        <w:t xml:space="preserve">9.2 Evaluación de impacto sobre datos personales</w:t>
      </w:r>
      <w:r>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7F8">
      <w:pPr>
        <w:pStyle w:val="Heading3"/>
        <w:rPr/>
      </w:pPr>
      <w:r>
        <w:rPr>
          <w:b w:val="1"/>
          <w:bCs w:val="1"/>
          <w:rtl w:val="0"/>
        </w:rPr>
        <w:t xml:space="preserve">9.2.1 Principios orientadores del diseño y tratamiento de datos</w:t>
      </w:r>
      <w:r>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417" w:top="1417" w:left="1701" w:right="1134" w:header="708" w:footer="708"/>
          <w:pgNumType w:start="1"/>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7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r>
        <w:rPr>
          <w:rtl w:val="0"/>
        </w:rPr>
      </w:r>
    </w:p>
    <w:tbl>
      <w:tblPr>
        <w:tblStyle w:val="Table31"/>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7F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F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0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0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0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0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80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80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80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r>
              <w:rPr>
                <w:rtl w:val="0"/>
              </w:rPr>
            </w:r>
          </w:p>
        </w:tc>
        <w:tc>
          <w:tcPr>
            <w:tcBorders>
              <w:top w:color="808080" w:space="0" w:sz="4" w:val="single"/>
              <w:bottom w:color="808080" w:space="0" w:sz="4" w:val="single"/>
            </w:tcBorders>
          </w:tcPr>
          <w:p w:rsidR="00000000" w:rsidDel="00000000" w:rsidP="00000000" w:rsidRDefault="00000000" w:rsidRPr="00000000" w14:paraId="0000080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80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8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8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8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8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8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trimming/retención del stream: pendientes. HMAC no debe describirse como cifrado.</w:t>
            </w:r>
            <w:r>
              <w:rPr>
                <w:rtl w:val="0"/>
              </w:rPr>
            </w:r>
          </w:p>
        </w:tc>
      </w:tr>
      <w:tr>
        <w:trPr>
          <w:cantSplit w:val="0"/>
          <w:tblHeader w:val="0"/>
        </w:trPr>
        <w:tc>
          <w:tcPr>
            <w:tcBorders>
              <w:top w:color="808080" w:space="0" w:sz="4" w:val="single"/>
            </w:tcBorders>
          </w:tcPr>
          <w:p w:rsidR="00000000" w:rsidDel="00000000" w:rsidP="00000000" w:rsidRDefault="00000000" w:rsidRPr="00000000" w14:paraId="000008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8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8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8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8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815">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r>
              <w:rPr>
                <w:rtl w:val="0"/>
              </w:rPr>
            </w:r>
          </w:p>
        </w:tc>
      </w:tr>
    </w:tbl>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r>
        <w:rPr>
          <w:rtl w:val="0"/>
        </w:rPr>
      </w:r>
    </w:p>
    <w:tbl>
      <w:tblPr>
        <w:tblStyle w:val="Table32"/>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1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1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1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1A">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1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1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1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81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81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82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82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solo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82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2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82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82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82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82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82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cantSplit w:val="0"/>
          <w:tblHeader w:val="0"/>
        </w:trPr>
        <w:tc>
          <w:tcPr>
            <w:tcBorders>
              <w:top w:color="808080" w:space="0" w:sz="4" w:val="single"/>
            </w:tcBorders>
          </w:tcPr>
          <w:p w:rsidR="00000000" w:rsidDel="00000000" w:rsidP="00000000" w:rsidRDefault="00000000" w:rsidRPr="00000000" w14:paraId="0000082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82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82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82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82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82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r>
        <w:rPr>
          <w:rtl w:val="0"/>
        </w:rPr>
      </w:r>
    </w:p>
    <w:tbl>
      <w:tblPr>
        <w:tblStyle w:val="Table33"/>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3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3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3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3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3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3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83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83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83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83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workflows exportados para correo, Slack y ticketing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83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83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83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83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84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84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cantSplit w:val="0"/>
          <w:tblHeader w:val="0"/>
        </w:trPr>
        <w:tc>
          <w:tcPr>
            <w:tcBorders>
              <w:top w:color="808080" w:space="0" w:sz="4" w:val="single"/>
            </w:tcBorders>
          </w:tcPr>
          <w:p w:rsidR="00000000" w:rsidDel="00000000" w:rsidP="00000000" w:rsidRDefault="00000000" w:rsidRPr="00000000" w14:paraId="0000084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84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84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84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84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84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r>
        <w:rPr>
          <w:rtl w:val="0"/>
        </w:rPr>
      </w:r>
    </w:p>
    <w:bookmarkStart w:colFirst="0" w:colLast="0" w:name="m8250vhxuvox" w:id="78"/>
    <w:bookmarkEnd w:id="78"/>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liw22vxvnr1f" w:id="79"/>
    <w:bookmarkEnd w:id="79"/>
    <w:p w:rsidR="00000000" w:rsidDel="00000000" w:rsidP="00000000" w:rsidRDefault="00000000" w:rsidRPr="00000000" w14:paraId="0000084A">
      <w:pPr>
        <w:pStyle w:val="Heading3"/>
        <w:rPr/>
      </w:pPr>
      <w:r>
        <w:rPr>
          <w:b w:val="1"/>
          <w:bCs w:val="1"/>
          <w:rtl w:val="0"/>
        </w:rPr>
        <w:t xml:space="preserve">9.2.2 Adecuación a la normativa argentina</w:t>
      </w:r>
      <w:r>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sin atribuir adhesión a un código deontológico no identificado.</w:t>
      </w:r>
    </w:p>
    <w:bookmarkStart w:colFirst="0" w:colLast="0" w:name="ne3x5tqnx97y" w:id="80"/>
    <w:bookmarkEnd w:id="80"/>
    <w:p w:rsidR="00000000" w:rsidDel="00000000" w:rsidP="00000000" w:rsidRDefault="00000000" w:rsidRPr="00000000" w14:paraId="0000084C">
      <w:pPr>
        <w:pStyle w:val="Heading1"/>
        <w:rPr/>
      </w:pPr>
      <w:r>
        <w:rPr>
          <w:b w:val="1"/>
          <w:bCs w:val="1"/>
          <w:rtl w:val="0"/>
        </w:rPr>
        <w:t xml:space="preserve">CAPÍTULO 10. GLOSARIO</w:t>
      </w:r>
      <w:r>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h4hdm0a99yiw" w:id="81"/>
    <w:bookmarkEnd w:id="81"/>
    <w:p w:rsidR="00000000" w:rsidDel="00000000" w:rsidP="00000000" w:rsidRDefault="00000000" w:rsidRPr="00000000" w14:paraId="0000084E">
      <w:pPr>
        <w:pStyle w:val="Heading2"/>
        <w:rPr/>
      </w:pPr>
      <w:r>
        <w:rPr>
          <w:b w:val="1"/>
          <w:bCs w:val="1"/>
          <w:rtl w:val="0"/>
        </w:rPr>
        <w:t xml:space="preserve">10.1 Términos técnicos</w:t>
      </w:r>
      <w:r>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es la plataforma de contenedores más difundida. Docker Compose es una herramienta complementaria que describe en un archivo YAML un conjunto de servicios conformando una aplicación multi-contenedor.</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Calco del inglés polling: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de desarrollo web escrito en Python, orientado a la construcción de APIs con alto rendimiento, validación automática de datos y documentación automática conforme al estándar OpenAPI.</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 Núcleo Linux.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relacionales de código abierto, con una larga trayectoria de estabilidad y un conjunto amplio de características avanzadas.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interpretado y de propósito general. Se emplea en este trabajo para el agente y para el backend.</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basadas en componentes reutilizables. Desarrollada inicialmente por Facebook y actualmente de código abierto.</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reemplaza a TLS 1.2. Provee cifrado y autenticación del canal de comunicación entre dos partes, y es el mecanismo que opera detrás del protocolo HTTPS.</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sl5ctyer7iv4" w:id="82"/>
    <w:bookmarkEnd w:id="82"/>
    <w:p w:rsidR="00000000" w:rsidDel="00000000" w:rsidP="00000000" w:rsidRDefault="00000000" w:rsidRPr="00000000" w14:paraId="00000883">
      <w:pPr>
        <w:pStyle w:val="Heading2"/>
        <w:rPr/>
      </w:pPr>
      <w:r>
        <w:rPr>
          <w:b w:val="1"/>
          <w:bCs w:val="1"/>
          <w:rtl w:val="0"/>
        </w:rPr>
        <w:t xml:space="preserve">10.2 Instrumentos legales argentinos invocados</w:t>
      </w:r>
      <w:r>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y el daño informático. Véase el apartado 2.4.</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88F">
      <w:pPr>
        <w:pStyle w:val="Heading1"/>
        <w:rPr/>
      </w:pPr>
      <w:r>
        <w:rPr>
          <w:b w:val="1"/>
          <w:bCs w:val="1"/>
          <w:rtl w:val="0"/>
        </w:rPr>
        <w:t xml:space="preserve">CAPÍTULO 11. REFERENCIAS BIBLIOGRÁFICAS</w:t>
      </w:r>
      <w:r>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891">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892">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893">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894">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895">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896">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897">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898">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899">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89A">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89B">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89C">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89D">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89E">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89F">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r>
        <w:rPr>
          <w:rtl w:val="0"/>
        </w:rPr>
      </w:r>
    </w:p>
    <w:p w:rsidR="00000000" w:rsidDel="00000000" w:rsidP="00000000" w:rsidRDefault="00000000" w:rsidRPr="00000000" w14:paraId="000008A0">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 (etiqueta entrega-tesis-v11)</w:t>
      </w:r>
      <w:r>
        <w:rPr>
          <w:i w:val="0"/>
          <w:iCs w:val="0"/>
          <w:rtl w:val="0"/>
        </w:rPr>
        <w:t xml:space="preserve"> [Software y conjunto de datos]. GitHub. https://github.com/3zequiel3/tesis-fim-serio</w:t>
      </w:r>
      <w:r>
        <w:rPr>
          <w:rtl w:val="0"/>
        </w:rPr>
      </w:r>
    </w:p>
    <w:p w:rsidR="00000000" w:rsidDel="00000000" w:rsidP="00000000" w:rsidRDefault="00000000" w:rsidRPr="00000000" w14:paraId="000008A1">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8A2">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8A3">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8A4">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8A5">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8A6">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8A7">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8A8">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8A9">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8AA">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8AB">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8AC">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8AD">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8AE">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8AF">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8B0">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8B1">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8B2">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8B3">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8B4">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8B5">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8B6">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8B7">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8B8">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8B9">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8BA">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8BB">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8BC">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8BD">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8BE">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8BF">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8C0">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8C1">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8C2">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8C3">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8C4">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8C5">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8C6">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8C7">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pPr>
        <w:spacing w:after="0" w:before="0" w:line="480" w:lineRule="auto"/>
        <w:ind w:left="720" w:hanging="720"/>
        <w:rPr/>
      </w:pPr>
      <w:r>
        <w:rPr>
          <w:rtl w:val="0"/>
        </w:rPr>
        <w:t xml:space="preserve">Wang, X., &amp; Yu, H. (2005). How to break MD5 and other hash functions. En R. Cramer (Ed.), </w:t>
      </w:r>
      <w:r>
        <w:rPr>
          <w:i w:val="1"/>
          <w:iCs w:val="1"/>
          <w:rtl w:val="0"/>
        </w:rPr>
        <w:t xml:space="preserve">Advances in cryptology – EUROCRYPT 2005</w:t>
      </w:r>
      <w:r>
        <w:rPr>
          <w:rtl w:val="0"/>
        </w:rPr>
        <w:t xml:space="preserve"> (pp. 19–35). Springer. https://doi.org/10.1007/11426639_2</w:t>
      </w:r>
    </w:p>
    <w:p w:rsidR="00000000" w:rsidDel="00000000" w:rsidP="00000000" w:rsidRDefault="00000000" w:rsidRPr="00000000" w14:paraId="000008C8">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8C9">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8CA">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8CB">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8CC">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8CD">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8CE">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8CF">
      <w:pPr>
        <w:pStyle w:val="Heading1"/>
        <w:rPr/>
      </w:pPr>
      <w:r>
        <w:rPr>
          <w:b w:val="1"/>
          <w:bCs w:val="1"/>
          <w:rtl w:val="0"/>
        </w:rPr>
        <w:t xml:space="preserve">CAPÍTULO 12. ANEXOS</w:t>
      </w:r>
      <w:r>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describe los procedimientos de recálculo; M hace corresponder la lista de triage con la revisión 3 de NIST SP 800-61; y N reconstruye las revisiones del documento.</w:t>
      </w:r>
    </w:p>
    <w:p w:rsidR="00000000" w:rsidDel="00000000" w:rsidP="00000000" w:rsidRDefault="00000000" w:rsidRPr="00000000" w14:paraId="000008D1">
      <w:pPr>
        <w:pStyle w:val="Heading2"/>
        <w:rPr/>
      </w:pPr>
      <w:r>
        <w:rPr>
          <w:b w:val="1"/>
          <w:bCs w:val="1"/>
          <w:rtl w:val="0"/>
        </w:rPr>
        <w:t xml:space="preserve">Anexo A. Flujo de procesamiento del agente</w:t>
      </w:r>
      <w:r>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8D3">
      <w:pPr>
        <w:pStyle w:val="Heading2"/>
        <w:rPr/>
      </w:pPr>
      <w:r>
        <w:rPr>
          <w:b w:val="1"/>
          <w:bCs w:val="1"/>
          <w:rtl w:val="0"/>
        </w:rPr>
        <w:t xml:space="preserve">Anexo B. Flujo de aprobación humana en el backend</w:t>
      </w:r>
      <w:r>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x5h1bfzeq6s8" w:id="83"/>
    <w:bookmarkEnd w:id="83"/>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8D7">
      <w:pPr>
        <w:pStyle w:val="Heading2"/>
        <w:rPr/>
      </w:pPr>
      <w:r>
        <w:rPr>
          <w:b w:val="1"/>
          <w:bCs w:val="1"/>
          <w:rtl w:val="0"/>
        </w:rPr>
        <w:t xml:space="preserve">Anexo C. Extracto del esquema de persistencia</w:t>
      </w:r>
      <w:r>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bmkyggcjn2" w:id="84"/>
    <w:bookmarkEnd w:id="84"/>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r>
        <w:rPr>
          <w:rtl w:val="0"/>
        </w:rPr>
      </w:r>
    </w:p>
    <w:p w:rsidR="00000000" w:rsidDel="00000000" w:rsidP="00000000" w:rsidRDefault="00000000" w:rsidRPr="00000000" w14:paraId="000008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8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8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8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8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8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8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8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8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8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8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8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8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8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8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8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8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8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8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8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8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8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8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8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8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8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8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8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8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9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9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9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9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9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9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9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9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9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9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9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9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9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9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9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9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9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9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9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9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9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9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9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9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9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9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9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9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9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9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9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9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9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9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9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9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9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9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36">
      <w:pPr>
        <w:pStyle w:val="Heading2"/>
        <w:rPr/>
      </w:pPr>
      <w:r>
        <w:rPr>
          <w:b w:val="1"/>
          <w:bCs w:val="1"/>
          <w:rtl w:val="0"/>
        </w:rPr>
        <w:t xml:space="preserve">Anexo D. Estructura del archivo Docker Compose</w:t>
      </w:r>
      <w:r>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9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9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9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9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9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9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9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9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9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9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9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9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9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9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9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9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9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9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9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9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9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9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9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9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9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9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9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9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9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9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9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9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9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9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9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9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9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9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descr="Figura 9. Diagrama de despliegue: el agente como servicio systemd en el anfitrión monitoreado y el servidor central con los contenedores de Docker Compose, con protocolo y puerto en cada vía." id="8" name="image3.png"/>
            <a:graphic>
              <a:graphicData uri="http://schemas.openxmlformats.org/drawingml/2006/picture">
                <pic:pic>
                  <pic:nvPicPr>
                    <pic:cNvPr descr="Figura 9. Diagrama de despliegue: el agente como servicio systemd en el anfitrión monitoreado y el servidor central con los contenedores de Docker Compose, con protocolo y puerto en cada vía." id="0" name="image3.png"/>
                    <pic:cNvPicPr preferRelativeResize="0"/>
                  </pic:nvPicPr>
                  <pic:blipFill>
                    <a:blip r:embed="rId33">
                      <a:extLst>
                        <a:ext uri="{96DAC541-7B7A-43D3-8B79-37D633B846F1}">
                          <asvg:svgBlip xmlns:asvg="http://schemas.microsoft.com/office/drawing/2016/SVG/main" r:embed="rIdSvgfig9"/>
                        </a:ext>
                      </a:extLst>
                    </a:blip>
                    <a:srcRect b="0" l="0" r="0" t="0"/>
                    <a:stretch>
                      <a:fillRect/>
                    </a:stretch>
                  </pic:blipFill>
                  <pic:spPr>
                    <a:xfrm>
                      <a:off x="0" y="0"/>
                      <a:ext cx="5760000" cy="7644538"/>
                    </a:xfrm>
                    <a:prstGeom prst="rect"/>
                    <a:ln/>
                  </pic:spPr>
                </pic:pic>
              </a:graphicData>
            </a:graphic>
          </wp:inline>
        </w:drawing>
      </w:r>
      <w:r>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r>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La figura se generó con inteligencia artificial desde la fuente DOT que cita el Anexo L.6, y los autores la revisaron contra el sistema (apartado 9.1.2). El texto, en DejaVu Sans, se incrusta convertido a trazos; impresa a A4, la figura mide 16,0 cm de ancho y su texto más pequeño, 8,3 pt.</w:t>
      </w:r>
      <w:r>
        <w:rPr>
          <w:rtl w:val="0"/>
        </w:rPr>
      </w:r>
    </w:p>
    <w:p w:rsidR="00000000" w:rsidDel="00000000" w:rsidP="00000000" w:rsidRDefault="00000000" w:rsidRPr="00000000" w14:paraId="0000097A">
      <w:pPr>
        <w:pStyle w:val="Heading2"/>
        <w:rPr/>
      </w:pPr>
      <w:r>
        <w:rPr>
          <w:b w:val="1"/>
          <w:bCs w:val="1"/>
          <w:rtl w:val="0"/>
        </w:rPr>
        <w:t xml:space="preserve">Anexo E. Unit file de systemd del agente</w:t>
      </w:r>
      <w:r>
        <w:rPr>
          <w:rtl w:val="0"/>
        </w:rPr>
      </w:r>
    </w:p>
    <w:bookmarkStart w:colFirst="0" w:colLast="0" w:name="6sm951yonz2" w:id="85"/>
    <w:bookmarkEnd w:id="85"/>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99E">
      <w:pPr>
        <w:pStyle w:val="Heading2"/>
        <w:rPr/>
      </w:pPr>
      <w:r>
        <w:rPr>
          <w:b w:val="1"/>
          <w:bCs w:val="1"/>
          <w:rtl w:val="0"/>
        </w:rPr>
        <w:t xml:space="preserve">Anexo F. Disponibilidad del código</w:t>
      </w:r>
      <w:r>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entrega-tesis-v11 (F.1), que extiende las de las entregas anteriores, entrega-tesis, entrega-tesis-v8, entrega-tesis-v9 y entrega-tesis-v10;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dos familias de los códigos que citan los mensajes de commit proceden del tribunal: N-1 a N-10, de la devolución de la primera corrección (9 de octubre de 2026), y T-1 a T-9, de la segunda (19 de octubre de 2026). Las demás proceden de documentos de los autores, varios elaborados con la herramienta (apartado 9.1.2), y tesis/CLAVE_CODIGOS.md define cada familia y consigna, para cada commit, el código que cita, el documento del que procede, su fecha y su autor.</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9A3">
      <w:pPr>
        <w:pStyle w:val="Heading2"/>
        <w:rPr/>
      </w:pPr>
      <w:r>
        <w:rPr>
          <w:b w:val="1"/>
          <w:bCs w:val="1"/>
          <w:rtl w:val="0"/>
        </w:rPr>
        <w:t xml:space="preserve">F.1 Referencia de entrega y verificación</w:t>
      </w:r>
      <w:r>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entrega-tesis-v11. Contiene el código evaluado, el arnés, los scripts, los paquetes de evidencia, los textos de los autores (tesis/autoria/) y el propio documento, versionado en tesis/entrega/. Extiende las etiquetas de las entregas anteriores, entrega-tesis, del 6 de octubre de 2026 (commit ad7d21e), entrega-tesis-v8, del 19 de octubre (commit f241e1f), entrega-tesis-v9, del 19 de octubre (commit 97614a9), y entrega-tesis-v10, del 21 de octubre (commit 9a62a4c), con los commits</w:t>
      </w:r>
      <w:r>
        <w:rPr>
          <w:highlight w:val="yellow"/>
          <w:rtl w:val="0"/>
        </w:rPr>
        <w:t xml:space="preserve"/>
      </w:r>
      <w:r>
        <w:rPr>
          <w:rtl w:val="0"/>
        </w:rPr>
        <w:t xml:space="preserve"> que resuelven P-7 a P-12, las correcciones posteriores y las de la devolución del 19 de octubre (F.3), sin modificar el código evaluado: git diff --stat v5.1-tesis entrega-tesis-v11 --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scripts/verificar_autoria.py, que compara los textos de tesis/autoria/ con el documento; y scripts/verificar_medios.py, que compara los SVG incrustados en el documento con los de tesis/figuras/. Sobre la presente versión y la etiqueta entrega-tesis-v11 informan 121 rutas citadas y ninguna faltante; 66 identificadores hexadecimales, de los que 58 son commits existentes, dos corresponden a 6e81ccf, cuya pérdida se declara en F.2, y seis son prefijos de un SHA-256; 231 de 231 valores del Capítulo 5 coincidentes con la evidencia, con los 225 que se buscan en el documento presentes en su lugar; y los cinco textos de los autores idénticos al documento, salvo la oración del apartado 7.1 que declara el apartado 9.1.2; y ocho SVG incrustados, idénticos a los de tesis/figuras/, con las capturas de las Figuras 6 y 7 como únicas imágenes en mapa de bits. La verificación de los 38 manifiestos da el resultado que informa el párrafo «Paquetes que no verifican su manifiesto».</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18 de octubre de 2026 recibieron su manifiesto y un acta de sellado, ACTA_SELLADO.md (commit 9a6d657): antes de sellarlos se comprobó que su contenido era idéntico al de esos commits, y el manifiesto consigna el SHA-256 de sus 16 archivos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cita su código.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Paquetes que no verifican su manifiesto.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38 manifiestos que contiene tesis/cierre/evidencia/ en entrega-tesis-v11, 35 verifican íntegros y tres no; la Tabla 33 indica la causa de cada uno. Solo uno sustenta cifras de v5.1-tesis, las de cobertura de código, y lo hace con archivos que verifican: lo que no verifica son el bundle y el árbol de su copia de custodia, que el repositorio excluye (P-1). En entrega-tesis tampoco verificaban dos paquetes de v1.0-tesis y v2.0-tesis, cuyos originales se restauraron desde el historial en entrega-tesis-v8 (P-9); su historia se conserva en tesis/cierre/anexo_f/material_trasladado.md. Desde entrega-tesis-v8, el arnés aborta antes de escribir en un paquete sellado (P-9).</w:t>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verifican su manifiesto</w:t>
      </w:r>
      <w:r>
        <w:rPr>
          <w:rtl w:val="0"/>
        </w:rPr>
      </w:r>
    </w:p>
    <w:tbl>
      <w:tblPr>
        <w:tblStyle w:val="Table34"/>
        <w:tblW w:w="9071" w:type="dxa"/>
        <w:jc w:val="left"/>
        <w:tblBorders>
          <w:top w:color="000000" w:space="0" w:sz="8" w:val="single"/>
          <w:bottom w:color="000000" w:space="0" w:sz="8" w:val="single"/>
          <w:insideH w:color="808080" w:space="0" w:sz="4" w:val="single"/>
        </w:tblBorders>
        <w:tblLayout w:type="fixed"/>
        <w:tblLook w:val="0020"/>
      </w:tblPr>
      <w:tblGrid>
        <w:gridCol w:w="1560"/>
        <w:gridCol w:w="900"/>
        <w:gridCol w:w="1150"/>
        <w:gridCol w:w="2500"/>
        <w:gridCol w:w="1361"/>
        <w:gridCol w:w="1600"/>
        <w:tblGridChange w:id="0">
          <w:tblGrid>
            <w:gridCol w:w="1560"/>
            <w:gridCol w:w="900"/>
            <w:gridCol w:w="1150"/>
            <w:gridCol w:w="2500"/>
            <w:gridCol w:w="1361"/>
            <w:gridCol w:w="1600"/>
          </w:tblGrid>
        </w:tblGridChange>
      </w:tblGrid>
      <w:tr>
        <w:trPr>
          <w:cantSplit w:val="1"/>
          <w:tblHeader w:val="1"/>
        </w:trPr>
        <w:tc>
          <w:tcPr>
            <w:vAlign w:val="bottom"/>
          </w:tcPr>
          <w:p w:rsidR="00000000" w:rsidDel="00000000" w:rsidP="00000000" w:rsidRDefault="00000000" w:rsidRPr="00000000" w14:paraId="000009A9">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9AA">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9A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r>
              <w:rPr>
                <w:rtl w:val="0"/>
              </w:rPr>
            </w:r>
          </w:p>
        </w:tc>
        <w:tc>
          <w:tcPr>
            <w:vAlign w:val="bottom"/>
          </w:tcPr>
          <w:p w:rsidR="00000000" w:rsidDel="00000000" w:rsidP="00000000" w:rsidRDefault="00000000" w:rsidRPr="00000000" w14:paraId="000009A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r>
              <w:rPr>
                <w:rtl w:val="0"/>
              </w:rPr>
            </w:r>
          </w:p>
        </w:tc>
        <w:tc>
          <w:tcPr>
            <w:vAlign w:val="bottom"/>
          </w:tcPr>
          <w:p w:rsidR="00000000" w:rsidDel="00000000" w:rsidP="00000000" w:rsidRDefault="00000000" w:rsidRPr="00000000" w14:paraId="000009A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r>
              <w:rPr>
                <w:rtl w:val="0"/>
              </w:rPr>
            </w:r>
          </w:p>
        </w:tc>
        <w:tc>
          <w:tcPr>
            <w:vAlign w:val="bottom"/>
          </w:tcPr>
          <w:p w:rsidR="00000000" w:rsidDel="00000000" w:rsidP="00000000" w:rsidRDefault="00000000" w:rsidRPr="00000000" w14:paraId="000009A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Borders>
              <w:top w:color="808080" w:space="0" w:sz="4" w:val="single"/>
              <w:bottom w:color="808080" w:space="0" w:sz="4" w:val="single"/>
            </w:tcBorders>
          </w:tcPr>
          <w:p w:rsidR="00000000" w:rsidDel="00000000" w:rsidP="00000000" w:rsidRDefault="00000000" w:rsidRPr="00000000" w14:paraId="000009B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Borders>
              <w:top w:color="808080" w:space="0" w:sz="4" w:val="single"/>
              <w:bottom w:color="808080" w:space="0" w:sz="4" w:val="single"/>
            </w:tcBorders>
          </w:tcPr>
          <w:p w:rsidR="00000000" w:rsidDel="00000000" w:rsidP="00000000" w:rsidRDefault="00000000" w:rsidRPr="00000000" w14:paraId="000009B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Borders>
              <w:top w:color="808080" w:space="0" w:sz="4" w:val="single"/>
              <w:bottom w:color="808080" w:space="0" w:sz="4" w:val="single"/>
            </w:tcBorders>
          </w:tcPr>
          <w:p w:rsidR="00000000" w:rsidDel="00000000" w:rsidP="00000000" w:rsidRDefault="00000000" w:rsidRPr="00000000" w14:paraId="000009BF">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Borders>
              <w:top w:color="808080" w:space="0" w:sz="4" w:val="single"/>
              <w:bottom w:color="808080" w:space="0" w:sz="4" w:val="single"/>
            </w:tcBorders>
          </w:tcPr>
          <w:p w:rsidR="00000000" w:rsidDel="00000000" w:rsidP="00000000" w:rsidRDefault="00000000" w:rsidRPr="00000000" w14:paraId="000009C0">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1">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9C2">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3">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4">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Borders>
              <w:top w:color="808080" w:space="0" w:sz="4" w:val="single"/>
              <w:bottom w:color="808080" w:space="0" w:sz="4" w:val="single"/>
            </w:tcBorders>
          </w:tcPr>
          <w:p w:rsidR="00000000" w:rsidDel="00000000" w:rsidP="00000000" w:rsidRDefault="00000000" w:rsidRPr="00000000" w14:paraId="000009C5">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Borders>
              <w:top w:color="808080" w:space="0" w:sz="4" w:val="single"/>
              <w:bottom w:color="808080" w:space="0" w:sz="4" w:val="single"/>
            </w:tcBorders>
          </w:tcPr>
          <w:p w:rsidR="00000000" w:rsidDel="00000000" w:rsidP="00000000" w:rsidRDefault="00000000" w:rsidRPr="00000000" w14:paraId="000009C6">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Borders>
              <w:top w:color="808080" w:space="0" w:sz="4" w:val="single"/>
              <w:bottom w:color="808080" w:space="0" w:sz="4" w:val="single"/>
            </w:tcBorders>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Borders>
              <w:top w:color="808080" w:space="0" w:sz="4" w:val="single"/>
              <w:bottom w:color="808080" w:space="0" w:sz="4" w:val="single"/>
            </w:tcBorders>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tesis/cierre/anexo_l/comprobaciones.md reúne las órdenes completas (Anexo L.7).</w:t>
      </w:r>
      <w:r>
        <w:rPr>
          <w:rtl w:val="0"/>
        </w:rPr>
      </w:r>
    </w:p>
    <w:p w:rsidR="00000000" w:rsidDel="00000000" w:rsidP="00000000" w:rsidRDefault="00000000" w:rsidRPr="00000000" w14:paraId="000009CE">
      <w:pPr>
        <w:pStyle w:val="Heading2"/>
        <w:rPr/>
      </w:pPr>
      <w:r>
        <w:rPr>
          <w:b w:val="1"/>
          <w:bCs w:val="1"/>
          <w:rtl w:val="0"/>
        </w:rPr>
        <w:t xml:space="preserve">F.2 Evolución de la evidencia</w:t>
      </w:r>
      <w:r>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r>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14:paraId="000009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r>
        <w:rPr>
          <w:rtl w:val="0"/>
        </w:rPr>
      </w:r>
    </w:p>
    <w:tbl>
      <w:tblPr>
        <w:tblStyle w:val="Table35"/>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Change w:id="0">
          <w:tblGrid>
            <w:gridCol w:w="1250"/>
            <w:gridCol w:w="4730"/>
            <w:gridCol w:w="3000"/>
          </w:tblGrid>
        </w:tblGridChange>
      </w:tblGrid>
      <w:tr>
        <w:trPr>
          <w:cantSplit w:val="1"/>
          <w:tblHeader w:val="1"/>
        </w:trPr>
        <w:tc>
          <w:tcPr>
            <w:vAlign w:val="bottom"/>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r>
              <w:rPr>
                <w:rtl w:val="0"/>
              </w:rPr>
            </w:r>
          </w:p>
        </w:tc>
        <w:tc>
          <w:tcPr>
            <w:vAlign w:val="bottom"/>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r>
              <w:rPr>
                <w:rtl w:val="0"/>
              </w:rPr>
            </w:r>
          </w:p>
        </w:tc>
        <w:tc>
          <w:tcPr>
            <w:vAlign w:val="bottom"/>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Borders>
              <w:top w:color="808080" w:space="0" w:sz="4" w:val="single"/>
              <w:bottom w:color="808080" w:space="0" w:sz="4" w:val="single"/>
            </w:tcBorders>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Borders>
              <w:top w:color="808080" w:space="0" w:sz="4" w:val="single"/>
              <w:bottom w:color="808080" w:space="0" w:sz="4" w:val="single"/>
            </w:tcBorders>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Borders>
              <w:top w:color="808080" w:space="0" w:sz="4" w:val="single"/>
              <w:bottom w:color="808080" w:space="0" w:sz="4" w:val="single"/>
            </w:tcBorders>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Borders>
              <w:top w:color="808080" w:space="0" w:sz="4" w:val="single"/>
              <w:bottom w:color="808080" w:space="0" w:sz="4" w:val="single"/>
            </w:tcBorders>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Borders>
              <w:top w:color="808080" w:space="0" w:sz="4" w:val="single"/>
              <w:bottom w:color="808080" w:space="0" w:sz="4" w:val="single"/>
            </w:tcBorders>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Borders>
              <w:top w:color="808080" w:space="0" w:sz="4" w:val="single"/>
              <w:bottom w:color="808080" w:space="0" w:sz="4" w:val="single"/>
            </w:tcBorders>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Borders>
              <w:top w:color="808080" w:space="0" w:sz="4" w:val="single"/>
              <w:bottom w:color="808080" w:space="0" w:sz="4" w:val="single"/>
            </w:tcBorders>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Borders>
              <w:top w:color="808080" w:space="0" w:sz="4" w:val="single"/>
              <w:bottom w:color="808080" w:space="0" w:sz="4" w:val="single"/>
            </w:tcBorders>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 la evidencia del commit de instantánea.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cuerpo no cita 7df4935, y ningún dictamen descansa solo en él: la nota de la Tabla 35 registra que las pruebas E2E dirigidas de siete historias aprobaron en esa versión y también en 7a7ee50, que firma Ezequiel González. Como indica la nota de la Tabla 34, esa evidencia no puede reasignarse a 6948aae sin repetir las pruebas sobre ese commit.</w:t>
      </w:r>
    </w:p>
    <w:p w:rsidR="00000000" w:rsidDel="00000000" w:rsidP="00000000" w:rsidRDefault="00000000" w:rsidRPr="00000000" w14:paraId="000009E8">
      <w:pPr>
        <w:pStyle w:val="Heading2"/>
        <w:rPr/>
      </w:pPr>
      <w:r>
        <w:rPr>
          <w:b w:val="1"/>
          <w:bCs w:val="1"/>
          <w:rtl w:val="0"/>
        </w:rPr>
        <w:t xml:space="preserve">F.3 Pendientes vigentes</w:t>
      </w:r>
      <w:r>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r>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r>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procedimientos del Anexo L se publicaron como scripts versionados, y scripts/analisis_mcnemar.py aplica la corrección de φ y conserva el cálculo sin ella.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tres paquetes del 3 de octubre sin manifiesto se sellaron con su manifiesto y un acta, ACTA_SELLADO.md.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restauraron desde el historial los archivos alterados de dos paquetes de v1.0-tesis y v2.0-tesis, con un acta, y el arnés aborta antes de escribir en un paquete sellado.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la evidencia los valores de las Tablas 17 a 21 y 23 y, con --docx, comprueba que figuren en su lugar del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Figuras 9 y 10 se regeneraron desde sus fuentes con Graphviz 2.43.0, y sus SVG son idénticos a los que incrusta 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 en entrega-tesis-v8.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 El detalle de cada resolución, con sus commits, figura en tesis/cierre/anexo_f/material_trasladado.md.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Ninguna etiqueta de entrega modifica el producto: entre entrega-tesis y entrega-tesis-v11, git diff --stat sobre agent, backend/app y frontend no informa cambios. Los archivos que cambia cada etiqueta figuran en tesis/cierre/anexo_f/material_trasladado.md.</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Pendientes.</w:t>
      </w:r>
      <w:r>
        <w:rPr>
          <w:b w:val="0"/>
          <w:bCs w:val="0"/>
          <w:i w:val="0"/>
          <w:iCs w:val="0"/>
          <w:rtl w:val="0"/>
        </w:rPr>
        <w:t xml:space="preserve"> Siguen abiertos P-1 a P-6, que exigen infraestructura o decisiones organizacionales.</w:t>
      </w:r>
      <w:r>
        <w:rPr>
          <w:rtl w:val="0"/>
        </w:rPr>
      </w:r>
    </w:p>
    <w:bookmarkStart w:colFirst="0" w:colLast="0" w:name="lz1q0ut7eq5f" w:id="86"/>
    <w:bookmarkEnd w:id="86"/>
    <w:p w:rsidR="00000000" w:rsidDel="00000000" w:rsidP="00000000" w:rsidRDefault="00000000" w:rsidRPr="00000000" w14:paraId="000009FB">
      <w:pPr>
        <w:pStyle w:val="Heading2"/>
        <w:rPr/>
      </w:pPr>
      <w:r>
        <w:rPr>
          <w:b w:val="1"/>
          <w:bCs w:val="1"/>
          <w:rtl w:val="0"/>
        </w:rPr>
        <w:t xml:space="preserve">Anexo G. Listado de historias de usuario del backlog funcional</w:t>
      </w:r>
      <w:r>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417" w:top="1417" w:left="1701" w:right="1134" w:header="708" w:footer="708"/>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r>
        <w:rPr>
          <w:rtl w:val="0"/>
        </w:rPr>
      </w:r>
    </w:p>
    <w:tbl>
      <w:tblPr>
        <w:tblStyle w:val="Table36"/>
        <w:tblW w:w="14000" w:type="dxa"/>
        <w:jc w:val="left"/>
        <w:tblBorders>
          <w:top w:color="000000" w:space="0" w:sz="8" w:val="single"/>
          <w:bottom w:color="000000" w:space="0" w:sz="8" w:val="single"/>
          <w:insideH w:color="808080" w:space="0" w:sz="4" w:val="single"/>
        </w:tblBorders>
        <w:tblLayout w:type="fixed"/>
        <w:tblLook w:val="0020"/>
      </w:tblPr>
      <w:tblGrid>
        <w:gridCol w:w="1000"/>
        <w:gridCol w:w="3600"/>
        <w:gridCol w:w="1200"/>
        <w:gridCol w:w="3500"/>
        <w:gridCol w:w="4700"/>
        <w:tblGridChange w:id="0">
          <w:tblGrid>
            <w:gridCol w:w="1000"/>
            <w:gridCol w:w="3600"/>
            <w:gridCol w:w="1200"/>
            <w:gridCol w:w="3500"/>
            <w:gridCol w:w="4700"/>
          </w:tblGrid>
        </w:tblGridChange>
      </w:tblGrid>
      <w:tr>
        <w:trPr>
          <w:cantSplit w:val="0"/>
          <w:tblHeader w:val="1"/>
        </w:trPr>
        <w:tc>
          <w:tcPr>
            <w:tcBorders>
              <w:bottom w:color="808080" w:space="0" w:sz="4" w:val="single"/>
            </w:tcBorders>
          </w:tcPr>
          <w:p w:rsidR="00000000" w:rsidDel="00000000" w:rsidP="00000000" w:rsidRDefault="00000000" w:rsidRPr="00000000" w14:paraId="000009FE">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9FF">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A00">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A01">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A02">
            <w:pPr>
              <w:spacing w:after="40" w:before="40" w:line="240" w:lineRule="auto"/>
              <w:rPr>
                <w:sz w:val="20"/>
                <w:szCs w:val="20"/>
              </w:rPr>
            </w:pPr>
            <w:r>
              <w:rPr>
                <w:b w:val="1"/>
                <w:bCs w:val="1"/>
                <w:sz w:val="17"/>
                <w:szCs w:val="17"/>
                <w:rtl w:val="0"/>
              </w:rPr>
              <w:t xml:space="preserve">Criterios faltantes o límite</w:t>
            </w:r>
            <w:r>
              <w:rPr>
                <w:rtl w:val="0"/>
              </w:rPr>
            </w:r>
          </w:p>
        </w:tc>
      </w:tr>
      <w:tr>
        <w:trPr>
          <w:cantSplit w:val="0"/>
          <w:tblHeader w:val="0"/>
        </w:trPr>
        <w:tc>
          <w:tcPr>
            <w:tcBorders>
              <w:top w:color="808080" w:space="0" w:sz="4" w:val="single"/>
            </w:tcBorders>
          </w:tcPr>
          <w:p w:rsidR="00000000" w:rsidDel="00000000" w:rsidP="00000000" w:rsidRDefault="00000000" w:rsidRPr="00000000" w14:paraId="00000A03">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A04">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r>
              <w:rPr>
                <w:rtl w:val="0"/>
              </w:rPr>
            </w:r>
          </w:p>
        </w:tc>
        <w:tc>
          <w:tcPr>
            <w:tcBorders>
              <w:top w:color="808080" w:space="0" w:sz="4" w:val="single"/>
            </w:tcBorders>
          </w:tcPr>
          <w:p w:rsidR="00000000" w:rsidDel="00000000" w:rsidP="00000000" w:rsidRDefault="00000000" w:rsidRPr="00000000" w14:paraId="00000A05">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A06">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solo en memoria), ProtectedRoute.test.tsx (scope password_change_only), Login.test.tsx y core/test_rate_limit_load.py. Evidencia: tesis/cierre/evidencia/v10-closure-20260912T190052Z/backlog/.</w:t>
            </w:r>
            <w:r>
              <w:rPr>
                <w:rtl w:val="0"/>
              </w:rPr>
            </w:r>
          </w:p>
        </w:tc>
        <w:tc>
          <w:tcPr>
            <w:tcBorders>
              <w:top w:color="808080" w:space="0" w:sz="4" w:val="single"/>
            </w:tcBorders>
          </w:tcPr>
          <w:p w:rsidR="00000000" w:rsidDel="00000000" w:rsidP="00000000" w:rsidRDefault="00000000" w:rsidRPr="00000000" w14:paraId="00000A07">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cantSplit w:val="0"/>
          <w:tblHeader w:val="0"/>
        </w:trPr>
        <w:tc>
          <w:tcPr/>
          <w:p w:rsidR="00000000" w:rsidDel="00000000" w:rsidP="00000000" w:rsidRDefault="00000000" w:rsidRPr="00000000" w14:paraId="00000A08">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A09">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A0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0B">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r>
              <w:rPr>
                <w:rtl w:val="0"/>
              </w:rPr>
            </w:r>
          </w:p>
        </w:tc>
        <w:tc>
          <w:tcPr/>
          <w:p w:rsidR="00000000" w:rsidDel="00000000" w:rsidP="00000000" w:rsidRDefault="00000000" w:rsidRPr="00000000" w14:paraId="00000A0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0D">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A0E">
            <w:pPr>
              <w:spacing w:after="40" w:before="40" w:line="240" w:lineRule="auto"/>
              <w:rPr>
                <w:sz w:val="20"/>
                <w:szCs w:val="20"/>
              </w:rPr>
            </w:pPr>
            <w:r>
              <w:rPr>
                <w:rFonts w:ascii="Times New Roman" w:cs="Times New Roman" w:eastAsia="Times New Roman" w:hAnsi="Times New Roman"/>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A0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0">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1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2">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A13">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r>
              <w:rPr>
                <w:rtl w:val="0"/>
              </w:rPr>
            </w:r>
          </w:p>
        </w:tc>
        <w:tc>
          <w:tcPr/>
          <w:p w:rsidR="00000000" w:rsidDel="00000000" w:rsidP="00000000" w:rsidRDefault="00000000" w:rsidRPr="00000000" w14:paraId="00000A1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5">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A1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7">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A18">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A19">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1A">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A1B">
            <w:pPr>
              <w:spacing w:after="40" w:before="40" w:line="240" w:lineRule="auto"/>
              <w:rPr>
                <w:sz w:val="20"/>
                <w:szCs w:val="20"/>
              </w:rPr>
            </w:pPr>
            <w:r>
              <w:rPr>
                <w:rFonts w:ascii="Times New Roman" w:cs="Times New Roman" w:eastAsia="Times New Roman" w:hAnsi="Times New Roman"/>
                <w:sz w:val="17"/>
                <w:szCs w:val="17"/>
                <w:rtl w:val="0"/>
              </w:rPr>
              <w:t xml:space="preserve">El banner amarillo se activa ante cualquier alerta fallida terminal, no solo con retry_count ≥ 3. Una decisión de arquitectura redefine el banner sobre alerts con failed_at y sin delivered_at, pero no se usa para reinterpretar el criterio canónico.</w:t>
            </w:r>
            <w:r>
              <w:rPr>
                <w:rtl w:val="0"/>
              </w:rPr>
            </w:r>
          </w:p>
        </w:tc>
      </w:tr>
      <w:tr>
        <w:trPr>
          <w:cantSplit w:val="0"/>
          <w:tblHeader w:val="0"/>
        </w:trPr>
        <w:tc>
          <w:tcPr/>
          <w:p w:rsidR="00000000" w:rsidDel="00000000" w:rsidP="00000000" w:rsidRDefault="00000000" w:rsidRPr="00000000" w14:paraId="00000A1C">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A1D">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A1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F">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r>
              <w:rPr>
                <w:rtl w:val="0"/>
              </w:rPr>
            </w:r>
          </w:p>
        </w:tc>
        <w:tc>
          <w:tcPr/>
          <w:p w:rsidR="00000000" w:rsidDel="00000000" w:rsidP="00000000" w:rsidRDefault="00000000" w:rsidRPr="00000000" w14:paraId="00000A2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21">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A22">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A2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4">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r>
              <w:rPr>
                <w:rtl w:val="0"/>
              </w:rPr>
            </w:r>
          </w:p>
        </w:tc>
        <w:tc>
          <w:tcPr/>
          <w:p w:rsidR="00000000" w:rsidDel="00000000" w:rsidP="00000000" w:rsidRDefault="00000000" w:rsidRPr="00000000" w14:paraId="00000A25">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cantSplit w:val="0"/>
          <w:tblHeader w:val="0"/>
        </w:trPr>
        <w:tc>
          <w:tcPr/>
          <w:p w:rsidR="00000000" w:rsidDel="00000000" w:rsidP="00000000" w:rsidRDefault="00000000" w:rsidRPr="00000000" w14:paraId="00000A26">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A27">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r>
              <w:rPr>
                <w:rtl w:val="0"/>
              </w:rPr>
            </w:r>
          </w:p>
        </w:tc>
        <w:tc>
          <w:tcPr/>
          <w:p w:rsidR="00000000" w:rsidDel="00000000" w:rsidP="00000000" w:rsidRDefault="00000000" w:rsidRPr="00000000" w14:paraId="00000A2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9">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r>
              <w:rPr>
                <w:rtl w:val="0"/>
              </w:rPr>
            </w:r>
          </w:p>
        </w:tc>
        <w:tc>
          <w:tcPr/>
          <w:p w:rsidR="00000000" w:rsidDel="00000000" w:rsidP="00000000" w:rsidRDefault="00000000" w:rsidRPr="00000000" w14:paraId="00000A2A">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r>
              <w:rPr>
                <w:rtl w:val="0"/>
              </w:rPr>
            </w:r>
          </w:p>
        </w:tc>
      </w:tr>
      <w:tr>
        <w:trPr>
          <w:cantSplit w:val="0"/>
          <w:tblHeader w:val="0"/>
        </w:trPr>
        <w:tc>
          <w:tcPr/>
          <w:p w:rsidR="00000000" w:rsidDel="00000000" w:rsidP="00000000" w:rsidRDefault="00000000" w:rsidRPr="00000000" w14:paraId="00000A2B">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A2C">
            <w:pPr>
              <w:spacing w:after="40" w:before="40" w:line="240" w:lineRule="auto"/>
              <w:rPr>
                <w:sz w:val="20"/>
                <w:szCs w:val="20"/>
              </w:rPr>
            </w:pPr>
            <w:r>
              <w:rPr>
                <w:sz w:val="17"/>
                <w:szCs w:val="17"/>
                <w:rtl w:val="0"/>
              </w:rPr>
              <w:t xml:space="preserve">Diff de un evento: vista lado a lado o unificada. Diff solo para texto. Binarios con comparación de hashes y hex dump parcial. Detección automática. React-diff-viewer-continued con escapado. No loguear el contenido del diff y registrar solo hashes/tamaño</w:t>
            </w:r>
            <w:r>
              <w:rPr>
                <w:rtl w:val="0"/>
              </w:rPr>
            </w:r>
          </w:p>
        </w:tc>
        <w:tc>
          <w:tcPr/>
          <w:p w:rsidR="00000000" w:rsidDel="00000000" w:rsidP="00000000" w:rsidRDefault="00000000" w:rsidRPr="00000000" w14:paraId="00000A2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E">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r>
              <w:rPr>
                <w:rtl w:val="0"/>
              </w:rPr>
            </w:r>
          </w:p>
        </w:tc>
        <w:tc>
          <w:tcPr/>
          <w:p w:rsidR="00000000" w:rsidDel="00000000" w:rsidP="00000000" w:rsidRDefault="00000000" w:rsidRPr="00000000" w14:paraId="00000A2F">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cantSplit w:val="0"/>
          <w:tblHeader w:val="0"/>
        </w:trPr>
        <w:tc>
          <w:tcPr/>
          <w:p w:rsidR="00000000" w:rsidDel="00000000" w:rsidP="00000000" w:rsidRDefault="00000000" w:rsidRPr="00000000" w14:paraId="00000A30">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A31">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A3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33">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r>
              <w:rPr>
                <w:rtl w:val="0"/>
              </w:rPr>
            </w:r>
          </w:p>
        </w:tc>
        <w:tc>
          <w:tcPr/>
          <w:p w:rsidR="00000000" w:rsidDel="00000000" w:rsidP="00000000" w:rsidRDefault="00000000" w:rsidRPr="00000000" w14:paraId="00000A3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35">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A36">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r>
              <w:rPr>
                <w:rtl w:val="0"/>
              </w:rPr>
            </w:r>
          </w:p>
        </w:tc>
        <w:tc>
          <w:tcPr/>
          <w:p w:rsidR="00000000" w:rsidDel="00000000" w:rsidP="00000000" w:rsidRDefault="00000000" w:rsidRPr="00000000" w14:paraId="00000A3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8">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A39">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r>
              <w:rPr>
                <w:rtl w:val="0"/>
              </w:rPr>
            </w:r>
          </w:p>
        </w:tc>
      </w:tr>
      <w:tr>
        <w:trPr>
          <w:cantSplit w:val="0"/>
          <w:tblHeader w:val="0"/>
        </w:trPr>
        <w:tc>
          <w:tcPr/>
          <w:p w:rsidR="00000000" w:rsidDel="00000000" w:rsidP="00000000" w:rsidRDefault="00000000" w:rsidRPr="00000000" w14:paraId="00000A3A">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A3B">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r>
              <w:rPr>
                <w:rtl w:val="0"/>
              </w:rPr>
            </w:r>
          </w:p>
        </w:tc>
        <w:tc>
          <w:tcPr/>
          <w:p w:rsidR="00000000" w:rsidDel="00000000" w:rsidP="00000000" w:rsidRDefault="00000000" w:rsidRPr="00000000" w14:paraId="00000A3C">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D">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A3E">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cantSplit w:val="0"/>
          <w:tblHeader w:val="0"/>
        </w:trPr>
        <w:tc>
          <w:tcPr/>
          <w:p w:rsidR="00000000" w:rsidDel="00000000" w:rsidP="00000000" w:rsidRDefault="00000000" w:rsidRPr="00000000" w14:paraId="00000A3F">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A40">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r>
              <w:rPr>
                <w:rtl w:val="0"/>
              </w:rPr>
            </w:r>
          </w:p>
        </w:tc>
        <w:tc>
          <w:tcPr/>
          <w:p w:rsidR="00000000" w:rsidDel="00000000" w:rsidP="00000000" w:rsidRDefault="00000000" w:rsidRPr="00000000" w14:paraId="00000A4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2">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A43">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4">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A45">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A4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7">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r>
              <w:rPr>
                <w:rtl w:val="0"/>
              </w:rPr>
            </w:r>
          </w:p>
        </w:tc>
        <w:tc>
          <w:tcPr/>
          <w:p w:rsidR="00000000" w:rsidDel="00000000" w:rsidP="00000000" w:rsidRDefault="00000000" w:rsidRPr="00000000" w14:paraId="00000A4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9">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A4A">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r>
              <w:rPr>
                <w:rtl w:val="0"/>
              </w:rPr>
            </w:r>
          </w:p>
        </w:tc>
        <w:tc>
          <w:tcPr/>
          <w:p w:rsidR="00000000" w:rsidDel="00000000" w:rsidP="00000000" w:rsidRDefault="00000000" w:rsidRPr="00000000" w14:paraId="00000A4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C">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r>
              <w:rPr>
                <w:rtl w:val="0"/>
              </w:rPr>
            </w:r>
          </w:p>
        </w:tc>
        <w:tc>
          <w:tcPr/>
          <w:p w:rsidR="00000000" w:rsidDel="00000000" w:rsidP="00000000" w:rsidRDefault="00000000" w:rsidRPr="00000000" w14:paraId="00000A4D">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E">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A4F">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A5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1">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2">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3">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A54">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A5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6">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7">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8">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A59">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r>
              <w:rPr>
                <w:rtl w:val="0"/>
              </w:rPr>
            </w:r>
          </w:p>
        </w:tc>
        <w:tc>
          <w:tcPr/>
          <w:p w:rsidR="00000000" w:rsidDel="00000000" w:rsidP="00000000" w:rsidRDefault="00000000" w:rsidRPr="00000000" w14:paraId="00000A5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B">
            <w:pPr>
              <w:spacing w:after="40" w:before="40" w:line="240" w:lineRule="auto"/>
              <w:rPr>
                <w:sz w:val="20"/>
                <w:szCs w:val="20"/>
              </w:rPr>
            </w:pPr>
            <w:r>
              <w:rPr>
                <w:rFonts w:ascii="Times New Roman" w:cs="Times New Roman" w:eastAsia="Times New Roman" w:hAnsi="Times New Roman"/>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r>
              <w:rPr>
                <w:rtl w:val="0"/>
              </w:rPr>
            </w:r>
          </w:p>
        </w:tc>
        <w:tc>
          <w:tcPr/>
          <w:p w:rsidR="00000000" w:rsidDel="00000000" w:rsidP="00000000" w:rsidRDefault="00000000" w:rsidRPr="00000000" w14:paraId="00000A5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D">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A5E">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A5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0">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r>
              <w:rPr>
                <w:rtl w:val="0"/>
              </w:rPr>
            </w:r>
          </w:p>
        </w:tc>
        <w:tc>
          <w:tcPr/>
          <w:p w:rsidR="00000000" w:rsidDel="00000000" w:rsidP="00000000" w:rsidRDefault="00000000" w:rsidRPr="00000000" w14:paraId="00000A6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2">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A63">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A6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5">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r>
              <w:rPr>
                <w:rtl w:val="0"/>
              </w:rPr>
            </w:r>
          </w:p>
        </w:tc>
        <w:tc>
          <w:tcPr/>
          <w:p w:rsidR="00000000" w:rsidDel="00000000" w:rsidP="00000000" w:rsidRDefault="00000000" w:rsidRPr="00000000" w14:paraId="00000A6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7">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A68">
            <w:pPr>
              <w:spacing w:after="40" w:before="40" w:line="240" w:lineRule="auto"/>
              <w:rPr>
                <w:sz w:val="20"/>
                <w:szCs w:val="20"/>
              </w:rPr>
            </w:pPr>
            <w:r>
              <w:rPr>
                <w:rFonts w:ascii="Times New Roman" w:cs="Times New Roman" w:eastAsia="Times New Roman" w:hAnsi="Times New Roman"/>
                <w:sz w:val="17"/>
                <w:szCs w:val="17"/>
                <w:rtl w:val="0"/>
              </w:rPr>
              <w:t xml:space="preserve">Estado de agentes: Lista. Identificador, estado, última actividad, ruleset_version, queue_size. Realce de no-ok. Heartbeat 10 s / 30 s → offline / 5 min → dead + webhook / shutdown → draining. Banner de queue_pressure</w:t>
            </w:r>
            <w:r>
              <w:rPr>
                <w:rtl w:val="0"/>
              </w:rPr>
            </w:r>
          </w:p>
        </w:tc>
        <w:tc>
          <w:tcPr/>
          <w:p w:rsidR="00000000" w:rsidDel="00000000" w:rsidP="00000000" w:rsidRDefault="00000000" w:rsidRPr="00000000" w14:paraId="00000A6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A">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r>
              <w:rPr>
                <w:rtl w:val="0"/>
              </w:rPr>
            </w:r>
          </w:p>
        </w:tc>
        <w:tc>
          <w:tcPr/>
          <w:p w:rsidR="00000000" w:rsidDel="00000000" w:rsidP="00000000" w:rsidRDefault="00000000" w:rsidRPr="00000000" w14:paraId="00000A6B">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cantSplit w:val="0"/>
          <w:tblHeader w:val="0"/>
        </w:trPr>
        <w:tc>
          <w:tcPr/>
          <w:p w:rsidR="00000000" w:rsidDel="00000000" w:rsidP="00000000" w:rsidRDefault="00000000" w:rsidRPr="00000000" w14:paraId="00000A6C">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A6D">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r>
              <w:rPr>
                <w:rtl w:val="0"/>
              </w:rPr>
            </w:r>
          </w:p>
        </w:tc>
        <w:tc>
          <w:tcPr/>
          <w:p w:rsidR="00000000" w:rsidDel="00000000" w:rsidP="00000000" w:rsidRDefault="00000000" w:rsidRPr="00000000" w14:paraId="00000A6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F">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r>
              <w:rPr>
                <w:rtl w:val="0"/>
              </w:rPr>
            </w:r>
          </w:p>
        </w:tc>
        <w:tc>
          <w:tcPr/>
          <w:p w:rsidR="00000000" w:rsidDel="00000000" w:rsidP="00000000" w:rsidRDefault="00000000" w:rsidRPr="00000000" w14:paraId="00000A7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71">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A72">
            <w:pPr>
              <w:spacing w:after="40" w:before="40" w:line="240" w:lineRule="auto"/>
              <w:rPr>
                <w:sz w:val="20"/>
                <w:szCs w:val="20"/>
              </w:rPr>
            </w:pPr>
            <w:r>
              <w:rPr>
                <w:rFonts w:ascii="Times New Roman" w:cs="Times New Roman" w:eastAsia="Times New Roman" w:hAnsi="Times New Roman"/>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A73">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74">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A75">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r>
              <w:rPr>
                <w:rtl w:val="0"/>
              </w:rPr>
            </w:r>
          </w:p>
        </w:tc>
      </w:tr>
      <w:tr>
        <w:trPr>
          <w:cantSplit w:val="0"/>
          <w:tblHeader w:val="0"/>
        </w:trPr>
        <w:tc>
          <w:tcPr/>
          <w:p w:rsidR="00000000" w:rsidDel="00000000" w:rsidP="00000000" w:rsidRDefault="00000000" w:rsidRPr="00000000" w14:paraId="00000A76">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A77">
            <w:pPr>
              <w:spacing w:after="40" w:before="40" w:line="240" w:lineRule="auto"/>
              <w:rPr>
                <w:sz w:val="20"/>
                <w:szCs w:val="20"/>
              </w:rPr>
            </w:pPr>
            <w:r>
              <w:rPr>
                <w:rFonts w:ascii="Times New Roman" w:cs="Times New Roman" w:eastAsia="Times New Roman" w:hAnsi="Times New Roman"/>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r>
              <w:rPr>
                <w:rtl w:val="0"/>
              </w:rPr>
            </w:r>
          </w:p>
        </w:tc>
        <w:tc>
          <w:tcPr/>
          <w:p w:rsidR="00000000" w:rsidDel="00000000" w:rsidP="00000000" w:rsidRDefault="00000000" w:rsidRPr="00000000" w14:paraId="00000A7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9">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r>
              <w:rPr>
                <w:rtl w:val="0"/>
              </w:rPr>
            </w:r>
          </w:p>
        </w:tc>
        <w:tc>
          <w:tcPr/>
          <w:p w:rsidR="00000000" w:rsidDel="00000000" w:rsidP="00000000" w:rsidRDefault="00000000" w:rsidRPr="00000000" w14:paraId="00000A7A">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cantSplit w:val="0"/>
          <w:tblHeader w:val="0"/>
        </w:trPr>
        <w:tc>
          <w:tcPr/>
          <w:p w:rsidR="00000000" w:rsidDel="00000000" w:rsidP="00000000" w:rsidRDefault="00000000" w:rsidRPr="00000000" w14:paraId="00000A7B">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A7C">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A7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E">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7F">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0">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A81">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A8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3">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r>
              <w:rPr>
                <w:rtl w:val="0"/>
              </w:rPr>
            </w:r>
          </w:p>
        </w:tc>
        <w:tc>
          <w:tcPr/>
          <w:p w:rsidR="00000000" w:rsidDel="00000000" w:rsidP="00000000" w:rsidRDefault="00000000" w:rsidRPr="00000000" w14:paraId="00000A8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5">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A86">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r>
              <w:rPr>
                <w:rtl w:val="0"/>
              </w:rPr>
            </w:r>
          </w:p>
        </w:tc>
        <w:tc>
          <w:tcPr/>
          <w:p w:rsidR="00000000" w:rsidDel="00000000" w:rsidP="00000000" w:rsidRDefault="00000000" w:rsidRPr="00000000" w14:paraId="00000A8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88">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A89">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cantSplit w:val="0"/>
          <w:tblHeader w:val="0"/>
        </w:trPr>
        <w:tc>
          <w:tcPr/>
          <w:p w:rsidR="00000000" w:rsidDel="00000000" w:rsidP="00000000" w:rsidRDefault="00000000" w:rsidRPr="00000000" w14:paraId="00000A8A">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A8B">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A8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D">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r>
              <w:rPr>
                <w:rtl w:val="0"/>
              </w:rPr>
            </w:r>
          </w:p>
        </w:tc>
        <w:tc>
          <w:tcPr/>
          <w:p w:rsidR="00000000" w:rsidDel="00000000" w:rsidP="00000000" w:rsidRDefault="00000000" w:rsidRPr="00000000" w14:paraId="00000A8E">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F">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A90">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A91">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92">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A93">
            <w:pPr>
              <w:spacing w:after="40" w:before="40" w:line="240" w:lineRule="auto"/>
              <w:rPr>
                <w:sz w:val="20"/>
                <w:szCs w:val="20"/>
              </w:rPr>
            </w:pPr>
            <w:r>
              <w:rPr>
                <w:rFonts w:ascii="Times New Roman" w:cs="Times New Roman" w:eastAsia="Times New Roman" w:hAnsi="Times New Roman"/>
                <w:sz w:val="17"/>
                <w:szCs w:val="17"/>
                <w:rtl w:val="0"/>
              </w:rPr>
              <w:t xml:space="preserve">Faltan umbral retry_count ≥ 3, ruta específica, audit_log de reintento y descarte, y una prueba del reintento masivo, que está implementado (FailedAlerts.tsx). La persistencia real usa alerts, no failed_notifications.</w:t>
            </w:r>
            <w:r>
              <w:rPr>
                <w:rtl w:val="0"/>
              </w:rPr>
            </w:r>
          </w:p>
        </w:tc>
      </w:tr>
      <w:tr>
        <w:trPr>
          <w:cantSplit w:val="0"/>
          <w:tblHeader w:val="0"/>
        </w:trPr>
        <w:tc>
          <w:tcPr/>
          <w:p w:rsidR="00000000" w:rsidDel="00000000" w:rsidP="00000000" w:rsidRDefault="00000000" w:rsidRPr="00000000" w14:paraId="00000A94">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A95">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A9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7">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r>
              <w:rPr>
                <w:rtl w:val="0"/>
              </w:rPr>
            </w:r>
          </w:p>
        </w:tc>
        <w:tc>
          <w:tcPr/>
          <w:p w:rsidR="00000000" w:rsidDel="00000000" w:rsidP="00000000" w:rsidRDefault="00000000" w:rsidRPr="00000000" w14:paraId="00000A9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99">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A9A">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A9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C">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r>
              <w:rPr>
                <w:rtl w:val="0"/>
              </w:rPr>
            </w:r>
          </w:p>
        </w:tc>
        <w:tc>
          <w:tcPr/>
          <w:p w:rsidR="00000000" w:rsidDel="00000000" w:rsidP="00000000" w:rsidRDefault="00000000" w:rsidRPr="00000000" w14:paraId="00000A9D">
            <w:pPr>
              <w:spacing w:after="40" w:before="40" w:line="240" w:lineRule="auto"/>
              <w:rPr>
                <w:sz w:val="20"/>
                <w:szCs w:val="20"/>
              </w:rPr>
            </w:pPr>
            <w:r>
              <w:rPr>
                <w:sz w:val="17"/>
                <w:szCs w:val="17"/>
                <w:rtl w:val="0"/>
              </w:rPr>
              <w:t xml:space="preserve">—</w:t>
            </w:r>
            <w:r>
              <w:rPr>
                <w:rtl w:val="0"/>
              </w:rPr>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headerReference r:id="rId41" w:type="first"/>
          <w:headerReference r:id="rId42" w:type="even"/>
          <w:footerReference r:id="rId43" w:type="default"/>
          <w:footerReference r:id="rId44" w:type="first"/>
          <w:footerReference r:id="rId45"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r>
        <w:rPr>
          <w:rtl w:val="0"/>
        </w:rPr>
      </w:r>
    </w:p>
    <w:p w:rsidR="00000000" w:rsidDel="00000000" w:rsidP="00000000" w:rsidRDefault="00000000" w:rsidRPr="00000000" w14:paraId="00000A9F">
      <w:pPr>
        <w:pStyle w:val="Heading2"/>
        <w:rPr/>
      </w:pPr>
      <w:r>
        <w:rPr>
          <w:b w:val="1"/>
          <w:bCs w:val="1"/>
          <w:rtl w:val="0"/>
        </w:rPr>
        <w:t xml:space="preserve">Anexo H. Vista conceptual de componentes</w:t>
      </w:r>
      <w:r>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cita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A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descr="Figura 10. Componentes: seis módulos del agente, ocho módulos de dominio del backend más el núcleo transversal, la consola y Valkey Streams entre agente y backend." id="10" name="image9.png"/>
            <a:graphic>
              <a:graphicData uri="http://schemas.openxmlformats.org/drawingml/2006/picture">
                <pic:pic>
                  <pic:nvPicPr>
                    <pic:cNvPr descr="Figura 10. Componentes: seis módulos del agente, ocho módulos de dominio del backend más el núcleo transversal, la consola y Valkey Streams entre agente y backend." id="0" name="image9.png"/>
                    <pic:cNvPicPr preferRelativeResize="0"/>
                  </pic:nvPicPr>
                  <pic:blipFill>
                    <a:blip r:embed="rId4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r>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Organización interna de componentes de la plataforma FIM, en notación de diagrama de componentes de UML</w:t>
      </w:r>
      <w:r>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El diagrama se generó con inteligencia artificial desde la fuente del Anexo L.6, y los autores lo revisaron contra el sistema (apartado 9.1.2). El texto, en DejaVu Sans, se incrusta convertido a trazos; impresa a A4, la figura mide 15,2 cm de ancho y su texto más pequeño, 8,1 pt.</w:t>
      </w:r>
      <w:r>
        <w:rPr>
          <w:rtl w:val="0"/>
        </w:rPr>
      </w:r>
    </w:p>
    <w:p w:rsidR="00000000" w:rsidDel="00000000" w:rsidP="00000000" w:rsidRDefault="00000000" w:rsidRPr="00000000" w14:paraId="00000AA4">
      <w:pPr>
        <w:pStyle w:val="Heading2"/>
        <w:rPr/>
      </w:pPr>
      <w:r>
        <w:rPr>
          <w:b w:val="1"/>
          <w:bCs w:val="1"/>
          <w:rtl w:val="0"/>
        </w:rPr>
        <w:t xml:space="preserve">Anexo I. Hitos del desarrollo y responsables</w:t>
      </w:r>
      <w:r>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r>
        <w:rPr>
          <w:rtl w:val="0"/>
        </w:rPr>
      </w:r>
    </w:p>
    <w:tbl>
      <w:tblPr>
        <w:tblStyle w:val="Table37"/>
        <w:tblW w:w="8889"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r>
              <w:rPr>
                <w:rtl w:val="0"/>
              </w:rPr>
            </w:r>
          </w:p>
        </w:tc>
        <w:tc>
          <w:tcPr>
            <w:tcBorders>
              <w:top w:color="808080" w:space="0" w:sz="4" w:val="single"/>
              <w:bottom w:color="808080" w:space="0" w:sz="4" w:val="single"/>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23/10/2026</w:t>
            </w:r>
          </w:p>
        </w:tc>
        <w:tc>
          <w:tcPr>
            <w:tcBorders>
              <w:top w:color="808080" w:space="0" w:sz="4" w:val="single"/>
              <w:bottom w:color="808080" w:space="0" w:sz="4" w:val="single"/>
            </w:tcBorders>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r>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ADA">
      <w:pPr>
        <w:pStyle w:val="Heading2"/>
        <w:rPr/>
      </w:pPr>
      <w:r>
        <w:rPr>
          <w:b w:val="1"/>
          <w:bCs w:val="1"/>
          <w:rtl w:val="0"/>
        </w:rPr>
        <w:t xml:space="preserve">Anexo J. Núcleo del script del grupo de control</w:t>
      </w:r>
      <w:r>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solo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A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A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A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A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A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A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A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A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A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A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A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A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A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A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A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A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A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A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A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A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A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A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A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A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A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A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A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A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A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A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A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B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B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B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B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B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B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B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B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B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B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B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B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B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B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B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B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B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B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B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B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B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B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B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B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B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B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B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B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B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B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B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B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B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B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B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B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B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B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B35">
      <w:pPr>
        <w:pStyle w:val="Heading2"/>
        <w:rPr/>
      </w:pPr>
      <w:r>
        <w:rPr>
          <w:b w:val="1"/>
          <w:bCs w:val="1"/>
          <w:rtl w:val="0"/>
        </w:rPr>
        <w:t xml:space="preserve">Anexo K. Síntesis de la historia de la evaluación</w:t>
      </w:r>
      <w:r>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las evaluaciones de versiones anteriores, el ensayo sobre dos anfitriones, las correcciones que precedieron a v5.1-tesis, las corridas invalidadas y las lecciones sobre el instrumento. El texto completo, con la procedencia de cada afirmación, se conserva en tesis/cierre/HISTORIA_EVALUACION.md. Los identificadores de reglas, decisiones y cambios se consultan en docs/reglas_de_negocio.md, docs/arquitectura_stack.md y openspec/changes/archive/.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de 2026, co-residente y sin cifrado ni orquestador, midió un percentil 99 de 17,274 ms, con 493 de 500 operaciones con evento y 2.988 de 3.000 encoladas, sin traza causal de sus ausencias; sus valores se conservan en tesis/dataset_cap5.md. Siguieron los ensayos de septiembre sobre la línea de desarrollo, en los commits 7df4935 y 7a7ee50, y un ensayo sobre dos anfitriones físicos que verificó, con nueve controles, el TLS mutuo entre agente y backend y el TLS con certificado de cliente en Valkey; corrió con un solo agente y no repitió las mediciones del Capítulo 5. v1.0-tesis practicó el primer contraste pareado. v3.0-tesis, la primera versión con TLS mutuo, TLS de Valkey, agente nativo y n8n activo, drenó en 72,762 s. v4.0-tesis midió un percentil 99 de 46,274 ms y entregó 3.000 de 3.000 notificaciones, con el drenaje inflado por la recreación del backend durante el corte. v5.0-tesis drenó a 76,6 eventos por segundo, por debajo del caudal auxiliar de 95, y los autores corrigieron la causa en v5.1-tesis (apartado 5.1). Ninguna cifra de este anexo se apoya en los archivos alterados de v1.0-tesis y v2.0-tesis, y ninguna de v5.1-tesis depende de los paquetes de versiones anteriores, cuya procedencia detallan el Anexo F.1 y tesis/cierre/anexo_f/material_trasladado.md.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00000B40">
      <w:pPr>
        <w:pStyle w:val="Heading2"/>
        <w:rPr/>
      </w:pPr>
      <w:r>
        <w:rPr>
          <w:b w:val="1"/>
          <w:bCs w:val="1"/>
          <w:rtl w:val="0"/>
        </w:rPr>
        <w:t xml:space="preserve">Anexo L. Procedimientos de recálculo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describe los procedimientos de recálculo que el documento cita, cada uno con el script publicado que lo ejecuta (Anexo F.1): la huella del backend (L.1), el inventario de código (L.2), el intervalo de Newcombe (L.3) y el drenaje de la primera repetición (L.4). Indica, además, dónde consta el SHA-256 de los archivos de los paquetes que se sellaron después de su generación (L.5), cita las fuentes de las Figuras 9 y 10 (L.6) y resume las comprobaciones de los datos de repositorio (L.7), cuyas órdenes reúne tesis/cierre/anexo_l/comprobaciones.md. Los procedimientos parten de un clon de la etiqueta de referencia y requieren bash, git, las utilidades de GNU coreutils, Python 3 con SciPy, pygount 3.2.0 y Graphviz 2.43.0; el arnés de lab/ requiere, además, fd, sd y ripgrep (rg), cuya instalación indica tesis/cierre/REPRODUCIR.md. Las salidas consignadas son las que dan sobre la etiqueta entrega-tesis-v11; tesis/HISTORIA_REVISIONES.md (Anexo N) indica en qué revisión se obtuvo cada una por primera vez.</w:t>
      </w:r>
    </w:p>
    <w:p w:rsidR="00000000" w:rsidDel="00000000" w:rsidP="00000000" w:rsidRDefault="00000000" w:rsidRPr="00000000" w14:paraId="00000B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00000B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00000B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entrega-tesis-v11</w:t>
      </w:r>
      <w:r>
        <w:rPr>
          <w:rtl w:val="0"/>
        </w:rPr>
        <w:t xml:space="preserve"/>
      </w:r>
    </w:p>
    <w:p w:rsidR="00000000" w:rsidDel="00000000" w:rsidP="00000000" w:rsidRDefault="00000000" w:rsidRPr="00000000" w14:paraId="00000B45">
      <w:pPr>
        <w:pStyle w:val="Heading2"/>
        <w:rPr/>
      </w:pPr>
      <w:r>
        <w:rPr>
          <w:b w:val="1"/>
          <w:bCs w:val="1"/>
          <w:rtl w:val="0"/>
        </w:rPr>
        <w:t xml:space="preserve">L.1 Huella de backend/app y origen de git_status_clean</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Lo ejecuta, desde la raíz del clon, scripts/huella_backend.sh, con --locale es_AR.UTF-8 o --locale C (P-7); sus órdenes, paso por paso, figuran en tesis/cierre/anexo_l/comprobaciones.md. La colación es_AR.UTF-8 debe estar generada en el equipo, lo que se comprueba con locale -a.</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cuyas órdenes reúne el mismo archivo. lab/corrida_unificada.sh ubica su directorio de salida dentro de tesis/cierre/evidencia/ (línea 25), pasa a procedencia_exigir su subdirectorio env (línea 37) y ejecuta git status --porcelain después (línea 76); lab/lib_arnes.sh muestra que procedencia_exigir escribe env/procedencia.txt (línea 42); y git check-ignore devuelve 1, porque ninguna regla de .gitignore excluye esa ruta. Por eso git status --porcelain encuentra env/procedencia.txt como archivo no versionado.</w:t>
      </w:r>
    </w:p>
    <w:p w:rsidR="00000000" w:rsidDel="00000000" w:rsidP="00000000" w:rsidRDefault="00000000" w:rsidRPr="00000000" w14:paraId="00000B55">
      <w:pPr>
        <w:pStyle w:val="Heading2"/>
        <w:rPr/>
      </w:pPr>
      <w:r>
        <w:rPr>
          <w:b w:val="1"/>
          <w:bCs w:val="1"/>
          <w:rtl w:val="0"/>
        </w:rPr>
        <w:t xml:space="preserve">L.2 Inventario de código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 con find, wc y pygount 3.2.0. Lo ejecuta, desde la raíz del clon, scripts/inventario_codigo.sh (P-7); sus órdenes, paso por paso, figuran en tesis/cierre/anexo_l/comprobaciones.md.</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14:paraId="00000B63">
      <w:pPr>
        <w:pStyle w:val="Heading2"/>
        <w:rPr/>
      </w:pPr>
      <w:r>
        <w:rPr>
          <w:b w:val="1"/>
          <w:bCs w:val="1"/>
          <w:rtl w:val="0"/>
        </w:rPr>
        <w:t xml:space="preserve">L.3 Intervalo de Newcombe con la corrección de φ</w:t>
      </w:r>
      <w:r>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tesis/cierre/anexo_l/newcombe.py, que se ejecuta con python3 tesis/cierre/anexo_l/newcombe.py,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00000B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00000B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00000B97">
      <w:pPr>
        <w:pStyle w:val="Heading2"/>
        <w:rPr/>
      </w:pPr>
      <w:r>
        <w:rPr>
          <w:b w:val="1"/>
          <w:bCs w:val="1"/>
          <w:rtl w:val="0"/>
        </w:rPr>
        <w:t xml:space="preserve">L.4 Drenaje de la primera repetición</w:t>
      </w:r>
      <w:r>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tesis/cierre/anexo_l/drenaje_run01.py, que se ejecuta desde la raíz del clon con python3 tesis/cierre/anexo_l/drenaje_run01.py, toma t0 corregido de la línea FIN_CORTE, el primer xadd exitoso posterior en la traza del agente y los instantes de recepción de eventos.csv.</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línea de t0 de tesis/cierre/anexo_l/drenaje_run01.py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00000BB2">
      <w:pPr>
        <w:pStyle w:val="Heading2"/>
        <w:rPr/>
      </w:pPr>
      <w:r>
        <w:rPr>
          <w:b w:val="1"/>
          <w:bCs w:val="1"/>
          <w:rtl w:val="0"/>
        </w:rPr>
        <w:t xml:space="preserve">L.5 SHA-256 de los paquetes sin manifiesto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paquetes del 3 de octubre que se sellaron después de su generación (Anexo F.1) tienen, desde entrega-tesis-v8, su manifiesto, que consigna el SHA-256 de sus 16 archivos y se verifica con sha256sum -c SHA256SUMS desde el directorio de cada paquete. Antes del sellado se comprobó que su contenido era idéntico al de los commits que los versionaron el 3 de octubre de 2026, a012aff, 4ed2aa4, ada3d4e y 995bdc8, cuyo hash lo sella desde esa fecha. La tabla de los 16 valores, con la orden que los calcula, se conserva en tesis/cierre/anexo_l/comprobaciones.md.</w:t>
      </w:r>
    </w:p>
    <w:p w:rsidR="00000000" w:rsidDel="00000000" w:rsidP="00000000" w:rsidRDefault="00000000" w:rsidRPr="00000000" w14:paraId="00000BEB">
      <w:pPr>
        <w:pStyle w:val="Heading2"/>
        <w:rPr/>
      </w:pPr>
      <w:r>
        <w:rPr>
          <w:b w:val="1"/>
          <w:bCs w:val="1"/>
          <w:rtl w:val="0"/>
        </w:rPr>
        <w:t xml:space="preserve">L.6 Fuentes de las Figuras 9 y 10</w:t>
      </w:r>
      <w:r>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9 y 10 se generan con Graphviz 2.43.0 desde las fuentes tesis/figuras/fig9.dot y tesis/figuras/fig10.dot. La versión vectorial, con el texto convertido a trazos, se obtiene con dot -Tsvg:cairo -Gdpi=72 figN.dot -o figN.svg, y el respaldo en mapa de bits, a 300 ppp, con dot -Tpng figN.dot -o figN.png. Son las de la etiqueta de esta versión; con Graphviz 2.43.0 generan los SVG que incrusta el documento (P-12). Desde entrega-tesis-v9, la de la Figura 9 usa un texto mayor.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00000C75">
      <w:pPr>
        <w:pStyle w:val="Heading2"/>
        <w:rPr/>
      </w:pPr>
      <w:r>
        <w:rPr>
          <w:b w:val="1"/>
          <w:bCs w:val="1"/>
          <w:rtl w:val="0"/>
        </w:rPr>
        <w:t xml:space="preserve">L.7 Comprobación de los datos de repositorio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comprobaciones siguientes verifican los datos de repositorio que el documento cita; scripts/verificar_commits.sh comprueba, además, todos sus identificadores de commit. Sus órdenes, con la salida completa que dan sobre la etiqueta entrega-tesis-v11, figuran en tesis/cierre/anexo_l/comprobaciones.md. Se ejecutan desde la raíz del clon, y las de los commits de septiembre requieren incorporar antes los bundles de custodia (Anexo F.2).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y son del 3 de octubre de 2026: v5.1-analisis-20261003 entra en a012aff y 4ed2aa4; diagnostico-drenaje-v5.0-20261003, en ada3d4e; y diagnostico-notificacion-v5.0-vs-v5.1-20261003, en 995bdc8. Solo los modifica después el commit de su sellado, 9a6d657, del 18 de octubre, que agrega su manifiesto, su acta y, en el primero, el recálculo del drenaje.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las tres líneas FIN_CORTE de la batería de resiliencia, el campo t= precede a la marca entre 5 y 7 ms, y solo la primera lleva fracciones de ocho dígitos. De ahí las dos lecturas del drenaje de la nota de la Tabla 21.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de final-consolidated-fixed-20260911T225314Z registran el mismo hash completo, 6e81ccf95f8da644b74b41a499d3414a08248e06, y el commit no está en el repositorio.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del 10 de septiembre de 2026, es «fix(agent): bind approved baseline content to event».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verifican íntegros; 7df4935, del 11 de septiembre de 2026, lo firma «FIM Evidence Snapshot», y 7a7ee50 y d35fb9c, del 12 de septiembre, Ezequiel Gonzalez; d35fb9c pertenece a la historia de 7a7ee50.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Comprimidos, los tres archivos tienen hashes distintos; descomprimidos, los tres dan el mismo SHA-256, 888f7f03…, y en los tres la primera y la última línea son del 22 de septiembre de 2026, de las 17:58 a las 19:17 UTC, con run_id b3-traza.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openspec/ contiene sesenta y seis cambios archivados, cincuenta y ocho especificaciones de capacidades y cuatrocientos cuarenta y ocho requisitos.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del 25 de abril de 2026, registra la cuenta 3zequiel3, de Ezequiel González; a7199d7, del 17 de junio, y 3b62b97, del 21 de junio, la cuenta mncrmn2009, de Nicolás Castro. Como advierte el apartado 3.8, la autoría de un commit no basta para atribuir un módulo.</w:t>
      </w:r>
    </w:p>
    <w:p w:rsidR="00000000" w:rsidDel="00000000" w:rsidP="00000000" w:rsidRDefault="00000000" w:rsidRPr="00000000" w14:paraId="00000C98">
      <w:pPr>
        <w:pStyle w:val="Heading2"/>
        <w:rPr/>
      </w:pPr>
      <w:r>
        <w:rPr>
          <w:b w:val="1"/>
          <w:bCs w:val="1"/>
          <w:rtl w:val="0"/>
        </w:rPr>
        <w:t xml:space="preserve">Anexo M. Correspondencia de la lista de triage con NIST SP 800-61r3</w:t>
      </w:r>
      <w:r>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37 la presenta.</w:t>
      </w:r>
    </w:p>
    <w:p w:rsidR="00000000" w:rsidDel="00000000" w:rsidP="00000000" w:rsidRDefault="00000000" w:rsidRPr="00000000" w14:paraId="00000C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r>
        <w:rPr>
          <w:rtl w:val="0"/>
        </w:rPr>
      </w:r>
    </w:p>
    <w:tbl>
      <w:tblPr>
        <w:tblStyle w:val="Table39"/>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Change w:id="0">
          <w:tblGrid>
            <w:gridCol w:w="500"/>
            <w:gridCol w:w="1900"/>
            <w:gridCol w:w="3130"/>
            <w:gridCol w:w="1550"/>
            <w:gridCol w:w="1900"/>
          </w:tblGrid>
        </w:tblGridChange>
      </w:tblGrid>
      <w:tr>
        <w:trPr>
          <w:cantSplit w:val="1"/>
          <w:tblHeader w:val="1"/>
        </w:trPr>
        <w:tc>
          <w:tcPr>
            <w:vAlign w:val="bottom"/>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r>
              <w:rPr>
                <w:rtl w:val="0"/>
              </w:rPr>
            </w:r>
          </w:p>
        </w:tc>
        <w:tc>
          <w:tcPr>
            <w:vAlign w:val="bottom"/>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r>
              <w:rPr>
                <w:rtl w:val="0"/>
              </w:rPr>
            </w:r>
          </w:p>
        </w:tc>
        <w:tc>
          <w:tcPr>
            <w:vAlign w:val="bottom"/>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r>
              <w:rPr>
                <w:rtl w:val="0"/>
              </w:rPr>
            </w:r>
          </w:p>
        </w:tc>
        <w:tc>
          <w:tcPr>
            <w:vAlign w:val="bottom"/>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Borders>
              <w:top w:color="808080" w:space="0" w:sz="4" w:val="single"/>
              <w:bottom w:color="808080" w:space="0" w:sz="4" w:val="single"/>
            </w:tcBorders>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Borders>
              <w:top w:color="808080" w:space="0" w:sz="4" w:val="single"/>
              <w:bottom w:color="808080" w:space="0" w:sz="4" w:val="single"/>
            </w:tcBorders>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Borders>
              <w:top w:color="808080" w:space="0" w:sz="4" w:val="single"/>
              <w:bottom w:color="808080" w:space="0" w:sz="4" w:val="single"/>
            </w:tcBorders>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Borders>
              <w:top w:color="808080" w:space="0" w:sz="4" w:val="single"/>
              <w:bottom w:color="808080" w:space="0" w:sz="4" w:val="single"/>
            </w:tcBorders>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Borders>
              <w:top w:color="808080" w:space="0" w:sz="4" w:val="single"/>
              <w:bottom w:color="808080" w:space="0" w:sz="4" w:val="single"/>
            </w:tcBorders>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Borders>
              <w:top w:color="808080" w:space="0" w:sz="4" w:val="single"/>
              <w:bottom w:color="808080" w:space="0" w:sz="4" w:val="single"/>
            </w:tcBorders>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Borders>
              <w:top w:color="808080" w:space="0" w:sz="4" w:val="single"/>
              <w:bottom w:color="808080" w:space="0" w:sz="4" w:val="single"/>
            </w:tcBorders>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Borders>
              <w:top w:color="808080" w:space="0" w:sz="4" w:val="single"/>
              <w:bottom w:color="808080" w:space="0" w:sz="4" w:val="single"/>
            </w:tcBorders>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Borders>
              <w:top w:color="808080" w:space="0" w:sz="4" w:val="single"/>
              <w:bottom w:color="808080" w:space="0" w:sz="4" w:val="single"/>
            </w:tcBorders>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Borders>
              <w:top w:color="808080" w:space="0" w:sz="4" w:val="single"/>
              <w:bottom w:color="808080" w:space="0" w:sz="4" w:val="single"/>
            </w:tcBorders>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Borders>
              <w:top w:color="808080" w:space="0" w:sz="4" w:val="single"/>
              <w:bottom w:color="808080" w:space="0" w:sz="4" w:val="single"/>
            </w:tcBorders>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r>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14:paraId="00000CDB">
      <w:pPr>
        <w:pStyle w:val="Heading2"/>
        <w:rPr/>
      </w:pPr>
      <w:r>
        <w:rPr>
          <w:b w:val="1"/>
          <w:bCs w:val="1"/>
          <w:rtl w:val="0"/>
        </w:rPr>
        <w:t xml:space="preserve">Anexo N. Historia de las revisiones del documento</w:t>
      </w:r>
      <w:r>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etiqueta entrega-tesis-v9 denominamos erróneamente «devolución de la segunda corrección» a nuestras revisiones del 16 de octubre asistidas por Claude, mientras que en la v8 las habíamos llamado correctamente «revisión del 16 de octubre». El error ingresó al Anexo F mediante un texto generado por la herramienta que no detectamos al revisar la v9, lo que también confundió el código «N-5» del commit d0297f1, que en realidad pertenece a la devolución original del 9 de octubre. En la entrega-tesis-v10 rectificamos esta clave para dejar constancia de que el tribunal solo emitió documentos los días 9 y 19 de octubre de 2026.</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resume las revisiones del documento de octubre de 2026; tesis/HISTORIA_REVISIONES.md las reconstruye una por una, con su fecha, lo que cambió cada una y cómo se contrastó con el repositorio. Solo dos documentos de ese período son del tribunal: la devolución de la primera corrección, del 9 de octubre (hallazgos N-1 a N-10), y la de la segunda, del 19 de octubre (hallazgos T-1 a T-9). Las demás revisiones las hicieron los autores con la herramienta: los planes de corrección del 10, el 19 y el 20 de octubre; las revisiones del 13, el 15, el 16, el 19, el 22 y el 23 de octubre; y las etiquetas entrega-tesis-v8 y entrega-tesis-v9, del 19 de octubre, entrega-tesis-v10, del 21, y entrega-tesis-v11, del 23. El apartado 9.1.2 declara el uso de la herramienta en la versión vigente, y el Anexo F.3, los commits de cada corrección.</w:t>
      </w:r>
    </w:p>
    <w:sectPr>
      <w:headerReference r:id="rId47" w:type="default"/>
      <w:headerReference r:id="rId48" w:type="first"/>
      <w:headerReference r:id="rId49" w:type="even"/>
      <w:footerReference r:id="rId50" w:type="default"/>
      <w:footerReference r:id="rId51" w:type="first"/>
      <w:footerReference r:id="rId52" w:type="even"/>
      <w:type w:val="nextPage"/>
      <w:pgSz w:h="16838" w:w="11906" w:orient="portrait"/>
      <w:pgMar w:bottom="1417" w:top="1417" w:left="1701"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spacing w:after="200" w:before="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spacing w:after="200" w:before="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spacing w:after="200" w:before="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200" w:before="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spacing w:after="200" w:before="0" w:lineRule="auto"/>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5.xml"/><Relationship Id="rId41" Type="http://schemas.openxmlformats.org/officeDocument/2006/relationships/header" Target="header14.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image" Target="media/image9.png"/><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image" Target="media/image3.png"/><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header" Target="header12.xml"/><Relationship Id="rId39" Type="http://schemas.openxmlformats.org/officeDocument/2006/relationships/footer" Target="footer12.xml"/><Relationship Id="rId38" Type="http://schemas.openxmlformats.org/officeDocument/2006/relationships/footer" Target="footer11.xml"/><Relationship Id="rId20" Type="http://schemas.openxmlformats.org/officeDocument/2006/relationships/image" Target="media/image8.png"/><Relationship Id="rId22" Type="http://schemas.openxmlformats.org/officeDocument/2006/relationships/header" Target="header5.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header" Target="header6.xml"/><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header" Target="header9.xml"/><Relationship Id="rId51" Type="http://schemas.openxmlformats.org/officeDocument/2006/relationships/footer" Target="footer17.xml"/><Relationship Id="rId50" Type="http://schemas.openxmlformats.org/officeDocument/2006/relationships/footer" Target="footer16.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