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3</w:t>
      </w:r>
    </w:p>
    <w:p w:rsidR="00000000" w:rsidDel="00000000" w:rsidP="00000000" w:rsidRDefault="00000000" w:rsidRPr="00000000" w14:paraId="0000003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25</w:t>
      </w:r>
    </w:p>
    <w:p w:rsidR="00000000" w:rsidDel="00000000" w:rsidP="00000000" w:rsidRDefault="00000000" w:rsidRPr="00000000" w14:paraId="0000004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w:t>
        <w:noBreakHyphen/>
        <w:t xml:space="preserve">replay</w:t>
        <w:tab/>
        <w:t xml:space="preserve">45</w:t>
      </w:r>
    </w:p>
    <w:p w:rsidR="00000000" w:rsidDel="00000000" w:rsidP="00000000" w:rsidRDefault="00000000" w:rsidRPr="00000000" w14:paraId="0000005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51</w:t>
      </w:r>
    </w:p>
    <w:p w:rsidR="00000000" w:rsidDel="00000000" w:rsidP="00000000" w:rsidRDefault="00000000" w:rsidRPr="00000000" w14:paraId="0000005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56</w:t>
      </w:r>
    </w:p>
    <w:p w:rsidR="00000000" w:rsidDel="00000000" w:rsidP="00000000" w:rsidRDefault="00000000" w:rsidRPr="00000000" w14:paraId="0000005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58</w:t>
      </w:r>
    </w:p>
    <w:p w:rsidR="00000000" w:rsidDel="00000000" w:rsidP="00000000" w:rsidRDefault="00000000" w:rsidRPr="00000000" w14:paraId="0000005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88</w:t>
      </w:r>
    </w:p>
    <w:p w:rsidR="00000000" w:rsidDel="00000000" w:rsidP="00000000" w:rsidRDefault="00000000" w:rsidRPr="00000000" w14:paraId="0000006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100</w:t>
      </w:r>
    </w:p>
    <w:p w:rsidR="00000000" w:rsidDel="00000000" w:rsidP="00000000" w:rsidRDefault="00000000" w:rsidRPr="00000000" w14:paraId="0000007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101</w:t>
      </w:r>
    </w:p>
    <w:p w:rsidR="00000000" w:rsidDel="00000000" w:rsidP="00000000" w:rsidRDefault="00000000" w:rsidRPr="00000000" w14:paraId="0000007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111</w:t>
      </w:r>
    </w:p>
    <w:p w:rsidR="00000000" w:rsidDel="00000000" w:rsidP="00000000" w:rsidRDefault="00000000" w:rsidRPr="00000000" w14:paraId="00000086">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111</w:t>
      </w:r>
    </w:p>
    <w:p w:rsidR="00000000" w:rsidDel="00000000" w:rsidP="00000000" w:rsidRDefault="00000000" w:rsidRPr="00000000" w14:paraId="00000087">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142</w:t>
      </w:r>
    </w:p>
    <w:p w:rsidR="00000000" w:rsidDel="00000000" w:rsidP="00000000" w:rsidRDefault="00000000" w:rsidRPr="00000000" w14:paraId="0000009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145</w:t>
      </w:r>
    </w:p>
    <w:p w:rsidR="00000000" w:rsidDel="00000000" w:rsidP="00000000" w:rsidRDefault="00000000" w:rsidRPr="00000000" w14:paraId="0000009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148</w:t>
      </w:r>
    </w:p>
    <w:p w:rsidR="00000000" w:rsidDel="00000000" w:rsidP="00000000" w:rsidRDefault="00000000" w:rsidRPr="00000000" w14:paraId="0000009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149</w:t>
      </w:r>
    </w:p>
    <w:p w:rsidR="00000000" w:rsidDel="00000000" w:rsidP="00000000" w:rsidRDefault="00000000" w:rsidRPr="00000000" w14:paraId="0000009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156</w:t>
      </w:r>
    </w:p>
    <w:p w:rsidR="00000000" w:rsidDel="00000000" w:rsidP="00000000" w:rsidRDefault="00000000" w:rsidRPr="00000000" w14:paraId="0000009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158</w:t>
      </w:r>
    </w:p>
    <w:p w:rsidR="00000000" w:rsidDel="00000000" w:rsidP="00000000" w:rsidRDefault="00000000" w:rsidRPr="00000000" w14:paraId="0000009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159</w:t>
      </w:r>
    </w:p>
    <w:p w:rsidR="00000000" w:rsidDel="00000000" w:rsidP="00000000" w:rsidRDefault="00000000" w:rsidRPr="00000000" w14:paraId="0000009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161</w:t>
      </w:r>
    </w:p>
    <w:p w:rsidR="00000000" w:rsidDel="00000000" w:rsidP="00000000" w:rsidRDefault="00000000" w:rsidRPr="00000000" w14:paraId="0000009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162</w:t>
      </w:r>
    </w:p>
    <w:p w:rsidR="00000000" w:rsidDel="00000000" w:rsidP="00000000" w:rsidRDefault="00000000" w:rsidRPr="00000000" w14:paraId="0000009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163</w:t>
      </w:r>
    </w:p>
    <w:p w:rsidR="00000000" w:rsidDel="00000000" w:rsidP="00000000" w:rsidRDefault="00000000" w:rsidRPr="00000000" w14:paraId="0000009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164</w:t>
      </w:r>
    </w:p>
    <w:p w:rsidR="00000000" w:rsidDel="00000000" w:rsidP="00000000" w:rsidRDefault="00000000" w:rsidRPr="00000000" w14:paraId="0000009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164</w:t>
      </w:r>
    </w:p>
    <w:p w:rsidR="00000000" w:rsidDel="00000000" w:rsidP="00000000" w:rsidRDefault="00000000" w:rsidRPr="00000000" w14:paraId="0000009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164</w:t>
      </w:r>
    </w:p>
    <w:p w:rsidR="00000000" w:rsidDel="00000000" w:rsidP="00000000" w:rsidRDefault="00000000" w:rsidRPr="00000000" w14:paraId="000000A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w:t>
        <w:noBreakHyphen/>
        <w:t xml:space="preserve">256 de los paquetes sin manifiesto</w:t>
        <w:tab/>
        <w:t xml:space="preserve">165</w:t>
      </w:r>
    </w:p>
    <w:p w:rsidR="00000000" w:rsidDel="00000000" w:rsidP="00000000" w:rsidRDefault="00000000" w:rsidRPr="00000000" w14:paraId="000000A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165</w:t>
      </w:r>
    </w:p>
    <w:p w:rsidR="00000000" w:rsidDel="00000000" w:rsidP="00000000" w:rsidRDefault="00000000" w:rsidRPr="00000000" w14:paraId="000000A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166</w:t>
      </w:r>
    </w:p>
    <w:p w:rsidR="00000000" w:rsidDel="00000000" w:rsidP="00000000" w:rsidRDefault="00000000" w:rsidRPr="00000000" w14:paraId="000000A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w:t>
        <w:noBreakHyphen/>
        <w:t xml:space="preserve">61r3</w:t>
        <w:tab/>
        <w:t xml:space="preserve">167</w:t>
      </w:r>
    </w:p>
    <w:p w:rsidR="00000000" w:rsidDel="00000000" w:rsidP="00000000" w:rsidRDefault="00000000" w:rsidRPr="00000000" w14:paraId="000000A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169</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24</w:t>
      </w:r>
    </w:p>
    <w:p w:rsidR="00000000" w:rsidDel="00000000" w:rsidP="00000000" w:rsidRDefault="00000000" w:rsidRPr="00000000" w14:paraId="000000A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w:t>
        <w:noBreakHyphen/>
        <w:t xml:space="preserve">tesis</w:t>
        <w:tab/>
        <w:t xml:space="preserve">30</w:t>
      </w:r>
    </w:p>
    <w:p w:rsidR="00000000" w:rsidDel="00000000" w:rsidP="00000000" w:rsidRDefault="00000000" w:rsidRPr="00000000" w14:paraId="000000A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w:t>
        <w:noBreakHyphen/>
        <w:t xml:space="preserve">tesis</w:t>
        <w:tab/>
        <w:t xml:space="preserve">59</w:t>
      </w:r>
    </w:p>
    <w:p w:rsidR="00000000" w:rsidDel="00000000" w:rsidP="00000000" w:rsidRDefault="00000000" w:rsidRPr="00000000" w14:paraId="000000B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w:t>
        <w:noBreakHyphen/>
        <w:t xml:space="preserve">backend por repetición, candidato v5.1</w:t>
        <w:noBreakHyphen/>
        <w:t xml:space="preserve">tesis (ms)</w:t>
        <w:tab/>
        <w:t xml:space="preserve">63</w:t>
      </w:r>
    </w:p>
    <w:p w:rsidR="00000000" w:rsidDel="00000000" w:rsidP="00000000" w:rsidRDefault="00000000" w:rsidRPr="00000000" w14:paraId="000000B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w:t>
        <w:noBreakHyphen/>
        <w:t xml:space="preserve">tesis</w:t>
        <w:tab/>
        <w:t xml:space="preserve">65</w:t>
      </w:r>
    </w:p>
    <w:p w:rsidR="00000000" w:rsidDel="00000000" w:rsidP="00000000" w:rsidRDefault="00000000" w:rsidRPr="00000000" w14:paraId="000000B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w:t>
        <w:noBreakHyphen/>
        <w:t xml:space="preserve">tesis</w:t>
        <w:tab/>
        <w:t xml:space="preserve">66</w:t>
      </w:r>
    </w:p>
    <w:p w:rsidR="00000000" w:rsidDel="00000000" w:rsidP="00000000" w:rsidRDefault="00000000" w:rsidRPr="00000000" w14:paraId="000000B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w:t>
        <w:noBreakHyphen/>
        <w:t xml:space="preserve">tesis (ms)</w:t>
        <w:tab/>
        <w:t xml:space="preserve">68</w:t>
      </w:r>
    </w:p>
    <w:p w:rsidR="00000000" w:rsidDel="00000000" w:rsidP="00000000" w:rsidRDefault="00000000" w:rsidRPr="00000000" w14:paraId="000000B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w:t>
        <w:noBreakHyphen/>
        <w:t xml:space="preserve">tesis</w:t>
        <w:tab/>
        <w:t xml:space="preserve">69</w:t>
      </w:r>
    </w:p>
    <w:p w:rsidR="00000000" w:rsidDel="00000000" w:rsidP="00000000" w:rsidRDefault="00000000" w:rsidRPr="00000000" w14:paraId="000000B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w:t>
        <w:noBreakHyphen/>
        <w:t xml:space="preserve">tesis</w:t>
        <w:tab/>
        <w:t xml:space="preserve">72</w:t>
      </w:r>
    </w:p>
    <w:p w:rsidR="00000000" w:rsidDel="00000000" w:rsidP="00000000" w:rsidRDefault="00000000" w:rsidRPr="00000000" w14:paraId="000000B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w:t>
        <w:noBreakHyphen/>
        <w:t xml:space="preserve">tesis</w:t>
        <w:tab/>
        <w:t xml:space="preserve">73</w:t>
      </w:r>
    </w:p>
    <w:p w:rsidR="00000000" w:rsidDel="00000000" w:rsidP="00000000" w:rsidRDefault="00000000" w:rsidRPr="00000000" w14:paraId="000000B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74</w:t>
      </w:r>
    </w:p>
    <w:p w:rsidR="00000000" w:rsidDel="00000000" w:rsidP="00000000" w:rsidRDefault="00000000" w:rsidRPr="00000000" w14:paraId="000000C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w:t>
        <w:noBreakHyphen/>
        <w:t xml:space="preserve">tesis</w:t>
        <w:tab/>
        <w:t xml:space="preserve">76</w:t>
      </w:r>
    </w:p>
    <w:p w:rsidR="00000000" w:rsidDel="00000000" w:rsidP="00000000" w:rsidRDefault="00000000" w:rsidRPr="00000000" w14:paraId="000000C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verifican su manifiesto</w:t>
        <w:tab/>
        <w:t xml:space="preserve">145</w:t>
      </w:r>
    </w:p>
    <w:p w:rsidR="00000000" w:rsidDel="00000000" w:rsidP="00000000" w:rsidRDefault="00000000" w:rsidRPr="00000000" w14:paraId="000000C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147</w:t>
      </w:r>
    </w:p>
    <w:p w:rsidR="00000000" w:rsidDel="00000000" w:rsidP="00000000" w:rsidRDefault="00000000" w:rsidRPr="00000000" w14:paraId="000000C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150</w:t>
      </w:r>
    </w:p>
    <w:p w:rsidR="00000000" w:rsidDel="00000000" w:rsidP="00000000" w:rsidRDefault="00000000" w:rsidRPr="00000000" w14:paraId="000000C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158</w:t>
      </w:r>
    </w:p>
    <w:p w:rsidR="00000000" w:rsidDel="00000000" w:rsidP="00000000" w:rsidRDefault="00000000" w:rsidRPr="00000000" w14:paraId="000000C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Correspondencia de las tareas de triage con los resultados de NIST SP 800</w:t>
        <w:noBreakHyphen/>
        <w:t xml:space="preserve">61r3</w:t>
        <w:tab/>
        <w:t xml:space="preserve">167</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w:t>
        <w:noBreakHyphen/>
        <w:t xml:space="preserve">relación de las tablas principales de PostgreSQL</w:t>
        <w:tab/>
        <w:t xml:space="preserve">38</w:t>
      </w:r>
    </w:p>
    <w:p w:rsidR="00000000" w:rsidDel="00000000" w:rsidP="00000000" w:rsidRDefault="00000000" w:rsidRPr="00000000" w14:paraId="000000D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157</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1250"/>
        <w:gridCol w:w="7638"/>
        <w:tblGridChange w:id="0">
          <w:tblGrid>
            <w:gridCol w:w="1250"/>
            <w:gridCol w:w="7638"/>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w:t>
              <w:noBreakHyphen/>
              <w:t xml:space="preserve">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w:t>
              <w:noBreakHyphen/>
              <w:t xml:space="preserve">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w:t>
              <w:noBreakHyphen/>
              <w:t xml:space="preserve">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el cuerpo solo cita los que sustentan la procedencia o la autoría: commits en los apartados 3.7, 3.8, 5.5 y 9.1.2 y en la nota de la Tabla 8, y códigos de pendientes (P-n, Anexo F.3) en los apartados 6.4, 7.6, 8.1 y 9.1.2, y el hallazgo T-2 en el 9.1.2. El Anexo L reúne los procedimientos de recálculo y las órdenes de comprobación; el M relaciona la lista de triage con NIST SP 800-61r3, y el N resume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insertó una puerta trasera en XZ Utils alterando progresivamente el repositorio oficial. Un ingeniero ajeno al proyecto la descubrió por casualidad, a partir de una anomalía menor de rendimiento (Freund, 2024), y la agencia estadounidense de ciberseguridad emitió una alerta el mismo día (Cybersecurity and Infrastructure Security Agency, 2024).</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El apartado 2.4 analiza su alcance.</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La detección reactiva tiene aquí el alcance de «tiempo real» que fija el apartado 1.6.</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—que no lo respaldan con una revisión sistemática—, está poco sistematizado en español.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Reemplaza el encuestamiento por detección reactiva con fanotify y descarta MD5 en favor de SHA-256. Conserva cifrado en el anfitrión el contenido restaurable de los archivos vigilados, mientras el servidor central guarda metadatos, hashes y resoluciones; ese cifrado no protege frente al compromiso privilegiado del anfitrión, porque el secreto maestro reside en él (apartado 2.10).</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 n8n a enrutar notificaciones y somete cada cambio a validación humana, que resuelve la concurrencia.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bienio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Los autores precisaron la redacción de cinco criterios después de registrarlos. La última columna de la Tabla 1 rotula cada ajuste como «Antes de todo dato» o «Posterior a datos»; solo los primeros sirven para declarar que un criterio se cumple. Los posteriores a datos son dos. La preservación conserva, por eso, su definición original, y el apartado 5.6 declara que la lista de triage se redujo de trece a once tareas, lo que bajó el resultado de 84,6 a 81,8 %. La columna marca, con el mismo rótulo,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rótulo «Antes de todo dato» señala un ajuste válido para dictaminar, y «Posterior a datos», uno que no sirve para declarar un criterio cumplido;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que resuelve la concurrencia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el sistema y antes de obtener cualquier dato de medición.</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9071" w:type="dxa"/>
        <w:jc w:val="left"/>
        <w:tblBorders>
          <w:top w:color="000000" w:space="0" w:sz="8" w:val="single"/>
          <w:bottom w:color="000000" w:space="0" w:sz="8" w:val="single"/>
          <w:insideH w:color="808080" w:space="0" w:sz="4" w:val="single"/>
        </w:tblBorders>
        <w:tblLayout w:type="fixed"/>
        <w:tblLook w:val="0000"/>
      </w:tblPr>
      <w:tblGrid>
        <w:gridCol w:w="1560"/>
        <w:gridCol w:w="2233"/>
        <w:gridCol w:w="880"/>
        <w:gridCol w:w="960"/>
        <w:gridCol w:w="1250"/>
        <w:gridCol w:w="950"/>
        <w:gridCol w:w="1238"/>
        <w:tblGridChange w:id="0">
          <w:tblGrid>
            <w:gridCol w:w="1560"/>
            <w:gridCol w:w="2233"/>
            <w:gridCol w:w="880"/>
            <w:gridCol w:w="960"/>
            <w:gridCol w:w="1250"/>
            <w:gridCol w:w="950"/>
            <w:gridCol w:w="1238"/>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w:t>
              <w:softHyphen/>
              <w:t xml:space="preserve">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usa el registro estructurado en JSON con structlog, en consultas SQL sobre PostgreSQL y en scripts de shell que ejecutan las baterías. El procesamiento usa pandas para percentiles y agregaciones.</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resolución de nanosegundos no implica una exactitud de ese orden. La latencia objetivo es (a)→(c), pero el arnés mide (b)→(c): el agente estampa detected_at después de leer el evento, resolver la ruta y consultar /proc (agent/detector.py). El intervalo medido excluye, así, la permanencia en la cola del núcleo y es una cota inferior de la latencia real.</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 Ningún evaluador independiente clasificó las once tareas, de modo que el trabajo no informa el acuerdo entre evaluadores con el coeficiente kappa de Cohen; es una limitación del dictamen (apartado 5.6).</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ejecutadas sobre un equipo físico con un Intel Core i7 de decimotercera generación, 32 GiB de RAM, NVMe de 1 TB y Ubuntu 26.04.1 LTS, que aloja el servidor central en Docker Compose. El agente corre como servicio nativo bajo systemd en una máquina virtual multipass del mismo equipo, enlazada por su red virtual, y el grupo de control escanea el mismo directorio que el agente, con su propia línea base. La Tabla 7 reúne el entorno.</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entrega-tesis-v11,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Esta versión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2200"/>
        <w:gridCol w:w="6779"/>
        <w:tblGridChange w:id="0">
          <w:tblGrid>
            <w:gridCol w:w="2200"/>
            <w:gridCol w:w="6779"/>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658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0" l="0" r="0" t="0"/>
                    <a:stretch>
                      <a:fillRect/>
                    </a:stretch>
                  </pic:blipFill>
                  <pic:spPr>
                    <a:xfrm>
                      <a:off x="0" y="0"/>
                      <a:ext cx="5760000" cy="59658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4791708"/>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0" l="0" r="0" t="0"/>
                    <a:stretch>
                      <a:fillRect/>
                    </a:stretch>
                  </pic:blipFill>
                  <pic:spPr>
                    <a:xfrm>
                      <a:off x="0" y="0"/>
                      <a:ext cx="5760000" cy="4791708"/>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La vista filtra por estado, severidad, prefijo de ruta y fechas, e incluye los eventos superseded mediante un control separado. En la captura, el filtro de estado muestra los eventos auto_restored: dos eventos de severidad alta del 16 de septiembre de 2026, anteriores a la corrida evaluada y ajenos a ella, que no son resultados de la evaluación. La captura no muestra una cadena de eventos superados, cuya evidencia funcional figura en el Anexo G.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entrega-tesis-v11);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indica dónde consta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del 60 % de ellas. La cota R·S/n fija, entonces, un piso: el control omite por lo menos el 40 % de la carga (apartado 5.3). El resto, hasta el 80,4–85,6 % observado, lo explican los dos mecanismos que cuantifica el apartado 5.3. Por un lado, los cambios sucesivos sobre una misma ruta colapsan en uno solo antes del escaneo, lo que explica entre 179 y 278 operaciones perdidas en cada réplica. Por otro, los cambios que se revierten, se borran o desaparecen dentro del ciclo no dejan rastro, lo que explica entre 128 y 249.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Desde el 18 de octubre de 2026, los tres tienen, además, su manifiesto, con el SHA-256 de cada archivo (P-8; Anexo L.5);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(amenaza 6, apartado 6.4, Anexo F.1 y P-9). Los defectos conocidos de v5.1-tesis figuran en el apartado 6.6, y corregirlos exige una versión nueva y repetir la validación. La hipótesis conjunta no se corrobora, y el trabajo no establece la aptitud productiva.</w:t>
      </w:r>
      <w:r>
        <w:rPr>
          <w:rtl w:val="0"/>
        </w:rPr>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6a9fd7a, que corrige las versiones de f0639c2 y 6cea514;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 En la revisión de la etiqueta entrega-tesis-v11, los autores volvieron a revisar el documento con la herramienta a partir de la misma devolución. La herramienta reincrustó las figuras vectoriales, unificó los anchos de tabla y las fuentes, trasladó al repositorio el material de proceso de los Anexos F, K, L y N, numeró las amenazas a la validez, recortó y compuso las capturas de las Figuras 6 y 7 y escribió scripts/verificar_medios.py. Editó el archivo del documento directamente, y los autores aplicaron cada cambio en un commit propio, con las verificaciones del Anexo F.1. No editó el Resumen, el Abstract, los apartados 6.1, 7.1 y 7.5 ni la declaración de contribuciones. N. Castro volvió a corregir el apartado 6.1 sin asistencia (6a9fd7a), y la herramienta lo insertó sin modificarlo; el párrafo inicial del Anexo N lo escribieron los autores a partir de un borrador de la herramienta.</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y en 6a9fd7a;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entrega-tesis-v11,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entrega-tesis-v11)</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Reincrustación de las Figuras 1 a 5 y 8 a 10 como SVG y scripts/verificar_medios.py con su prueba; anchos de tabla y fuentes unificados; nota de la Tabla 8 y apartado 8.1; fechas del Anexo N y de esta tabla; rol de la dirección; traslado al repositorio del material de proceso de los Anexos F, K, L y N; numeración de las amenazas de los apartados 6.4 y 6.5 y división de oraciones largas; recorte y composición de las capturas de las Figuras 6 y 7; borrador del párrafo inicial del Anexo N; inserción sin cambios de los textos de los autores; paginación de los índices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N. Castro sin asistencia de IA (6a9fd7a); párrafo inicial del Anexo N, escrito por los autores a partir de un borrador de la herramienta (tesis/autoria/reconstruccion_octubre.md); capturas de las Figuras 6 y 7, tomadas por los autores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aplicaron cada cambio en un commit propio y repitieron después de cada uno las verificaciones del Anexo F.1; scripts/verificar_autoria.py comprueba los textos de los autores, y scripts/verificar_medios.py, las figuras vectoriales.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etiqueta entrega-tesis-v11, recorte de la barra lateral y composición de las dos partes de cada captura, sin alterar su contenido</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Capturas de la consola tomadas por los autores el 23 de octubre de 2026</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tomaron las capturas y revisaron su composición. Revisó N. Castro</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 (etiqueta entrega-tesis-v11)</w:t>
      </w:r>
      <w:r>
        <w:rPr>
          <w:i w:val="0"/>
          <w:iCs w:val="0"/>
          <w:rtl w:val="0"/>
        </w:rPr>
        <w:t xml:space="preserve">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cita el Anexo L.6, y los autores la revisaron contra el sistema (apartado 9.1.2). El texto, en DejaVu Sans, se incrusta convertido a trazos; impresa a A4, la figura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entrega-tesis-v11 (F.1), que extiende las de las entregas anteriores, entrega-tesis, entrega-tesis-v8, entrega-tesis-v9 y entrega-tesis-v10;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entrega-tesis-v11.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entrega-tesis-v9, del 19 de octubre (commit 97614a9), y entrega-tesis-v10, del 21 de octubre (commit 9a62a4c), con los commits</w:t>
      </w:r>
      <w:r>
        <w:rPr>
          <w:highlight w:val="yellow"/>
          <w:rtl w:val="0"/>
        </w:rPr>
        <w:t xml:space="preserve"/>
      </w:r>
      <w:r>
        <w:rPr>
          <w:rtl w:val="0"/>
        </w:rPr>
        <w:t xml:space="preserve"> que resuelven P-7 a P-12, las correcciones posteriores y las de la devolución del 19 de octubre (F.3), sin modificar el código evaluado: git diff --stat v5.1-tesis entrega-tesis-v11 --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scripts/verificar_autoria.py, que compara los textos de tesis/autoria/ con el documento; y scripts/verificar_medios.py, que compara los SVG incrustados en el documento con los de tesis/figuras/. Sobre la presente versión y la etiqueta entrega-tesis-v11 informan 121 rutas citadas y ninguna faltante; 66 identificadores hexadecimales, de los que 58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y ocho SVG incrustados, idénticos a los de tesis/figuras/, con las capturas de las Figuras 6 y 7 como únicas imágenes en mapa de bits.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18 de octubre de 2026 recibieron su manifiesto y un acta de sellado, ACTA_SELLADO.md (commit 9a6d657): antes de sellarlos se comprobó que su contenido era idéntico al de esos commits, y el manifiesto consigna el SHA-256 de sus 16 archivos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Paquetes que no verifican su manifiesto.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los 38 manifiestos que contiene tesis/cierre/evidencia/ en entrega-tesis-v11, 35 verifican íntegros y tres no; la Tabla 33 indica la causa de cada uno. Solo uno sustenta cifras de v5.1-tesis, las de cobertura de código, y lo hace con archivos que verifican: lo que no verifica son el bundle y el árbol de su copia de custodia, que el repositorio excluye (P-1). En entrega-tesis tampoco verificaban dos paquetes de v1.0-tesis y v2.0-tesis, cuyos originales se restauraron desde el historial en entrega-tesis-v8 (P-9); su historia se conserva en tesis/cierre/anexo_f/material_trasladado.md. Desde entrega-tesis-v8, el arnés aborta antes de escribir en un paquete sellado (P-9).</w:t>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verifican su manifiesto</w:t>
      </w:r>
      <w:r>
        <w:rPr>
          <w:rtl w:val="0"/>
        </w:rPr>
      </w:r>
    </w:p>
    <w:tbl>
      <w:tblPr>
        <w:tblStyle w:val="Table34"/>
        <w:tblW w:w="9071" w:type="dxa"/>
        <w:jc w:val="left"/>
        <w:tblBorders>
          <w:top w:color="000000" w:space="0" w:sz="8" w:val="single"/>
          <w:bottom w:color="000000" w:space="0" w:sz="8" w:val="single"/>
          <w:insideH w:color="808080" w:space="0" w:sz="4" w:val="single"/>
        </w:tblBorders>
        <w:tblLayout w:type="fixed"/>
        <w:tblLook w:val="0020"/>
      </w:tblPr>
      <w:tblGrid>
        <w:gridCol w:w="1560"/>
        <w:gridCol w:w="900"/>
        <w:gridCol w:w="1150"/>
        <w:gridCol w:w="2500"/>
        <w:gridCol w:w="1361"/>
        <w:gridCol w:w="1600"/>
        <w:tblGridChange w:id="0">
          <w:tblGrid>
            <w:gridCol w:w="1560"/>
            <w:gridCol w:w="900"/>
            <w:gridCol w:w="1150"/>
            <w:gridCol w:w="2500"/>
            <w:gridCol w:w="1361"/>
            <w:gridCol w:w="1600"/>
          </w:tblGrid>
        </w:tblGridChange>
      </w:tblGrid>
      <w:tr>
        <w:trPr>
          <w:cantSplit w:val="1"/>
          <w:tblHeader w:val="1"/>
        </w:trPr>
        <w:tc>
          <w:tcPr>
            <w:vAlign w:val="bottom"/>
          </w:tcPr>
          <w:p w:rsidR="00000000" w:rsidDel="00000000" w:rsidP="00000000" w:rsidRDefault="00000000" w:rsidRPr="00000000" w14:paraId="000009A9">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tesis/cierre/anexo_l/comprobaciones.md reúne las órdenes completas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Alcance de la evidencia del commit de instantánea.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cuerpo no cita 7df4935, y ningún dictamen descansa solo en él: la nota de la Tabla 35 registra que las pruebas E2E dirigidas de siete historias aprobaron en esa versión y también en 7a7ee50, que firma Ezequiel González. Como indica la nota de la Tabla 34, esa evidencia no puede reasignarse a 6948aae sin repetir las pruebas sobre ese commit.</w:t>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procedimientos del Anexo L se publicaron como scripts versionados, y scripts/analisis_mcnemar.py aplica la corrección de φ y conserva el cálculo sin ella.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tres paquetes del 3 de octubre sin manifiesto se sellaron con su manifiesto y un acta, ACTA_SELLADO.md.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restauraron desde el historial los archivos alterados de dos paquetes de v1.0-tesis y v2.0-tesis, con un acta, y el arnés aborta antes de escribir en un paquete sellado.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la evidencia los valores de las Tablas 17 a 21 y 23 y, con --docx, comprueba que figuren en su lugar del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Figuras 9 y 10 se regeneraron desde sus fuentes con Graphviz 2.43.0, y sus SVG son idénticos a los que incrusta 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 en entrega-tesis-v8.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 El detalle de cada resolución, con sus commits, figura en tesis/cierre/anexo_f/material_trasladado.md.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Ninguna etiqueta de entrega modifica el producto: entre entrega-tesis y entrega-tesis-v11, git diff --stat sobre agent, backend/app y frontend no informa cambios. Los archivos que cambia cada etiqueta figuran en tesis/cierre/anexo_f/material_trasladado.md.</w:t>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23/10/2026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tesis/cierre/anexo_f/material_trasladado.md.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Indica, además, dónde consta el SHA-256 de los archivos de los paquetes que se sellaron después de su generación (L.5), cita las fuentes de las Figuras 9 y 10 (L.6) y resume las comprobaciones de los datos de repositorio (L.7), cuyas órdenes reúne tesis/cierre/anexo_l/comprobaciones.md. Los procedimientos parten de un clon de la etiqueta de referencia y requieren bash, git, las utilidades de GNU coreutils, Python 3 con SciPy, pygount 3.2.0 y Graphviz 2.43.0; el arnés de lab/ requiere, además, fd, sd y ripgrep (rg), cuya instalación indica tesis/cierre/REPRODUCIR.md. Las salidas consignadas son las que dan sobre la etiqueta entrega-tesis-v11; tesis/HISTORIA_REVISIONES.md (Anexo N) indica en qué revisión se obtuvo cada una por primera vez.</w:t>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entrega-tesis-v11</w:t>
      </w:r>
      <w:r>
        <w:rPr>
          <w:rtl w:val="0"/>
        </w:rPr>
        <w:t xml:space="preserve"/>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Lo ejecuta, desde la raíz del clon, scripts/huella_backend.sh, con --locale es_AR.UTF-8 o --locale C (P-7); sus órdenes, paso por paso, figuran en tesis/cierre/anexo_l/comprobaciones.md. La colación es_AR.UTF-8 debe estar generada en el equipo, lo que se comprueba con locale -a.</w:t>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cuyas órdenes reúne el mismo archivo. lab/corrida_unificada.sh ubica su directorio de salida dentro de tesis/cierre/evidencia/ (línea 25), pasa a procedencia_exigir su subdirectorio env (línea 37) y ejecuta git status --porcelain después (línea 76); lab/lib_arnes.sh muestra que procedencia_exigir escribe env/procedencia.txt (línea 42); y git check-ignore devuelve 1, porque ninguna regla de .gitignore excluye esa ruta. Por eso git status --porcelain encuentra env/procedencia.txt como archivo no versionado.</w:t>
      </w:r>
    </w:p>
    <w:p w:rsidR="00000000" w:rsidDel="00000000" w:rsidP="00000000" w:rsidRDefault="00000000" w:rsidRPr="00000000" w14:paraId="00000B55">
      <w:pPr>
        <w:pStyle w:val="Heading2"/>
        <w:rPr/>
      </w:pPr>
      <w:r>
        <w:rPr>
          <w:b w:val="1"/>
          <w:bCs w:val="1"/>
          <w:rtl w:val="0"/>
        </w:rPr>
        <w:t xml:space="preserve">L.2 Inventario de código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 con find, wc y pygount 3.2.0. Lo ejecuta, desde la raíz del clon, scripts/inventario_codigo.sh (P-7); sus órdenes, paso por paso, figuran en tesis/cierre/anexo_l/comprobaciones.md.</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paquetes del 3 de octubre que se sellaron después de su generación (Anexo F.1) tienen, desde entrega-tesis-v8, su manifiesto, que consigna el SHA-256 de sus 16 archivos y se verifica con sha256sum -c SHA256SUMS desde el directorio de cada paquete. Antes del sellado se comprobó que su contenido era idéntico al de los commits que los versionaron el 3 de octubre de 2026, a012aff, 4ed2aa4, ada3d4e y 995bdc8, cuyo hash lo sella desde esa fecha. La tabla de los 16 valores, con la orden que los calcula, se conserva en tesis/cierre/anexo_l/comprobaciones.md.</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comprobaciones siguientes verifican los datos de repositorio que el documento cita; scripts/verificar_commits.sh comprueba, además, todos sus identificadores de commit. Sus órdenes, con la salida completa que dan sobre la etiqueta entrega-tesis-v11, figuran en tesis/cierre/anexo_l/comprobaciones.md. Se ejecutan desde la raíz del clon, y las de los commits de septiembre requieren incorporar antes los bundles de custodia (Anexo F.2).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y son del 3 de octubre de 2026: v5.1-analisis-20261003 entra en a012aff y 4ed2aa4; diagnostico-drenaje-v5.0-20261003, en ada3d4e; y diagnostico-notificacion-v5.0-vs-v5.1-20261003, en 995bdc8. Solo los modifica después el commit de su sellado, 9a6d657, del 18 de octubre, que agrega su manifiesto, su acta y, en el primero, el recálculo del drenaje.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las tres líneas FIN_CORTE de la batería de resiliencia, el campo t= precede a la marca entre 5 y 7 ms, y solo la primera lleva fracciones de ocho dígitos. De ahí las dos lecturas del drenaje de la nota de la Tabla 21.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de final-consolidated-fixed-20260911T225314Z registran el mismo hash completo, 6e81ccf95f8da644b74b41a499d3414a08248e06, y el commit no está en el repositorio.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del 10 de septiembre de 2026, es «fix(agent): bind approved baseline content to event».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verifican íntegros; 7df4935, del 11 de septiembre de 2026, lo firma «FIM Evidence Snapshot», y 7a7ee50 y d35fb9c, del 12 de septiembre, Ezequiel Gonzalez; d35fb9c pertenece a la historia de 7a7ee50.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Comprimidos, los tres archivos tienen hashes distintos; descomprimidos, los tres dan el mismo SHA-256, 888f7f03…, y en los tres la primera y la última línea son del 22 de septiembre de 2026, de las 17:58 a las 19:17 UTC, con run_id b3-traza.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openspec/ contiene sesenta y seis cambios archivados, cincuenta y ocho especificaciones de capacidades y cuatrocientos cuarenta y ocho requisitos.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del 25 de abril de 2026, registra la cuenta 3zequiel3, de Ezequiel González; a7199d7, del 17 de junio, y 3b62b97, del 21 de junio, la cuenta mncrmn2009, de Nicolás Castro. Como advierte el apartado 3.8, la autoría de un commit no basta para atribuir un módulo.</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37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el 19, el 22 y el 23 de octubre; y las etiquetas entrega-tesis-v8 y entrega-tesis-v9, del 19 de octubre, entrega-tesis-v10, del 21, y entrega-tesis-v11, del 23.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