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45</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145</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149</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156</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158</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159</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161</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162</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163</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164</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164</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165</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165</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166</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166</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167</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169</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30</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59</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63</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65</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66</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68</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69</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72</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73</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76</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145</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150</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158</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168</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38</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157</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Desde el 18 de octubre de 2026, los tres tienen, además, su manifiesto, con el SHA-256 de cada archivo (P-8; Anexo L.5);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