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11</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16</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18</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19</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20</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22</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24</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25</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26</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27</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29</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29</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31</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33</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35</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35</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38</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41</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44</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47</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50</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53</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55</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56</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58</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58</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60</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63</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64</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65</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67</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70</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71</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73</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74</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76</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78</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80</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80</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83</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84</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85</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87</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88</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90</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92</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92</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96</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97</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97</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98</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98</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98</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100</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100</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101</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102</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102</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102</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102</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103</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103</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103</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104</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105</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105</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105</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105</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113</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113</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118</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119</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119</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126</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128</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136</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136</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136</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137</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139</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143</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144</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145</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148</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151</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152</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159</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161</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162</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164</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167</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168</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168</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169</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170</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21</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26</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27</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31</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37</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40</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44</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48</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54</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56</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60</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61</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63</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65</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67</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68</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70</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71</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73</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74</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75</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76</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78</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90</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92</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108</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114</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115</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116</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148</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150</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153</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161</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170</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36</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40</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42</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45</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48</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Panel principal de la consola</w:t>
        <w:tab/>
        <w:t xml:space="preserve">51</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Lista de eventos de la consola, con filtros</w:t>
        <w:tab/>
        <w:t xml:space="preserve">52</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Cascada de alternativas automáticas de notificación</w:t>
        <w:tab/>
        <w:t xml:space="preserve">53</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142</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Diagrama de componentes UML de la plataforma FIM</w:t>
        <w:tab/>
        <w:t xml:space="preserve">160</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Durante años, su énfasis estuvo en proteger el perímetro de la red; hoy gana terreno la arquitectura de confianza cero, cuya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MD5, que la consigna original incluía (apartado 1.3), tiene colisiones prácticas conocidas desde 2004 (Wang &amp; Yu, 2005), de modo que no sirve donde importa la resistencia a colisiones. SHA-1 corrió la misma suerte con el primer ataque práctico de colisión de prefijo elegido (Leurent &amp; Peyrin, 2020) y dejó de ser aceptable para esos usos.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en forma sostenida: recalcula las huellas periódicamente o ante eventos del sistema operativo y las compara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con la designación de sus autoridades por el Decreto 92/2026 (Poder Ejecutivo Nacional,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que, según la premisa del apartado 1.1, suelen quedar fuera del alcance económico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Marcos internacionales.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monitoreo de integridad figura en varios marcos,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 Por eso n8n es prescindible: el carácter abierto que plantea la pregunta de investigación se refiere al código propio de la plataforma, que puede operar sin él (apartado 6.6).</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se guía, además, por tres pautas de uso extendido en la industria, que no forman parte de la enumeración de NIST: verificar de forma explícita, conceder el privilegio mínimo y asumir que el compromiso ya ocurrió. Se ocupa sobre todo de los dispositivos, con certificados mutuos, y de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919445"/>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3919445"/>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Diagrama generado con inteligencia artificial desde su fuente en tesis/figuras/ y revisado por los autores contra el sistema (apartado 9.1.2).</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Diagrama generado con inteligencia artificial desde su fuente en tesis/figuras/ y revisado por los autores contra el sistema (apartado 9.1.2).</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23902"/>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5923902"/>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Diagrama generado con inteligencia artificial desde su fuente en tesis/figuras/ y revisado por los autores contra el sistema (apartado 9.1.2).</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Diagrama generado con inteligencia artificial desde su fuente en tesis/figuras/ y revisado por los autores contra el sistema (apartado 9.1.2).</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Diagrama generado con inteligencia artificial desde su fuente en tesis/figuras/ y revisado por los autores contra el sistema (apartado 9.1.2).</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 La Figura 6 muestra el panel principal de la consola, y la Figura 7, la lista de eventos con sus filtros.</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Panel principal de la consola</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Lista de eventos de la consola, con filtros</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Cascada de alternativas automáticas de notificación</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a cargo del componente NotificationDispatcher,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Diagrama generado con inteligencia artificial desde su fuente en tesis/figuras/ y revisado por los autores contra el sistema (apartado 9.1.2).</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la concurrencia entre operadores con bloqueo optimista.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bloqueo optimista frente a la concurrencia de operadores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Esa pérdida importa, porque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Que el modo clásico no admite eventos de creación, borrado y movimiento, y que el reporte del directorio padre con el nombre permite reconstruir la ruta, está documentado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demás instrumentos del apartado 2.4 admiten una lectura análoga. Frente a la Ley 26.388, el registro de auditoría puede servir en una investigación, con un valor probatorio que depende de la cadena de custodia y de que el registro no se haya alterado (apartado 4.11). Frente a la Resolución 126/2024, disponer de controles técnicos documentados facilita informar las medidas de seguridad cuando lo solicite la Dirección Nacional de Protección de Datos Personales. La Decisión Administrativa 641/2021, por último, enmarca el tipo de sistema propuesto entre los controles técnicos que exige, solo para los organismos que alcanza.</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Disposición 1/2026 del Centro Nacional de Ciberseguridad (Centro Nacional de Ciberseguridad, 2026) exige a los organismos del Sector Público Nacional mantener la continuidad del servicio. Las decisiones de resiliencia del sistema, la cola local del agente y la cascada de notificaciones (apartados 4.3 y 4.7), pueden contribuir a esa continuidad en el componente de monitoreo.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registros de suites. Lo revelaron los propios manifiestos al verificarse, no una guarda que lo impidiera (Anexo F.1). Los paquetes de v5.1-tesis no se vieron afectados: la corrida unificada verifica 112 de 112 archivos, las complementarias, 59 de 59, y los tres paquetes sellados después de su generación están versionados desde el 3 de octubre de 2026 (Anexo L.5). Desde entrega-tesis-v8, los originales están restaurados y el arnés aborta si el destino ya contiene un manifiesto (P-9). No cambia ningún dictamen, pero condiciona la verificabilidad de toda la evidencia: un sello detecta una alteración, no la previene.</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Tampoco los validó con varios agentes ni sobre una red física: los resultados proceden de un único agente en una máquina virtual, enlazada por una red virtual que no reproduce la latencia de una red real.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Fallar abierto restablecería el acceso a costa de la revocación de tokens; fallar cerrado, como hoy, la preserva a costa del acceso. El límite de ingesta pertenece a la misma categoría: protege al backend, pero acota la validez de la latencia y abre el vector de inundación (apartado 4.11).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desarrolla Isovalent, hoy parte de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hoy parte de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los términos de la ciencia del diseño (Capítulo 3), la contribución teórica del trabajo es un argumento de aplicabilidad que el diseño experimental no valida: este caso ilustra que una arquitectura distribuida con componentes abiertos de Python y JavaScript puede servir a la seguridad operacional en contextos de recursos limitados.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 la cuarta del apartado 6.2, el catálogo de reglas trazadas, se trata como aporte metodológico (apartado 7.3).</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 (apartado 2.12 y Tabla 4), que ningún tercero validó.</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Incluye el catálogo de reglas de negocio trazadas hasta el código que las implementa y la prueba que las verifica, la cuarta contribución del apartado 6.2.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Forma parte del mismo aporte dictaminar cada criterio con su formulación preregistrada, aun cuando varios no se alcanzan, y declarar aparte los ajustes posteriores a los datos (apartado 1.6).</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En lo normativo, relaciona cada control técnico con los instrumentos argentinos que analiza (apartados 2.4 y 6.3), con el alcance de la Tabla 2: una contribución a sus medidas, no un cumplimiento.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La máscara de eventos no observa cambios de atributos, como chmod u+s, chown o setcap, que AIDE sí controla (apartado 1.7). El cifrado local no protege frente al compromiso privilegiado del anfitrión (apartado 2.10).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custodia de la evidencia conserva defectos, ninguno de los cuales sustenta cifras de v5.1-tesis: tres de los 38 manifiestos de tesis/cierre/evidencia/ no verifican íntegros, y las tres trazas de resiliencia de v2.0-tesis son copias de una misma corrida de diagnóstico (amenaza 6, apartado 6.4, y Anexo F.1). Los defectos conocidos de v5.1-tesis figuran en el apartado 6.6, y corregirlos exige una versión nueva y repetir la validación.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hipótesis conjunta no se corrobora, y el trabajo no establece la aptitud productiva.</w:t>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contraseñas con consumo intensivo de memoria. Es la variante híbrida de Argon2, que ganó la Password Hashing Competition de 2015, y la estandariza el RFC 9106.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Cadena de eventos superados (superseded).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para un archivo que vuelve a cambiar antes de que un operador decida sobre su evento pendiente: el agente marca ese evento como superseded y crea otro que lo referencia con parent_event_id, de modo que solo el último queda pendiente (apartado 4.4).</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Cola local.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Cola acotada en el disco del agente que retiene cada evento hasta recibir la confirmación de persistencia del backend, y sostiene la entrega tras un corte. Al llegar a 100 MiB descarta los eventos más antiguos (apartados 2.9 y 2.12).</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Cuarentena.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Acción del agente que retira un archivo modificado de su ruta y lo conserva cifrado con AES-256-GCM, bajo un nombre opaco, hasta que un comando firmado lo libera: restaurando el original, restaurando la línea base o descartándolo (apartado 4.4).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Formulación de un criterio de aceptación tal como quedó registrada en la versión del documento del 30 de junio de 2026, antes de todo dato de medición. La Tabla 26 dictamina cada criterio con ella (apartado 1.6 y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ejecuta aplicaciones en contenedores; Docker Compose describe en un archivo YAML un conjunto de servicios que forman una aplicación multicontenedor. En este trabajo, el servidor central corre en Docker Compose, y el agente, fuera de él (apartados 4.1 y 4.10).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Drenaje.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que va desde el fin de un corte del intermediario de mensajería hasta que el backend recibe el último evento encolado durante el corte. Comprende la reconexión del agente, un tramo sin consumo y el consumo (apartados 3.6 y 5.5).</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Término que el trabajo adopta para el inglés polling, a falta de un equivalente asentado en español: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web de Python para construir API, con validación automática de datos y documentación conforme a OpenAPI. Es la base del backend (apartado 2.8).</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Grupo de control.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verificación periódica con el que el estudio compara el artefacto: un script recorre el mismo directorio cada 900 s, calcula el SHA-256 de cada archivo y compara cada pasada con la anterior (apartado 3.3 y Anexo J).</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 Su propiedad decisiva es la resistencia a colisiones: debe resultar inviable hallar dos entradas con la misma salida (apartado 2.2).</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Núcleo Linux (kernel).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 de código abierto. En este trabajo guarda el estado autoritativo del servidor central: eventos, reglas, alertas, auditoría y metadatos de la línea base (apartado 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y propósito general. En este trabajo se usa para el agente, el backend y los scripts del arnés (Tabla 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a partir de componentes. En este trabajo, la consola administrativa usa React 19 con TypeScript (apartado 4.6).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Registro de acciones con escritura anticipada (journal).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Registro en el que el agente anota cada acción como pendiente antes de ejecutarla, de modo que, si el proceso falla, al arrancar retoma las acciones interrumpidas (apartado 4.3).</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del sistema en las principales distribuciones de Linux. El agente se despliega como unidad de systemd, que gestiona su arranque, su reinicio ante fallas y su ciclo de vida (apartado 4.10).</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sucede a TLS 1.2. Provee cifrado y autenticación del canal de comunicación entre dos partes, y es el mecanismo que opera detrás del protocolo HTTPS.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Triage.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Clasificación inicial de un evento de seguridad para decidir su tratamiento. En este trabajo, una lista de once tareas derivada de la fase de detección y análisis de NIST SP 800-61r2; su cobertura de automatización es la proporción de tareas que el sistema practica sin intervención humana (apartados 3.6 y 5.6).</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Ventana anti-replay.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máximo admitido entre la transmisión de un mensaje, sent_at, y su recepción. El backend rechaza los eventos que lo exceden, para impedir la reinyección de mensajes antiguos; en este trabajo, cinco minutos (apartados 2.12 y 4.5).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del código identificada por una etiqueta del repositorio, como v5.1-tesis, que se somete a evaluación. Todos los resultados del Capítulo 5 corresponden a v5.1-tesis (Guía de lectura).</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el daño informático y la alteración de datos.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pPr>
        <w:spacing w:after="0" w:before="0" w:line="480" w:lineRule="auto"/>
        <w:ind w:left="720" w:hanging="720"/>
        <w:rPr/>
      </w:pPr>
      <w:r>
        <w:rPr>
          <w:rtl w:val="0"/>
        </w:rPr>
        <w:t xml:space="preserve">Wang, X., &amp; Yu, H. (2005). How to break MD5 and other hash functions. En R. Cramer (Ed.), </w:t>
      </w:r>
      <w:r>
        <w:rPr>
          <w:i w:val="1"/>
          <w:iCs w:val="1"/>
          <w:rtl w:val="0"/>
        </w:rPr>
        <w:t xml:space="preserve">Advances in cryptology – EUROCRYPT 2005</w:t>
      </w:r>
      <w:r>
        <w:rPr>
          <w:rtl w:val="0"/>
        </w:rPr>
        <w:t xml:space="preserve"> (pp. 19–35). Springer. https://doi.org/10.1007/11426639_2</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Diagrama generado con inteligencia artificial desde la fuente que cita el Anexo L.6 y revisado por los autores contra el sistema (apartado 9.1.2). Impreso a A4,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componentes UML de la plataforma FIM</w:t>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Diagrama generado con inteligencia artificial desde la fuente que cita el Anexo L.6 y revisado por los autores contra el sistema (apartado 9.1.2). Impreso a A4,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Todas las figuras vectoriales incrustan su texto convertido a trazos: las de Graphviz, en la tipografía DejaVu Sans que fija cada fuente, y la Figura 4, de Mermaid, sin tipografía fija en tesis/figuras/fig4.mmd. 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