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y el 19 de octubre; y las etiquetas entrega-tesis-v8 y entrega-tesis-v9, del 19 de octubre, y entrega-tesis-v10, del 21.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