
<file path=[Content_Types].xml><?xml version="1.0" encoding="utf-8"?>
<Types xmlns="http://schemas.openxmlformats.org/package/2006/content-types">
  <Default Extension="png" ContentType="image/png"/>
  <Default Extension="jpg" ContentType="image/jpeg"/>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8.png" ContentType="image/png"/>
  <Override PartName="/word/media/rId64.jpg" ContentType="image/jpeg"/>
  <Override PartName="/word/media/rId80.png" ContentType="image/png"/>
  <Override PartName="/word/media/rId87.png" ContentType="image/png"/>
  <Override PartName="/word/media/rId76.png" ContentType="image/png"/>
  <Override PartName="/word/media/rId153.png" ContentType="image/png"/>
  <Override PartName="/word/media/rId60.png" ContentType="image/png"/>
  <Override PartName="/word/media/rId160.png" ContentType="image/png"/>
  <Override PartName="/word/media/rId72.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pPr>
        <w:pStyle w:val="Portada"/>
      </w:pPr>
      <w:r>
        <w:rPr>
          <w:bCs/>
          <w:b/>
        </w:rPr>
        <w:t xml:space="preserve">UNIVERSIDAD TECNOLÓGICA NACIONAL</w:t>
      </w:r>
    </w:p>
    <w:p>
      <w:pPr>
        <w:pStyle w:val="Portada"/>
      </w:pPr>
      <w:r>
        <w:rPr>
          <w:bCs/>
          <w:b/>
        </w:rPr>
        <w:t xml:space="preserve">FACULTAD REGIONAL MENDOZA</w:t>
      </w:r>
    </w:p>
    <w:p>
      <w:pPr>
        <w:pStyle w:val="Portada"/>
      </w:pPr>
      <w:r>
        <w:t xml:space="preserve">Tecnicatura Universitaria en Programación</w:t>
      </w:r>
    </w:p>
    <w:p>
      <w:pPr>
        <w:pStyle w:val="Portada"/>
      </w:pPr>
      <w:r>
        <w:rPr>
          <w:bCs/>
          <w:b/>
        </w:rPr>
        <w:t xml:space="preserve">PLATAFORMA DISTRIBUIDA PARA EL MONITOREO DE INTEGRIDAD DE ARCHIVOS EN SISTEMAS LINUX CON MOTOR DE DECISIÓN BASADO EN REGLAS, VALIDACIÓN HUMANA Y ORQUESTACIÓN DE NOTIFICACIONES</w:t>
      </w:r>
    </w:p>
    <w:p>
      <w:pPr>
        <w:pStyle w:val="Portada"/>
      </w:pPr>
      <w:r>
        <w:rPr>
          <w:iCs/>
          <w:i/>
        </w:rPr>
        <w:t xml:space="preserve">Trabajo Final de carrera presentado para optar al título de Técnico Universitario en Programación</w:t>
      </w:r>
    </w:p>
    <w:p>
      <w:pPr>
        <w:pStyle w:val="Portada"/>
      </w:pPr>
      <w:r>
        <w:rPr>
          <w:bCs/>
          <w:b/>
        </w:rPr>
        <w:t xml:space="preserve">Autores</w:t>
      </w:r>
    </w:p>
    <w:p>
      <w:pPr>
        <w:pStyle w:val="Portada"/>
      </w:pPr>
      <w:r>
        <w:t xml:space="preserve">Ezequiel González</w:t>
      </w:r>
    </w:p>
    <w:p>
      <w:pPr>
        <w:pStyle w:val="Portada"/>
      </w:pPr>
      <w:r>
        <w:t xml:space="preserve">Nicolás Castro</w:t>
      </w:r>
    </w:p>
    <w:p>
      <w:pPr>
        <w:pStyle w:val="Portada"/>
      </w:pPr>
      <w:r>
        <w:rPr>
          <w:bCs/>
          <w:b/>
        </w:rPr>
        <w:t xml:space="preserve">Director de la carrera</w:t>
      </w:r>
    </w:p>
    <w:p>
      <w:pPr>
        <w:pStyle w:val="Portada"/>
      </w:pPr>
      <w:r>
        <w:t xml:space="preserve">Alberto Cortez</w:t>
      </w:r>
    </w:p>
    <w:p>
      <w:pPr>
        <w:pStyle w:val="Portada"/>
      </w:pPr>
      <w:r>
        <w:rPr>
          <w:bCs/>
          <w:b/>
        </w:rPr>
        <w:t xml:space="preserve">Mendoza, Argentina — 2026</w:t>
      </w:r>
    </w:p>
    <w:p>
      <w:r>
        <w:br w:type="page"/>
      </w:r>
    </w:p>
    <w:bookmarkStart w:id="20" w:name="declaración-de-originalidad"/>
    <w:p>
      <w:pPr>
        <w:pStyle w:val="Heading1"/>
      </w:pPr>
      <w:r>
        <w:rPr>
          <w:bCs/>
          <w:b/>
        </w:rPr>
        <w:t xml:space="preserve">DECLARACIÓN DE ORIGINALIDAD</w:t>
      </w:r>
    </w:p>
    <w:p>
      <w:pPr>
        <w:pStyle w:val="FirstParagraph"/>
      </w:pPr>
      <w:r>
        <w:t xml:space="preserve">Los autores, Ezequiel González y Nicolás Castro, declaran bajo juramento que el presente Trabajo Final de carrera es producto de su labor personal y no ha sido presentado previamente para obtener otro título académico en esta ni en otra institución educativa. Las fuentes bibliográficas, estándares técnicos y publicaciones consultadas han sido citadas conforme al sistema de referenciación APA en su séptima edición. Los diagramas arquitectónicos, los esquemas de la base de datos, las decisiones de diseño y los artefactos de documentación producidos son originales, o bien incorporan componentes de terceros que se reconocen explícitamente y que se emplean bajo licencias compatibles con el presente trabajo.</w:t>
      </w:r>
    </w:p>
    <w:p>
      <w:pPr>
        <w:pStyle w:val="BodyText"/>
      </w:pPr>
      <w:r>
        <w:t xml:space="preserve">Durante la fase de redacción se utilizaron herramientas de inteligencia artificial generativa únicamente para corrección estilística, verificación de consistencia y organización expositiva. El contenido técnico, las decisiones de arquitectura, la selección tecnológica, el protocolo experimental y las conclusiones son de autoría humana. Ambos firmantes asumieron conjuntamente su revisión y aprobación final; no se atribuyen responsabilidades individuales que la documentación disponible no permita acreditar.</w:t>
      </w:r>
    </w:p>
    <w:p>
      <w:pPr>
        <w:pStyle w:val="BodyText"/>
      </w:pPr>
      <w:r>
        <w:t xml:space="preserve">Mendoza, Argentina — 2026.</w:t>
      </w:r>
    </w:p>
    <w:p>
      <w:pPr>
        <w:pStyle w:val="BodyText"/>
      </w:pPr>
      <w:r>
        <w:t xml:space="preserve">_________________________________</w:t>
      </w:r>
    </w:p>
    <w:p>
      <w:pPr>
        <w:pStyle w:val="BodyText"/>
      </w:pPr>
      <w:r>
        <w:t xml:space="preserve">Ezequiel González</w:t>
      </w:r>
    </w:p>
    <w:p>
      <w:pPr>
        <w:pStyle w:val="BodyText"/>
      </w:pPr>
      <w:r>
        <w:t xml:space="preserve">_________________________________</w:t>
      </w:r>
    </w:p>
    <w:p>
      <w:pPr>
        <w:pStyle w:val="BodyText"/>
      </w:pPr>
      <w:r>
        <w:t xml:space="preserve">Nicolás Castro</w:t>
      </w:r>
    </w:p>
    <w:p>
      <w:r>
        <w:br w:type="page"/>
      </w:r>
    </w:p>
    <w:bookmarkEnd w:id="20"/>
    <w:bookmarkStart w:id="21" w:name="dedicatoria"/>
    <w:p>
      <w:pPr>
        <w:pStyle w:val="Heading1"/>
      </w:pPr>
      <w:r>
        <w:rPr>
          <w:bCs/>
          <w:b/>
        </w:rPr>
        <w:t xml:space="preserve">DEDICATORIA</w:t>
      </w:r>
    </w:p>
    <w:p>
      <w:pPr>
        <w:pStyle w:val="FirstParagraph"/>
      </w:pPr>
      <w:r>
        <w:rPr>
          <w:iCs/>
          <w:i/>
        </w:rPr>
        <w:t xml:space="preserve">A nuestras familias, por el sostén silencioso durante los años de formación.</w:t>
      </w:r>
    </w:p>
    <w:p>
      <w:pPr>
        <w:pStyle w:val="BodyText"/>
      </w:pPr>
      <w:r>
        <w:rPr>
          <w:iCs/>
          <w:i/>
        </w:rPr>
        <w:t xml:space="preserve">A los docentes de la Tecnicatura Universitaria en Programación de la UTN-FRM, cuyas explicaciones pacientes dieron forma a la vocación técnica que guía este trabajo.</w:t>
      </w:r>
    </w:p>
    <w:p>
      <w:pPr>
        <w:pStyle w:val="BodyText"/>
      </w:pPr>
      <w:r>
        <w:rPr>
          <w:iCs/>
          <w:i/>
        </w:rPr>
        <w:t xml:space="preserve">A las organizaciones que, con recursos acotados, sostienen a diario la protección de información crítica con las herramientas que tienen a mano.</w:t>
      </w:r>
    </w:p>
    <w:p>
      <w:r>
        <w:br w:type="page"/>
      </w:r>
    </w:p>
    <w:bookmarkEnd w:id="21"/>
    <w:bookmarkStart w:id="22" w:name="agradecimientos"/>
    <w:p>
      <w:pPr>
        <w:pStyle w:val="Heading1"/>
      </w:pPr>
      <w:r>
        <w:rPr>
          <w:bCs/>
          <w:b/>
        </w:rPr>
        <w:t xml:space="preserve">AGRADECIMIENTOS</w:t>
      </w:r>
    </w:p>
    <w:p>
      <w:pPr>
        <w:pStyle w:val="FirstParagraph"/>
      </w:pPr>
      <w:r>
        <w:t xml:space="preserve">Los autores desean expresar su reconocimiento al cuerpo docente y no docente de la Tecnicatura Universitaria en Programación de la Facultad Regional Mendoza de la Universidad Tecnológica Nacional, cuyo acompañamiento pedagógico durante los años de cursada hizo posible la culminación del presente trabajo. Se agradece de manera especial al director de la carrera, Alberto Cortez, por sus orientaciones académicas durante la formulación y el desarrollo del proyecto.</w:t>
      </w:r>
    </w:p>
    <w:p>
      <w:pPr>
        <w:pStyle w:val="BodyText"/>
      </w:pPr>
      <w:r>
        <w:t xml:space="preserve">Se agradece, asimismo, a la comunidad global de software libre, cuyas aportaciones desinteresadas constituyen el fundamento técnico sobre el cual se asienta la propuesta aquí desarrollada. Resulta particularmente relevante la mención a los mantenedores de los proyectos FastAPI, SQLModel, PostgreSQL, Valkey, React y n8n, así como a quienes sostienen la documentación del subsistema fanotify del núcleo Linux, sin cuya existencia la presente tesis no habría sido posible. Finalmente, los autores agradecen a sus familias y allegados por la paciencia demostrada y por el aliento sostenido durante todo el proceso.</w:t>
      </w:r>
    </w:p>
    <w:p>
      <w:r>
        <w:br w:type="page"/>
      </w:r>
    </w:p>
    <w:bookmarkEnd w:id="22"/>
    <w:bookmarkStart w:id="23" w:name="resumen"/>
    <w:p>
      <w:pPr>
        <w:pStyle w:val="Heading1"/>
      </w:pPr>
      <w:r>
        <w:rPr>
          <w:bCs/>
          <w:b/>
        </w:rPr>
        <w:t xml:space="preserve">RESUMEN</w:t>
      </w:r>
    </w:p>
    <w:p>
      <w:pPr>
        <w:pStyle w:val="FirstParagraph"/>
      </w:pPr>
      <w:r>
        <w:t xml:space="preserve">El presente Trabajo Final de carrera aborda el diseño, la implementación y la evaluación en condiciones de laboratorio de una plataforma distribuida destinada al Monitoreo de Integridad de Archivos en sistemas operativos Linux. La propuesta parte de una brecha que el trabajo postula como premisa de diseño: la distancia entre las soluciones comerciales del segmento, que los autores caracterizan como costosas y opacas para el usuario final sin haber practicado una evaluación económica comparativa, y las alternativas artesanales basadas en la verificación periódica mediante scripts, cuyas limitaciones estructurales comprenden ventanas temporales de ceguera propias del encuestamiento, almacenamiento local de la baseline expuesto a manipulación y ausencia de integración con los canales operativos de respuesta a incidentes.</w:t>
      </w:r>
    </w:p>
    <w:p>
      <w:pPr>
        <w:pStyle w:val="BodyText"/>
      </w:pPr>
      <w:r>
        <w:t xml:space="preserve">La arquitectura desarrollada articula seis componentes desacoplados que se comunican mediante mensajería asíncrona. Un agente escrito en lenguaje Python opera como servicio nativo del sistema en cada anfitrión monitoreado, emplea el subsistema fanotify del núcleo Linux para la detección reactiva de eventos de archivo y ejecuta localmente un motor de decisión con cuatro niveles de acción. Un backend construido sobre FastAPI con base de datos PostgreSQL se organiza en módulos por dominio funcional, con separación explícita entre la capa de exposición HTTP, la lógica de negocio y los modelos de persistencia. Una capa de mensajería basada en Valkey Streams transporta los eventos del agente hacia el backend y los comandos del backend hacia el agente. Un motor de orquestación n8n enruta las notificaciones externas, con mecanismos de reintento y cola de mensajes fallidos. Una aplicación frontend desarrollada en React habilita la validación humana de los eventos y la administración del sistema. Un servidor central contenedorizado con Docker Compose integra estos servicios, a los cuales los agentes nativos se conectan mediante autenticación mutua de certificados TLS.</w:t>
      </w:r>
    </w:p>
    <w:p>
      <w:pPr>
        <w:pStyle w:val="BodyText"/>
      </w:pPr>
      <w:r>
        <w:t xml:space="preserve">Entre las decisiones técnicas destacadas figuran la implementación de un enlace propio al subsistema fanotify en modo de reporte de identificador de archivo, resuelta sobre llamadas al sistema crudas tras constatar que los envoltorios disponibles no admiten los eventos de entrada de directorio requeridos; el cifrado autenticado de la baseline en reposo mediante AES-256-GCM, con derivación de clave a cargo de la función HKDF-SHA256; la firma HMAC-SHA256 de los comandos emitidos por el backend; un protocolo de entrega con confirmación bidireccional y persistencia deduplicada sobre los streams de Valkey, que produce un único registro por evento sobre un transporte con semántica al-menos-una-vez; un patrón de bandeja de salida transaccional que preserva los comandos ante indisponibilidad del motor de mensajería; la resolución de concurrencia en el flujo de aprobación humana a través de bloqueo optimista y cadena de eventos superados; un control anti-replay en tres capas, basado en la firma HMAC del instante de transmisión, una ventana temporal acotada al tránsito por la capa de mensajería y la deduplicación por identificador de evento; y la integración con notificaciones mediante alternativas automáticas hacia otros canales cuando el orquestador principal resulta indisponible.</w:t>
      </w:r>
    </w:p>
    <w:p>
      <w:pPr>
        <w:pStyle w:val="BodyText"/>
      </w:pPr>
      <w:r>
        <w:t xml:space="preserve">El trabajo sistematiza el marco normativo argentino aplicable —la Ley 25.326 de Protección de Datos Personales, las Resoluciones 47/2018 y 126/2024 de la Agencia de Acceso a la Información Pública, la Resolución 44/2023 que aprueba la Segunda Estrategia Nacional de Ciberseguridad, el Decreto de Necesidad y Urgencia 941/2025, que creó el Centro Nacional de Ciberseguridad, y la Disposición 1/2026 de ese organismo— y explicita a qué obligaciones o recomendaciones contribuye el sistema, sin reclamar cumplimiento normativo integral.</w:t>
      </w:r>
    </w:p>
    <w:p>
      <w:pPr>
        <w:pStyle w:val="BodyText"/>
      </w:pPr>
      <w:r>
        <w:t xml:space="preserve">La evaluación histórica comprendió 912 casos, con 911 aprobados y uno omitido. Los intentos consolidados fallidos se conservan por separado. El candidato 7df4935 aprobó sus suites y sustentó tres ensayos en un único anfitrión. Se aceptaron 100/100 notificaciones simultáneas en un receptor local, con P99 de 616,626 ms en el tramo de transporte. Cinco drenajes de 3.000 eventos preencolados quedaron bajo 30 s (media 28,424 s; desvío muestral 0,644 s). Además, 100/100 modificaciones con inicio observado mediante strace registraron P99 de 31,533 ms hasta la recepción en el backend. El candidato consolidado vigente (commit autocontenido 7a7ee5011d9234023687687ed95a7cdda9437711) incorporó implementación y pruebas por criterio para trece historias. Aprobó agente 540 y una omitida, backend 689/689 y frontend 197/197, con comprobación de tipos, construcción, E2E dirigidos e integridad OpenSpec. Las coberturas propias fueron 79,57 % para el agente, 91,34 % para backend/app y 73,09 % de líneas del frontend, sin promediarlas. La matriz queda en veintitrés historias completas, ocho parciales y ninguna sin cobertura funcional. La evidencia no acredita 31/31 historias, operación multianfitrión, TLS de Valkey, SMTP comercial ni aptitud productiva; la hipótesis conjunta continúa no corroborada.</w:t>
      </w:r>
    </w:p>
    <w:p>
      <w:pPr>
        <w:pStyle w:val="BodyText"/>
      </w:pPr>
      <w:r>
        <w:rPr>
          <w:bCs/>
          <w:b/>
        </w:rPr>
        <w:t xml:space="preserve">Palabras clave:</w:t>
      </w:r>
      <w:r>
        <w:t xml:space="preserve"> </w:t>
      </w:r>
      <w:r>
        <w:rPr>
          <w:iCs/>
          <w:i/>
        </w:rPr>
        <w:t xml:space="preserve">Monitoreo de Integridad de Archivos, fanotify, SHA-256, FastAPI, PostgreSQL, Valkey, n8n, SOAR, Argon2id, autenticación mutua, Zero Trust, Ley 25.326, ciberseguridad en Argentina, Linux.</w:t>
      </w:r>
    </w:p>
    <w:p>
      <w:r>
        <w:br w:type="page"/>
      </w:r>
    </w:p>
    <w:bookmarkEnd w:id="23"/>
    <w:bookmarkStart w:id="24" w:name="abstract"/>
    <w:p>
      <w:pPr>
        <w:pStyle w:val="Heading1"/>
      </w:pPr>
      <w:r>
        <w:rPr>
          <w:bCs/>
          <w:b/>
        </w:rPr>
        <w:t xml:space="preserve">ABSTRACT</w:t>
      </w:r>
    </w:p>
    <w:p>
      <w:pPr>
        <w:pStyle w:val="FirstParagraph"/>
      </w:pPr>
      <w:r>
        <w:t xml:space="preserve">This Final Project addresses the design, implementation and laboratory evaluation of a distributed File Integrity Monitoring (FIM) platform for Linux operating systems. The proposal starts from a gap that the work posits as a design premise: the distance between commercial FIM solutions, which the authors characterise as expensive and opaque to end users without having performed a comparative economic assessment, and handcrafted alternatives based on polling scripts whose structural weaknesses include temporal blind spots, locally stored baselines exposed to tampering, and the absence of integration with operational incident response channels.</w:t>
      </w:r>
    </w:p>
    <w:p>
      <w:pPr>
        <w:pStyle w:val="BodyText"/>
      </w:pPr>
      <w:r>
        <w:t xml:space="preserve">The proposed architecture articulates six decoupled components that communicate via asynchronous messaging. A Python agent runs as a native system service on each monitored host, using the Linux kernel fanotify subsystem for reactive event detection and executing a local decision engine with four action levels. A FastAPI backend with a PostgreSQL database is organized into functional domain modules, with explicit separation between the HTTP exposure layer, business logic and persistence models. A Valkey Streams messaging layer carries events from agent to backend and commands from backend to agent. An n8n orchestration engine routes external notifications with retry and dead-letter mechanisms. A React frontend enables human validation of events and administration. A centralized server containerized with Docker Compose integrates these services, to which the native agents connect via mutual TLS authentication.</w:t>
      </w:r>
    </w:p>
    <w:p>
      <w:pPr>
        <w:pStyle w:val="BodyText"/>
      </w:pPr>
      <w:r>
        <w:t xml:space="preserve">Key technical decisions include a purpose-built fanotify binding operating in file-identifier reporting mode, implemented over raw system calls after establishing that available wrappers do not support the required directory-entry events; authenticated encryption of the baseline at rest using AES-256-GCM with HKDF-SHA256 key derivation; HMAC-SHA256 signed commands; a delivery protocol with bidirectional acknowledgement and deduplicated persistence over Valkey Streams, yielding a single stored record per event on top of an at-least-once transport; a transactional outbox pattern preserving commands under messaging-layer unavailability; optimistic concurrency control on the human approval workflow with superseded event chaining; a three-layer replay control combining HMAC-signed transmission timestamps, a transit-bounded skew window, and event-identifier deduplication; and automatic fallback to alternative notification channels upon primary orchestrator unavailability.</w:t>
      </w:r>
    </w:p>
    <w:p>
      <w:pPr>
        <w:pStyle w:val="BodyText"/>
      </w:pPr>
      <w:r>
        <w:t xml:space="preserve">The work systematises the applicable Argentine regulatory framework —Law 25.326, AAIP Resolutions 47/2018 and 126/2024, Resolution 44/2023 establishing the Second National Cybersecurity Strategy, DNU 941/2025 establishing the National Cybersecurity Center, and that body’s Disposición 1/2026— and states which obligations or recommendations the system contributes to, without claiming full regulatory compliance.</w:t>
      </w:r>
    </w:p>
    <w:p>
      <w:pPr>
        <w:pStyle w:val="BodyText"/>
      </w:pPr>
      <w:r>
        <w:t xml:space="preserve">The historical evaluation comprised 912 cases, with 911 passed and one skipped. Failed consolidated attempts are retained separately. Candidate 7df4935 passed its suites and supported three experiments on a single host. A local receiver accepted 100/100 simultaneous notifications, with a P99 of 616.626 ms on the transport segment. Five drains of 3,000 pre-queued events stayed below 30 s (mean 28.424 s; sample standard deviation 0.644 s). In addition, 100/100 modifications whose start was observed with strace recorded a P99 of 31.533 ms up to backend reception. The current consolidated candidate (self-contained commit 7a7ee5011d9234023687687ed95a7cdda9437711) added implementation and per-criterion tests for thirteen stories. It passed agent 540 with one skipped, backend 689/689 and frontend 197/197, with type checking, build, directed E2E tests and OpenSpec integrity. Candidate-specific coverage was 79.57% for the agent, 91.34% for backend/app and 73.09% of frontend lines, without averaging them. The matrix stands at twenty-three complete stories, eight partial and none without functional coverage. The evidence does not establish 31/31 stories, multi-host operation, Valkey TLS, commercial SMTP or production readiness; the joint hypothesis remains uncorroborated.</w:t>
      </w:r>
    </w:p>
    <w:p>
      <w:pPr>
        <w:pStyle w:val="BodyText"/>
      </w:pPr>
      <w:r>
        <w:rPr>
          <w:bCs/>
          <w:b/>
        </w:rPr>
        <w:t xml:space="preserve">Keywords:</w:t>
      </w:r>
      <w:r>
        <w:t xml:space="preserve"> </w:t>
      </w:r>
      <w:r>
        <w:rPr>
          <w:iCs/>
          <w:i/>
        </w:rPr>
        <w:t xml:space="preserve">File Integrity Monitoring, fanotify, SHA-256, FastAPI, PostgreSQL, Valkey, n8n, SOAR, Argon2id, mutual TLS, Zero Trust, Argentine Law 25.326, Linux.</w:t>
      </w:r>
    </w:p>
    <w:p>
      <w:r>
        <w:br w:type="page"/>
      </w:r>
    </w:p>
    <w:p>
      <w:pPr>
        <w:pStyle w:val="BodyText"/>
      </w:pPr>
      <w:r>
        <w:rPr>
          <w:bCs/>
          <w:b/>
        </w:rPr>
        <w:t xml:space="preserve">ÍNDICE GENERAL</w:t>
      </w:r>
    </w:p>
    <w:p>
      <w:r>
        <w:t xml:space="preserve">Lista de abreviaturas y siglas — 14</w:t>
        <w:br/>
      </w:r>
      <w:r>
        <w:t xml:space="preserve">Capítulo 1. Introducción — 16</w:t>
        <w:br/>
      </w:r>
      <w:r>
        <w:t xml:space="preserve">Capítulo 2. Marco teórico — 26</w:t>
        <w:br/>
      </w:r>
      <w:r>
        <w:t xml:space="preserve">Capítulo 3. Marco metodológico — 45</w:t>
        <w:br/>
      </w:r>
      <w:r>
        <w:t xml:space="preserve">Capítulo 4. Desarrollo de la investigación — 57</w:t>
        <w:br/>
      </w:r>
      <w:r>
        <w:t xml:space="preserve">Capítulo 5. Resultados — 89</w:t>
        <w:br/>
      </w:r>
      <w:r>
        <w:t xml:space="preserve">Capítulo 6. Discusión — 110</w:t>
        <w:br/>
      </w:r>
      <w:r>
        <w:t xml:space="preserve">Capítulo 7. Conclusiones — 119</w:t>
        <w:br/>
      </w:r>
      <w:r>
        <w:t xml:space="preserve">Capítulo 8. Recomendaciones y trabajo futuro — 126</w:t>
        <w:br/>
      </w:r>
      <w:r>
        <w:t xml:space="preserve">Capítulo 9. Consideraciones éticas — 131</w:t>
        <w:br/>
      </w:r>
      <w:r>
        <w:t xml:space="preserve">Capítulo 10. Glosario — 140</w:t>
        <w:br/>
      </w:r>
      <w:r>
        <w:t xml:space="preserve">Capítulo 11. Referencias bibliográficas — 148</w:t>
        <w:br/>
      </w:r>
      <w:r>
        <w:t xml:space="preserve">Capítulo 12. Anexos — 153</w:t>
      </w:r>
    </w:p>
    <w:p>
      <w:r>
        <w:br w:type="page"/>
      </w:r>
    </w:p>
    <w:bookmarkEnd w:id="24"/>
    <w:bookmarkStart w:id="25" w:name="índice-de-tablas"/>
    <w:p>
      <w:pPr>
        <w:pStyle w:val="Heading1"/>
      </w:pPr>
      <w:r>
        <w:rPr>
          <w:bCs/>
          <w:b/>
        </w:rPr>
        <w:t xml:space="preserve">ÍNDICE DE TABLAS</w:t>
      </w:r>
    </w:p>
    <w:p>
      <w:pPr>
        <w:pStyle w:val="FirstParagraph"/>
        <w:keepNext/>
      </w:pPr>
      <w:r>
        <w:t xml:space="preserve">Tabla A. Abreviaturas y siglas empleadas en el documento — 14</w:t>
      </w:r>
    </w:p>
    <w:p>
      <w:pPr>
        <w:pStyle w:val="BodyText"/>
        <w:keepNext/>
      </w:pPr>
      <w:r>
        <w:t xml:space="preserve">Tabla 1. Criterios de aceptación preestablecidos — 23</w:t>
      </w:r>
    </w:p>
    <w:p>
      <w:pPr>
        <w:pStyle w:val="BodyText"/>
        <w:keepNext/>
      </w:pPr>
      <w:r>
        <w:t xml:space="preserve">Tabla 2. Naturaleza y alcance de los instrumentos normativos invocados — 31</w:t>
      </w:r>
    </w:p>
    <w:p>
      <w:pPr>
        <w:pStyle w:val="BodyText"/>
        <w:keepNext/>
      </w:pPr>
      <w:r>
        <w:t xml:space="preserve">Tabla 3. Modelo STRIDE aplicado al sistema FIM — 42</w:t>
      </w:r>
    </w:p>
    <w:p>
      <w:pPr>
        <w:pStyle w:val="BodyText"/>
        <w:keepNext/>
      </w:pPr>
      <w:r>
        <w:t xml:space="preserve">Tabla 4. Variables e indicadores experimentales — 48</w:t>
      </w:r>
    </w:p>
    <w:p>
      <w:pPr>
        <w:pStyle w:val="BodyText"/>
        <w:keepNext/>
      </w:pPr>
      <w:r>
        <w:t xml:space="preserve">Tabla 5. Stack tecnológico por componente — 59</w:t>
      </w:r>
    </w:p>
    <w:p>
      <w:pPr>
        <w:pStyle w:val="BodyText"/>
        <w:keepNext/>
      </w:pPr>
      <w:r>
        <w:t xml:space="preserve">Tabla 6. Tablas principales del esquema de persistencia — 63</w:t>
      </w:r>
    </w:p>
    <w:p>
      <w:pPr>
        <w:pStyle w:val="BodyText"/>
        <w:keepNext/>
      </w:pPr>
      <w:r>
        <w:t xml:space="preserve">Tabla 7. Políticas de resiliencia del agente — 66</w:t>
      </w:r>
    </w:p>
    <w:p>
      <w:pPr>
        <w:pStyle w:val="BodyText"/>
        <w:keepNext/>
      </w:pPr>
      <w:r>
        <w:t xml:space="preserve">Tabla 8. Máquina de estados explícita del evento — 71</w:t>
      </w:r>
    </w:p>
    <w:p>
      <w:pPr>
        <w:pStyle w:val="BodyText"/>
        <w:keepNext/>
      </w:pPr>
      <w:r>
        <w:t xml:space="preserve">Tabla 9. Orden de precedencia para entrega de notificaciones — 78</w:t>
      </w:r>
    </w:p>
    <w:p>
      <w:pPr>
        <w:pStyle w:val="BodyText"/>
        <w:keepNext/>
      </w:pPr>
      <w:r>
        <w:t xml:space="preserve">Tabla 10. Distribución de controles criptográficos — 80</w:t>
      </w:r>
    </w:p>
    <w:p>
      <w:pPr>
        <w:pStyle w:val="BodyText"/>
        <w:keepNext/>
      </w:pPr>
      <w:r>
        <w:t xml:space="preserve">Tabla 11. Estado actual del proyecto por componente — 87</w:t>
      </w:r>
    </w:p>
    <w:p>
      <w:pPr>
        <w:pStyle w:val="BodyText"/>
        <w:jc w:val="left"/>
        <w:keepNext/>
      </w:pPr>
      <w:r>
        <w:t xml:space="preserve">Tabla 12. Resultados históricos del tramo agente-backend — 90</w:t>
      </w:r>
    </w:p>
    <w:p>
      <w:pPr>
        <w:pStyle w:val="BodyText"/>
        <w:jc w:val="left"/>
        <w:keepNext/>
      </w:pPr>
      <w:r>
        <w:t xml:space="preserve">Tabla 12a. Reagregación reportada desde la marca posterior a la operación — 91</w:t>
      </w:r>
    </w:p>
    <w:p>
      <w:pPr>
        <w:pStyle w:val="BodyText"/>
        <w:keepNext/>
      </w:pPr>
      <w:r>
        <w:t xml:space="preserve">Tabla 12b. Latencia con inicio observado externamente (corrida posterior) — 92</w:t>
      </w:r>
    </w:p>
    <w:p>
      <w:pPr>
        <w:pStyle w:val="BodyText"/>
        <w:keepNext/>
      </w:pPr>
      <w:r>
        <w:t xml:space="preserve">Tabla 13. Resultados — Tiempo de notificación — 93</w:t>
      </w:r>
    </w:p>
    <w:p>
      <w:pPr>
        <w:pStyle w:val="BodyText"/>
        <w:keepNext/>
      </w:pPr>
      <w:r>
        <w:t xml:space="preserve">Tabla 13a. Notificación con cien solicitudes simultáneas (ensayo posterior) — 94</w:t>
      </w:r>
    </w:p>
    <w:p>
      <w:pPr>
        <w:pStyle w:val="BodyText"/>
        <w:keepNext/>
      </w:pPr>
      <w:r>
        <w:t xml:space="preserve">Tabla 14. Resultados — Cobertura de automatización del triage — 95</w:t>
      </w:r>
    </w:p>
    <w:p>
      <w:pPr>
        <w:pStyle w:val="BodyText"/>
        <w:keepNext/>
      </w:pPr>
      <w:r>
        <w:t xml:space="preserve">Tabla 15. Resultado informado de la batería automatizada — 97</w:t>
      </w:r>
    </w:p>
    <w:p>
      <w:pPr>
        <w:pStyle w:val="BodyText"/>
        <w:keepNext/>
      </w:pPr>
      <w:r>
        <w:t xml:space="preserve">Tabla 16. Resultados — Resiliencia offline — 99</w:t>
      </w:r>
    </w:p>
    <w:p>
      <w:pPr>
        <w:pStyle w:val="BodyText"/>
        <w:keepNext/>
      </w:pPr>
      <w:r>
        <w:t xml:space="preserve">Tabla 16a. Repetición del drenaje de Run 4 sobre el candidato 7df4935 — 102</w:t>
      </w:r>
    </w:p>
    <w:p>
      <w:pPr>
        <w:pStyle w:val="BodyText"/>
        <w:keepNext/>
      </w:pPr>
      <w:r>
        <w:t xml:space="preserve">Tabla 17. Resultados — Comparación experimental vs. control — 103</w:t>
      </w:r>
    </w:p>
    <w:p>
      <w:pPr>
        <w:pStyle w:val="BodyText"/>
        <w:keepNext/>
      </w:pPr>
      <w:r>
        <w:t xml:space="preserve">Tabla 18. Síntesis de criterios de aceptación — 105</w:t>
      </w:r>
    </w:p>
    <w:p>
      <w:pPr>
        <w:pStyle w:val="BodyText"/>
        <w:keepNext/>
      </w:pPr>
      <w:r>
        <w:t xml:space="preserve">Tabla 19. Resultados — Caracterización del mapeo de memoria — 108</w:t>
      </w:r>
    </w:p>
    <w:p>
      <w:pPr>
        <w:pStyle w:val="BodyText"/>
        <w:keepNext/>
      </w:pPr>
      <w:r>
        <w:t xml:space="preserve">Tabla 20. Matriz objetivo → evidencia documental → resultado → limitación — 119</w:t>
      </w:r>
    </w:p>
    <w:p>
      <w:pPr>
        <w:pStyle w:val="BodyText"/>
        <w:keepNext/>
      </w:pPr>
      <w:r>
        <w:t xml:space="preserve">Tabla 21a. Tratamiento de datos: generación, transporte y rechazo de ingesta — 133</w:t>
      </w:r>
    </w:p>
    <w:p>
      <w:pPr>
        <w:pStyle w:val="BodyText"/>
        <w:keepNext/>
      </w:pPr>
      <w:r>
        <w:t xml:space="preserve">Tabla 21b. Tratamiento de datos: persistencia, API de detalle y SSE — 134</w:t>
      </w:r>
    </w:p>
    <w:p>
      <w:pPr>
        <w:pStyle w:val="BodyText"/>
        <w:keepNext/>
      </w:pPr>
      <w:r>
        <w:t xml:space="preserve">Tabla 21c. Tratamiento de datos: notificaciones externas, receptor controlado y logs — 136</w:t>
      </w:r>
    </w:p>
    <w:p>
      <w:pPr>
        <w:pStyle w:val="BodyText"/>
        <w:keepNext/>
      </w:pPr>
      <w:r>
        <w:t xml:space="preserve">Tabla 22. Matriz de cobertura de las historias de usuario del backlog funcional — 167</w:t>
      </w:r>
    </w:p>
    <w:p>
      <w:r>
        <w:br w:type="page"/>
      </w:r>
    </w:p>
    <w:bookmarkEnd w:id="25"/>
    <w:bookmarkStart w:id="26" w:name="índice-de-figuras"/>
    <w:p>
      <w:pPr>
        <w:pStyle w:val="Heading1"/>
      </w:pPr>
      <w:r>
        <w:rPr>
          <w:bCs/>
          <w:b/>
        </w:rPr>
        <w:t xml:space="preserve">ÍNDICE DE FIGURAS</w:t>
      </w:r>
    </w:p>
    <w:p>
      <w:pPr>
        <w:pStyle w:val="FirstParagraph"/>
        <w:keepNext/>
      </w:pPr>
      <w:r>
        <w:t xml:space="preserve">Figura 1. Arquitectura general del sistema y distribución física — 58</w:t>
      </w:r>
    </w:p>
    <w:p>
      <w:pPr>
        <w:pStyle w:val="BodyText"/>
        <w:keepNext/>
      </w:pPr>
      <w:r>
        <w:t xml:space="preserve">Figura 2. Modelo entidad-relación de las tablas principales de PostgreSQL — 62</w:t>
      </w:r>
    </w:p>
    <w:p>
      <w:pPr>
        <w:pStyle w:val="BodyText"/>
        <w:keepNext/>
      </w:pPr>
      <w:r>
        <w:t xml:space="preserve">Figura 3. Flujo de procesamiento del agente: tres fases de operación — 64</w:t>
      </w:r>
    </w:p>
    <w:p>
      <w:pPr>
        <w:pStyle w:val="BodyText"/>
        <w:keepNext/>
      </w:pPr>
      <w:r>
        <w:t xml:space="preserve">Figura 4. Diagrama de secuencia del protocolo de entrega con confirmación bidireccional — 68</w:t>
      </w:r>
    </w:p>
    <w:p>
      <w:pPr>
        <w:pStyle w:val="BodyText"/>
        <w:keepNext/>
      </w:pPr>
      <w:r>
        <w:t xml:space="preserve">Figura 5. Máquina de estados explícita del evento (siete estados posibles) — 71</w:t>
      </w:r>
    </w:p>
    <w:p>
      <w:pPr>
        <w:pStyle w:val="BodyText"/>
        <w:keepNext/>
      </w:pPr>
      <w:r>
        <w:t xml:space="preserve">Figura 6. Vista del panel administrativo — Dashboard con banner de degradación — 74</w:t>
      </w:r>
    </w:p>
    <w:p>
      <w:pPr>
        <w:pStyle w:val="BodyText"/>
        <w:keepNext/>
      </w:pPr>
      <w:r>
        <w:t xml:space="preserve">Figura 7. Vista ilustrativa del panel administrativo — controles de filtrado y de inclusión de eventos superseded — 75</w:t>
      </w:r>
    </w:p>
    <w:p>
      <w:pPr>
        <w:pStyle w:val="BodyText"/>
        <w:keepNext/>
      </w:pPr>
      <w:r>
        <w:t xml:space="preserve">Figura 8. NotificationDispatcher: cascada de alternativas automáticas — 76</w:t>
      </w:r>
    </w:p>
    <w:p>
      <w:pPr>
        <w:pStyle w:val="BodyText"/>
        <w:keepNext/>
      </w:pPr>
      <w:r>
        <w:t xml:space="preserve">Figura 9. Vista conceptual del despliegue de la plataforma FIM — 158</w:t>
      </w:r>
    </w:p>
    <w:p>
      <w:pPr>
        <w:pStyle w:val="BodyText"/>
        <w:keepNext/>
      </w:pPr>
      <w:r>
        <w:t xml:space="preserve">Figura 10. Vista conceptual de la organización interna de componentes — 174</w:t>
      </w:r>
    </w:p>
    <w:p>
      <w:r>
        <w:br w:type="page"/>
      </w:r>
    </w:p>
    <w:bookmarkEnd w:id="26"/>
    <w:bookmarkStart w:id="27" w:name="lista-de-abreviaturas-y-siglas"/>
    <w:p>
      <w:pPr>
        <w:pStyle w:val="Heading1"/>
      </w:pPr>
      <w:r>
        <w:rPr>
          <w:bCs/>
          <w:b/>
        </w:rPr>
        <w:t xml:space="preserve">LISTA DE ABREVIATURAS Y SIGLAS</w:t>
      </w:r>
    </w:p>
    <w:p>
      <w:pPr>
        <w:pStyle w:val="FirstParagraph"/>
      </w:pPr>
      <w:r>
        <w:rPr>
          <w:iCs/>
          <w:i/>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pPr>
        <w:pStyle w:val="BodyText"/>
        <w:keepNext/>
      </w:pPr>
      <w:r>
        <w:rPr>
          <w:bCs/>
          <w:b/>
          <w:iCs/>
          <w:i/>
        </w:rPr>
        <w:t xml:space="preserve">Tabla A.</w:t>
      </w:r>
      <w:r>
        <w:rPr>
          <w:iCs/>
          <w:i/>
        </w:rPr>
        <w:t xml:space="preserve"> Abreviaturas y siglas empleadas en el documento</w:t>
      </w:r>
    </w:p>
    <w:tbl>
      <w:tblPr>
        <w:tblStyle w:val="Table"/>
        <w:tblW w:type="pct" w:w="4935"/>
        <w:jc w:val="start"/>
        <w:tblLook w:firstRow="1" w:lastRow="0" w:firstColumn="0" w:lastColumn="0" w:noHBand="0" w:noVBand="0" w:val="0020"/>
      </w:tblPr>
      <w:tblGrid>
        <w:gridCol w:w="776"/>
        <w:gridCol w:w="7040"/>
      </w:tblGrid>
      <w:tr>
        <w:trPr>
          <w:tblHeader w:val="true"/>
          <w:cantSplit/>
        </w:trPr>
        <w:tc>
          <w:tcPr/>
          <w:p>
            <w:pPr>
              <w:pStyle w:val="Compact"/>
              <w:jc w:val="left"/>
            </w:pPr>
            <w:r>
              <w:rPr>
                <w:bCs/>
                <w:b/>
              </w:rPr>
              <w:t xml:space="preserve">Sigla</w:t>
            </w:r>
          </w:p>
        </w:tc>
        <w:tc>
          <w:tcPr/>
          <w:p>
            <w:pPr>
              <w:pStyle w:val="Compact"/>
              <w:jc w:val="left"/>
            </w:pPr>
            <w:r>
              <w:rPr>
                <w:bCs/>
                <w:b/>
              </w:rPr>
              <w:t xml:space="preserve">Expansión / significado</w:t>
            </w:r>
          </w:p>
        </w:tc>
      </w:tr>
      <w:tr>
        <w:trPr>
          <w:cantSplit/>
        </w:trPr>
        <w:tc>
          <w:tcPr/>
          <w:p>
            <w:pPr>
              <w:pStyle w:val="Compact"/>
              <w:jc w:val="left"/>
            </w:pPr>
            <w:r>
              <w:t xml:space="preserve">AAIP</w:t>
            </w:r>
          </w:p>
        </w:tc>
        <w:tc>
          <w:tcPr/>
          <w:p>
            <w:pPr>
              <w:pStyle w:val="Compact"/>
              <w:jc w:val="left"/>
            </w:pPr>
            <w:r>
              <w:t xml:space="preserve">Agencia de Acceso a la Información Pública (autoridad nacional argentina)</w:t>
            </w:r>
          </w:p>
        </w:tc>
      </w:tr>
      <w:tr>
        <w:trPr>
          <w:cantSplit/>
        </w:trPr>
        <w:tc>
          <w:tcPr/>
          <w:p>
            <w:pPr>
              <w:pStyle w:val="Compact"/>
              <w:jc w:val="left"/>
            </w:pPr>
            <w:r>
              <w:t xml:space="preserve">AES-GCM</w:t>
            </w:r>
          </w:p>
        </w:tc>
        <w:tc>
          <w:tcPr/>
          <w:p>
            <w:pPr>
              <w:pStyle w:val="Compact"/>
              <w:jc w:val="left"/>
            </w:pPr>
            <w:r>
              <w:t xml:space="preserve">Advanced Encryption Standard en modo Galois/Counter Mode (cifrado autenticado)</w:t>
            </w:r>
          </w:p>
        </w:tc>
      </w:tr>
      <w:tr>
        <w:trPr>
          <w:cantSplit/>
        </w:trPr>
        <w:tc>
          <w:tcPr/>
          <w:p>
            <w:pPr>
              <w:pStyle w:val="Compact"/>
              <w:jc w:val="left"/>
            </w:pPr>
            <w:r>
              <w:t xml:space="preserve">API</w:t>
            </w:r>
          </w:p>
        </w:tc>
        <w:tc>
          <w:tcPr/>
          <w:p>
            <w:pPr>
              <w:pStyle w:val="Compact"/>
              <w:jc w:val="left"/>
            </w:pPr>
            <w:r>
              <w:t xml:space="preserve">Application Programming Interface (interfaz de programación de aplicaciones)</w:t>
            </w:r>
          </w:p>
        </w:tc>
      </w:tr>
      <w:tr>
        <w:trPr>
          <w:cantSplit/>
        </w:trPr>
        <w:tc>
          <w:tcPr/>
          <w:p>
            <w:pPr>
              <w:pStyle w:val="Compact"/>
              <w:jc w:val="left"/>
            </w:pPr>
            <w:r>
              <w:t xml:space="preserve">APA</w:t>
            </w:r>
          </w:p>
        </w:tc>
        <w:tc>
          <w:tcPr/>
          <w:p>
            <w:pPr>
              <w:pStyle w:val="Compact"/>
              <w:jc w:val="left"/>
            </w:pPr>
            <w:r>
              <w:t xml:space="preserve">American Psychological Association (estilo de citación bibliográfica, séptima edición)</w:t>
            </w:r>
          </w:p>
        </w:tc>
      </w:tr>
      <w:tr>
        <w:trPr>
          <w:cantSplit/>
        </w:trPr>
        <w:tc>
          <w:tcPr/>
          <w:p>
            <w:pPr>
              <w:pStyle w:val="Compact"/>
              <w:jc w:val="left"/>
            </w:pPr>
            <w:r>
              <w:t xml:space="preserve">ASGI</w:t>
            </w:r>
          </w:p>
        </w:tc>
        <w:tc>
          <w:tcPr/>
          <w:p>
            <w:pPr>
              <w:pStyle w:val="Compact"/>
              <w:jc w:val="left"/>
            </w:pPr>
            <w:r>
              <w:t xml:space="preserve">Asynchronous Server Gateway Interface (protocolo web asíncrono para Python)</w:t>
            </w:r>
          </w:p>
        </w:tc>
      </w:tr>
      <w:tr>
        <w:trPr>
          <w:cantSplit/>
        </w:trPr>
        <w:tc>
          <w:tcPr/>
          <w:p>
            <w:pPr>
              <w:pStyle w:val="Compact"/>
              <w:jc w:val="left"/>
            </w:pPr>
            <w:r>
              <w:t xml:space="preserve">CA</w:t>
            </w:r>
          </w:p>
        </w:tc>
        <w:tc>
          <w:tcPr/>
          <w:p>
            <w:pPr>
              <w:pStyle w:val="Compact"/>
              <w:jc w:val="left"/>
            </w:pPr>
            <w:r>
              <w:t xml:space="preserve">Certification Authority (autoridad certificadora)</w:t>
            </w:r>
          </w:p>
        </w:tc>
      </w:tr>
      <w:tr>
        <w:trPr>
          <w:cantSplit/>
        </w:trPr>
        <w:tc>
          <w:tcPr/>
          <w:p>
            <w:pPr>
              <w:pStyle w:val="Compact"/>
              <w:jc w:val="left"/>
            </w:pPr>
            <w:r>
              <w:t xml:space="preserve">CIA</w:t>
            </w:r>
          </w:p>
        </w:tc>
        <w:tc>
          <w:tcPr/>
          <w:p>
            <w:pPr>
              <w:pStyle w:val="Compact"/>
              <w:jc w:val="left"/>
            </w:pPr>
            <w:r>
              <w:t xml:space="preserve">Confidentiality, Integrity, Availability (tríada fundamental de seguridad informática)</w:t>
            </w:r>
          </w:p>
        </w:tc>
      </w:tr>
      <w:tr>
        <w:trPr>
          <w:cantSplit/>
        </w:trPr>
        <w:tc>
          <w:tcPr/>
          <w:p>
            <w:pPr>
              <w:pStyle w:val="Compact"/>
              <w:jc w:val="left"/>
            </w:pPr>
            <w:r>
              <w:t xml:space="preserve">CNC</w:t>
            </w:r>
          </w:p>
        </w:tc>
        <w:tc>
          <w:tcPr/>
          <w:p>
            <w:pPr>
              <w:pStyle w:val="Compact"/>
              <w:jc w:val="left"/>
            </w:pPr>
            <w:r>
              <w:t xml:space="preserve">Centro Nacional de Ciberseguridad (autoridad nacional en Argentina)</w:t>
            </w:r>
          </w:p>
        </w:tc>
      </w:tr>
      <w:tr>
        <w:trPr>
          <w:cantSplit/>
        </w:trPr>
        <w:tc>
          <w:tcPr/>
          <w:p>
            <w:pPr>
              <w:pStyle w:val="Compact"/>
              <w:jc w:val="left"/>
            </w:pPr>
            <w:r>
              <w:t xml:space="preserve">CSP</w:t>
            </w:r>
          </w:p>
        </w:tc>
        <w:tc>
          <w:tcPr/>
          <w:p>
            <w:pPr>
              <w:pStyle w:val="Compact"/>
              <w:jc w:val="left"/>
            </w:pPr>
            <w:r>
              <w:t xml:space="preserve">Content Security Policy (política de seguridad de contenido web)</w:t>
            </w:r>
          </w:p>
        </w:tc>
      </w:tr>
      <w:tr>
        <w:trPr>
          <w:cantSplit/>
        </w:trPr>
        <w:tc>
          <w:tcPr/>
          <w:p>
            <w:pPr>
              <w:pStyle w:val="Compact"/>
              <w:jc w:val="left"/>
            </w:pPr>
            <w:r>
              <w:t xml:space="preserve">CSR</w:t>
            </w:r>
          </w:p>
        </w:tc>
        <w:tc>
          <w:tcPr/>
          <w:p>
            <w:pPr>
              <w:pStyle w:val="Compact"/>
              <w:jc w:val="left"/>
            </w:pPr>
            <w:r>
              <w:t xml:space="preserve">Certificate Signing Request (solicitud de firma de certificado)</w:t>
            </w:r>
          </w:p>
        </w:tc>
      </w:tr>
      <w:tr>
        <w:trPr>
          <w:cantSplit/>
        </w:trPr>
        <w:tc>
          <w:tcPr/>
          <w:p>
            <w:pPr>
              <w:pStyle w:val="Compact"/>
              <w:jc w:val="left"/>
            </w:pPr>
            <w:r>
              <w:t xml:space="preserve">DA</w:t>
            </w:r>
          </w:p>
        </w:tc>
        <w:tc>
          <w:tcPr/>
          <w:p>
            <w:pPr>
              <w:pStyle w:val="Compact"/>
              <w:jc w:val="left"/>
            </w:pPr>
            <w:r>
              <w:t xml:space="preserve">Decisión Administrativa (instrumento normativo de la Jefatura de Gabinete)</w:t>
            </w:r>
          </w:p>
        </w:tc>
      </w:tr>
      <w:tr>
        <w:trPr>
          <w:cantSplit/>
        </w:trPr>
        <w:tc>
          <w:tcPr/>
          <w:p>
            <w:pPr>
              <w:pStyle w:val="Compact"/>
              <w:jc w:val="left"/>
            </w:pPr>
            <w:r>
              <w:t xml:space="preserve">DLQ</w:t>
            </w:r>
          </w:p>
        </w:tc>
        <w:tc>
          <w:tcPr/>
          <w:p>
            <w:pPr>
              <w:pStyle w:val="Compact"/>
              <w:jc w:val="left"/>
            </w:pPr>
            <w:r>
              <w:t xml:space="preserve">Dead Letter Queue (cola de mensajes fallidos)</w:t>
            </w:r>
          </w:p>
        </w:tc>
      </w:tr>
      <w:tr>
        <w:trPr>
          <w:cantSplit/>
        </w:trPr>
        <w:tc>
          <w:tcPr/>
          <w:p>
            <w:pPr>
              <w:pStyle w:val="Compact"/>
              <w:jc w:val="left"/>
            </w:pPr>
            <w:r>
              <w:t xml:space="preserve">DNU</w:t>
            </w:r>
          </w:p>
        </w:tc>
        <w:tc>
          <w:tcPr/>
          <w:p>
            <w:pPr>
              <w:pStyle w:val="Compact"/>
              <w:jc w:val="left"/>
            </w:pPr>
            <w:r>
              <w:t xml:space="preserve">Decreto de Necesidad y Urgencia (instrumento normativo del Poder Ejecutivo argentino)</w:t>
            </w:r>
          </w:p>
        </w:tc>
      </w:tr>
      <w:tr>
        <w:trPr>
          <w:cantSplit/>
        </w:trPr>
        <w:tc>
          <w:tcPr/>
          <w:p>
            <w:pPr>
              <w:pStyle w:val="Compact"/>
              <w:jc w:val="left"/>
            </w:pPr>
            <w:r>
              <w:t xml:space="preserve">eBPF</w:t>
            </w:r>
          </w:p>
        </w:tc>
        <w:tc>
          <w:tcPr/>
          <w:p>
            <w:pPr>
              <w:pStyle w:val="Compact"/>
              <w:jc w:val="left"/>
            </w:pPr>
            <w:r>
              <w:t xml:space="preserve">extended Berkeley Packet Filter (tecnología de extensibilidad del núcleo Linux)</w:t>
            </w:r>
          </w:p>
        </w:tc>
      </w:tr>
      <w:tr>
        <w:trPr>
          <w:cantSplit/>
        </w:trPr>
        <w:tc>
          <w:tcPr/>
          <w:p>
            <w:pPr>
              <w:pStyle w:val="Compact"/>
              <w:jc w:val="left"/>
            </w:pPr>
            <w:r>
              <w:t xml:space="preserve">FIM</w:t>
            </w:r>
          </w:p>
        </w:tc>
        <w:tc>
          <w:tcPr/>
          <w:p>
            <w:pPr>
              <w:pStyle w:val="Compact"/>
              <w:jc w:val="left"/>
            </w:pPr>
            <w:r>
              <w:t xml:space="preserve">File Integrity Monitoring (Monitoreo de Integridad de Archivos)</w:t>
            </w:r>
          </w:p>
        </w:tc>
      </w:tr>
      <w:tr>
        <w:trPr>
          <w:cantSplit/>
        </w:trPr>
        <w:tc>
          <w:tcPr/>
          <w:p>
            <w:pPr>
              <w:pStyle w:val="Compact"/>
              <w:jc w:val="left"/>
            </w:pPr>
            <w:r>
              <w:t xml:space="preserve">FIPS</w:t>
            </w:r>
          </w:p>
        </w:tc>
        <w:tc>
          <w:tcPr/>
          <w:p>
            <w:pPr>
              <w:pStyle w:val="Compact"/>
              <w:jc w:val="left"/>
            </w:pPr>
            <w:r>
              <w:t xml:space="preserve">Federal Information Processing Standards (estándares federales de los EE. UU.)</w:t>
            </w:r>
          </w:p>
        </w:tc>
      </w:tr>
      <w:tr>
        <w:trPr>
          <w:cantSplit/>
        </w:trPr>
        <w:tc>
          <w:tcPr/>
          <w:p>
            <w:pPr>
              <w:pStyle w:val="Compact"/>
              <w:jc w:val="left"/>
            </w:pPr>
            <w:r>
              <w:t xml:space="preserve">HKDF</w:t>
            </w:r>
          </w:p>
        </w:tc>
        <w:tc>
          <w:tcPr/>
          <w:p>
            <w:pPr>
              <w:pStyle w:val="Compact"/>
              <w:jc w:val="left"/>
            </w:pPr>
            <w:r>
              <w:t xml:space="preserve">HMAC-based Key Derivation Function (función de derivación de claves, RFC 5869)</w:t>
            </w:r>
          </w:p>
        </w:tc>
      </w:tr>
      <w:tr>
        <w:trPr>
          <w:cantSplit/>
        </w:trPr>
        <w:tc>
          <w:tcPr/>
          <w:p>
            <w:pPr>
              <w:pStyle w:val="Compact"/>
              <w:jc w:val="left"/>
            </w:pPr>
            <w:r>
              <w:t xml:space="preserve">HMAC</w:t>
            </w:r>
          </w:p>
        </w:tc>
        <w:tc>
          <w:tcPr/>
          <w:p>
            <w:pPr>
              <w:pStyle w:val="Compact"/>
              <w:jc w:val="left"/>
            </w:pPr>
            <w:r>
              <w:t xml:space="preserve">Hash-based Message Authentication Code (autenticación de mensajes basada en hash)</w:t>
            </w:r>
          </w:p>
        </w:tc>
      </w:tr>
      <w:tr>
        <w:trPr>
          <w:cantSplit/>
        </w:trPr>
        <w:tc>
          <w:tcPr/>
          <w:p>
            <w:pPr>
              <w:pStyle w:val="Compact"/>
              <w:jc w:val="left"/>
            </w:pPr>
            <w:r>
              <w:t xml:space="preserve">HTTP / HTTPS</w:t>
            </w:r>
          </w:p>
        </w:tc>
        <w:tc>
          <w:tcPr/>
          <w:p>
            <w:pPr>
              <w:pStyle w:val="Compact"/>
              <w:jc w:val="left"/>
            </w:pPr>
            <w:r>
              <w:t xml:space="preserve">HyperText Transfer Protocol (sobre TLS en su versión segura)</w:t>
            </w:r>
          </w:p>
        </w:tc>
      </w:tr>
      <w:tr>
        <w:trPr>
          <w:cantSplit/>
        </w:trPr>
        <w:tc>
          <w:tcPr/>
          <w:p>
            <w:pPr>
              <w:pStyle w:val="Compact"/>
              <w:jc w:val="left"/>
            </w:pPr>
            <w:r>
              <w:t xml:space="preserve">IMA</w:t>
            </w:r>
          </w:p>
        </w:tc>
        <w:tc>
          <w:tcPr/>
          <w:p>
            <w:pPr>
              <w:pStyle w:val="Compact"/>
              <w:jc w:val="left"/>
            </w:pPr>
            <w:r>
              <w:t xml:space="preserve">Integrity Measurement Architecture (subsistema del núcleo Linux)</w:t>
            </w:r>
          </w:p>
        </w:tc>
      </w:tr>
      <w:tr>
        <w:trPr>
          <w:cantSplit/>
        </w:trPr>
        <w:tc>
          <w:tcPr/>
          <w:p>
            <w:pPr>
              <w:pStyle w:val="Compact"/>
              <w:jc w:val="left"/>
            </w:pPr>
            <w:r>
              <w:t xml:space="preserve">JSON</w:t>
            </w:r>
          </w:p>
        </w:tc>
        <w:tc>
          <w:tcPr/>
          <w:p>
            <w:pPr>
              <w:pStyle w:val="Compact"/>
              <w:jc w:val="left"/>
            </w:pPr>
            <w:r>
              <w:t xml:space="preserve">JavaScript Object Notation (formato de intercambio de datos)</w:t>
            </w:r>
          </w:p>
        </w:tc>
      </w:tr>
      <w:tr>
        <w:trPr>
          <w:cantSplit/>
        </w:trPr>
        <w:tc>
          <w:tcPr/>
          <w:p>
            <w:pPr>
              <w:pStyle w:val="Compact"/>
              <w:jc w:val="left"/>
            </w:pPr>
            <w:r>
              <w:t xml:space="preserve">JWT</w:t>
            </w:r>
          </w:p>
        </w:tc>
        <w:tc>
          <w:tcPr/>
          <w:p>
            <w:pPr>
              <w:pStyle w:val="Compact"/>
              <w:jc w:val="left"/>
            </w:pPr>
            <w:r>
              <w:t xml:space="preserve">JSON Web Token (formato de token de autenticación)</w:t>
            </w:r>
          </w:p>
        </w:tc>
      </w:tr>
      <w:tr>
        <w:trPr>
          <w:cantSplit/>
        </w:trPr>
        <w:tc>
          <w:tcPr/>
          <w:p>
            <w:pPr>
              <w:pStyle w:val="Compact"/>
              <w:jc w:val="left"/>
            </w:pPr>
            <w:r>
              <w:t xml:space="preserve">MTD / MTR</w:t>
            </w:r>
          </w:p>
        </w:tc>
        <w:tc>
          <w:tcPr/>
          <w:p>
            <w:pPr>
              <w:pStyle w:val="Compact"/>
              <w:jc w:val="left"/>
            </w:pPr>
            <w:r>
              <w:t xml:space="preserve">Mean Time to Detect / Mean Time to Respond (tiempos medios de detección y respuesta)</w:t>
            </w:r>
          </w:p>
        </w:tc>
      </w:tr>
      <w:tr>
        <w:trPr>
          <w:cantSplit/>
        </w:trPr>
        <w:tc>
          <w:tcPr/>
          <w:p>
            <w:pPr>
              <w:pStyle w:val="Compact"/>
              <w:jc w:val="left"/>
            </w:pPr>
            <w:r>
              <w:t xml:space="preserve">mTLS</w:t>
            </w:r>
          </w:p>
        </w:tc>
        <w:tc>
          <w:tcPr/>
          <w:p>
            <w:pPr>
              <w:pStyle w:val="Compact"/>
              <w:jc w:val="left"/>
            </w:pPr>
            <w:r>
              <w:t xml:space="preserve">mutual Transport Layer Security (autenticación mutua mediante certificados TLS)</w:t>
            </w:r>
          </w:p>
        </w:tc>
      </w:tr>
      <w:tr>
        <w:trPr>
          <w:cantSplit/>
        </w:trPr>
        <w:tc>
          <w:tcPr/>
          <w:p>
            <w:pPr>
              <w:pStyle w:val="Compact"/>
              <w:jc w:val="left"/>
            </w:pPr>
            <w:r>
              <w:t xml:space="preserve">NIST</w:t>
            </w:r>
          </w:p>
        </w:tc>
        <w:tc>
          <w:tcPr/>
          <w:p>
            <w:pPr>
              <w:pStyle w:val="Compact"/>
              <w:jc w:val="left"/>
            </w:pPr>
            <w:r>
              <w:t xml:space="preserve">National Institute of Standards and Technology (de los Estados Unidos)</w:t>
            </w:r>
          </w:p>
        </w:tc>
      </w:tr>
      <w:tr>
        <w:trPr>
          <w:cantSplit/>
        </w:trPr>
        <w:tc>
          <w:tcPr/>
          <w:p>
            <w:pPr>
              <w:pStyle w:val="Compact"/>
              <w:jc w:val="left"/>
            </w:pPr>
            <w:r>
              <w:t xml:space="preserve">NFS</w:t>
            </w:r>
          </w:p>
        </w:tc>
        <w:tc>
          <w:tcPr/>
          <w:p>
            <w:pPr>
              <w:pStyle w:val="Compact"/>
              <w:jc w:val="left"/>
            </w:pPr>
            <w:r>
              <w:t xml:space="preserve">Network File System (sistema de archivos distribuido)</w:t>
            </w:r>
          </w:p>
        </w:tc>
      </w:tr>
      <w:tr>
        <w:trPr>
          <w:cantSplit/>
        </w:trPr>
        <w:tc>
          <w:tcPr/>
          <w:p>
            <w:pPr>
              <w:pStyle w:val="Compact"/>
              <w:jc w:val="left"/>
            </w:pPr>
            <w:r>
              <w:t xml:space="preserve">ORM</w:t>
            </w:r>
          </w:p>
        </w:tc>
        <w:tc>
          <w:tcPr/>
          <w:p>
            <w:pPr>
              <w:pStyle w:val="Compact"/>
              <w:jc w:val="left"/>
            </w:pPr>
            <w:r>
              <w:t xml:space="preserve">Object-Relational Mapper (mapeador objeto-relacional)</w:t>
            </w:r>
          </w:p>
        </w:tc>
      </w:tr>
      <w:tr>
        <w:trPr>
          <w:cantSplit/>
        </w:trPr>
        <w:tc>
          <w:tcPr/>
          <w:p>
            <w:pPr>
              <w:pStyle w:val="Compact"/>
              <w:jc w:val="left"/>
            </w:pPr>
            <w:r>
              <w:t xml:space="preserve">PKI</w:t>
            </w:r>
          </w:p>
        </w:tc>
        <w:tc>
          <w:tcPr/>
          <w:p>
            <w:pPr>
              <w:pStyle w:val="Compact"/>
              <w:jc w:val="left"/>
            </w:pPr>
            <w:r>
              <w:t xml:space="preserve">Public Key Infrastructure (infraestructura de clave pública)</w:t>
            </w:r>
          </w:p>
        </w:tc>
      </w:tr>
      <w:tr>
        <w:trPr>
          <w:cantSplit/>
        </w:trPr>
        <w:tc>
          <w:tcPr/>
          <w:p>
            <w:pPr>
              <w:pStyle w:val="Compact"/>
              <w:jc w:val="left"/>
            </w:pPr>
            <w:r>
              <w:t xml:space="preserve">RFC</w:t>
            </w:r>
          </w:p>
        </w:tc>
        <w:tc>
          <w:tcPr/>
          <w:p>
            <w:pPr>
              <w:pStyle w:val="Compact"/>
              <w:jc w:val="left"/>
            </w:pPr>
            <w:r>
              <w:t xml:space="preserve">Request For Comments (publicación técnica del IETF)</w:t>
            </w:r>
          </w:p>
        </w:tc>
      </w:tr>
      <w:tr>
        <w:trPr>
          <w:cantSplit/>
        </w:trPr>
        <w:tc>
          <w:tcPr/>
          <w:p>
            <w:pPr>
              <w:pStyle w:val="Compact"/>
              <w:jc w:val="left"/>
            </w:pPr>
            <w:r>
              <w:t xml:space="preserve">SHA-256</w:t>
            </w:r>
          </w:p>
        </w:tc>
        <w:tc>
          <w:tcPr/>
          <w:p>
            <w:pPr>
              <w:pStyle w:val="Compact"/>
              <w:jc w:val="left"/>
            </w:pPr>
            <w:r>
              <w:t xml:space="preserve">Secure Hash Algorithm de 256 bits (FIPS 180-4)</w:t>
            </w:r>
          </w:p>
        </w:tc>
      </w:tr>
      <w:tr>
        <w:trPr>
          <w:cantSplit/>
        </w:trPr>
        <w:tc>
          <w:tcPr/>
          <w:p>
            <w:pPr>
              <w:pStyle w:val="Compact"/>
              <w:jc w:val="left"/>
            </w:pPr>
            <w:r>
              <w:t xml:space="preserve">SIEM</w:t>
            </w:r>
          </w:p>
        </w:tc>
        <w:tc>
          <w:tcPr/>
          <w:p>
            <w:pPr>
              <w:pStyle w:val="Compact"/>
              <w:jc w:val="left"/>
            </w:pPr>
            <w:r>
              <w:t xml:space="preserve">Security Information and Event Management</w:t>
            </w:r>
          </w:p>
        </w:tc>
      </w:tr>
      <w:tr>
        <w:trPr>
          <w:cantSplit/>
        </w:trPr>
        <w:tc>
          <w:tcPr/>
          <w:p>
            <w:pPr>
              <w:pStyle w:val="Compact"/>
              <w:jc w:val="left"/>
            </w:pPr>
            <w:r>
              <w:t xml:space="preserve">SOAR</w:t>
            </w:r>
          </w:p>
        </w:tc>
        <w:tc>
          <w:tcPr/>
          <w:p>
            <w:pPr>
              <w:pStyle w:val="Compact"/>
              <w:jc w:val="left"/>
            </w:pPr>
            <w:r>
              <w:t xml:space="preserve">Security Orchestration, Automation and Response</w:t>
            </w:r>
          </w:p>
        </w:tc>
      </w:tr>
      <w:tr>
        <w:trPr>
          <w:cantSplit/>
        </w:trPr>
        <w:tc>
          <w:tcPr/>
          <w:p>
            <w:pPr>
              <w:pStyle w:val="Compact"/>
              <w:jc w:val="left"/>
            </w:pPr>
            <w:r>
              <w:t xml:space="preserve">SSE</w:t>
            </w:r>
          </w:p>
        </w:tc>
        <w:tc>
          <w:tcPr/>
          <w:p>
            <w:pPr>
              <w:pStyle w:val="Compact"/>
              <w:jc w:val="left"/>
            </w:pPr>
            <w:r>
              <w:t xml:space="preserve">Server-Sent Events (flujo de eventos del servidor)</w:t>
            </w:r>
          </w:p>
        </w:tc>
      </w:tr>
      <w:tr>
        <w:trPr>
          <w:cantSplit/>
        </w:trPr>
        <w:tc>
          <w:tcPr/>
          <w:p>
            <w:pPr>
              <w:pStyle w:val="Compact"/>
              <w:jc w:val="left"/>
            </w:pPr>
            <w:r>
              <w:t xml:space="preserve">STRIDE</w:t>
            </w:r>
          </w:p>
        </w:tc>
        <w:tc>
          <w:tcPr/>
          <w:p>
            <w:pPr>
              <w:pStyle w:val="Compact"/>
              <w:jc w:val="left"/>
            </w:pPr>
            <w:r>
              <w:t xml:space="preserve">Marco para modelado de amenazas (Spoofing, Tampering, Repudiation, Information disclosure, Denial of service, Elevation of privilege)</w:t>
            </w:r>
          </w:p>
        </w:tc>
      </w:tr>
      <w:tr>
        <w:trPr>
          <w:cantSplit/>
        </w:trPr>
        <w:tc>
          <w:tcPr/>
          <w:p>
            <w:pPr>
              <w:pStyle w:val="Compact"/>
              <w:jc w:val="left"/>
            </w:pPr>
            <w:r>
              <w:t xml:space="preserve">TLS</w:t>
            </w:r>
          </w:p>
        </w:tc>
        <w:tc>
          <w:tcPr/>
          <w:p>
            <w:pPr>
              <w:pStyle w:val="Compact"/>
              <w:jc w:val="left"/>
            </w:pPr>
            <w:r>
              <w:t xml:space="preserve">Transport Layer Security (protocolo de cifrado de canal)</w:t>
            </w:r>
          </w:p>
        </w:tc>
      </w:tr>
      <w:tr>
        <w:trPr>
          <w:cantSplit/>
        </w:trPr>
        <w:tc>
          <w:tcPr/>
          <w:p>
            <w:pPr>
              <w:pStyle w:val="Compact"/>
              <w:jc w:val="left"/>
            </w:pPr>
            <w:r>
              <w:t xml:space="preserve">TTL</w:t>
            </w:r>
          </w:p>
        </w:tc>
        <w:tc>
          <w:tcPr/>
          <w:p>
            <w:pPr>
              <w:pStyle w:val="Compact"/>
              <w:jc w:val="left"/>
            </w:pPr>
            <w:r>
              <w:t xml:space="preserve">Time To Live (tiempo de vida de una entrada en caché)</w:t>
            </w:r>
          </w:p>
        </w:tc>
      </w:tr>
      <w:tr>
        <w:trPr>
          <w:cantSplit/>
        </w:trPr>
        <w:tc>
          <w:tcPr/>
          <w:p>
            <w:pPr>
              <w:pStyle w:val="Compact"/>
              <w:jc w:val="left"/>
            </w:pPr>
            <w:r>
              <w:t xml:space="preserve">UoW</w:t>
            </w:r>
          </w:p>
        </w:tc>
        <w:tc>
          <w:tcPr/>
          <w:p>
            <w:pPr>
              <w:pStyle w:val="Compact"/>
              <w:jc w:val="left"/>
            </w:pPr>
            <w:r>
              <w:t xml:space="preserve">Unit of Work (patrón de diseño para transacciones)</w:t>
            </w:r>
          </w:p>
        </w:tc>
      </w:tr>
      <w:tr>
        <w:trPr>
          <w:cantSplit/>
        </w:trPr>
        <w:tc>
          <w:tcPr/>
          <w:p>
            <w:pPr>
              <w:pStyle w:val="Compact"/>
              <w:jc w:val="left"/>
            </w:pPr>
            <w:r>
              <w:t xml:space="preserve">UTN-FRM</w:t>
            </w:r>
          </w:p>
        </w:tc>
        <w:tc>
          <w:tcPr/>
          <w:p>
            <w:pPr>
              <w:pStyle w:val="Compact"/>
              <w:jc w:val="left"/>
            </w:pPr>
            <w:r>
              <w:t xml:space="preserve">Universidad Tecnológica Nacional — Facultad Regional Mendoza</w:t>
            </w:r>
          </w:p>
        </w:tc>
      </w:tr>
      <w:tr>
        <w:trPr>
          <w:cantSplit/>
        </w:trPr>
        <w:tc>
          <w:tcPr/>
          <w:p>
            <w:pPr>
              <w:pStyle w:val="Compact"/>
              <w:jc w:val="left"/>
            </w:pPr>
            <w:r>
              <w:t xml:space="preserve">UUID</w:t>
            </w:r>
          </w:p>
        </w:tc>
        <w:tc>
          <w:tcPr/>
          <w:p>
            <w:pPr>
              <w:pStyle w:val="Compact"/>
              <w:jc w:val="left"/>
            </w:pPr>
            <w:r>
              <w:t xml:space="preserve">Universally Unique Identifier (identificador único universal)</w:t>
            </w:r>
          </w:p>
        </w:tc>
      </w:tr>
    </w:tbl>
    <w:p>
      <w:r>
        <w:br w:type="page"/>
      </w:r>
    </w:p>
    <w:bookmarkEnd w:id="27"/>
    <w:bookmarkStart w:id="35" w:name="capítulo-1.-introducción"/>
    <w:p>
      <w:pPr>
        <w:pStyle w:val="Heading1"/>
      </w:pPr>
      <w:r>
        <w:rPr>
          <w:bCs/>
          <w:b/>
        </w:rPr>
        <w:t xml:space="preserve">CAPÍTULO 1. INTRODUCCIÓN</w:t>
      </w:r>
    </w:p>
    <w:p>
      <w:pPr>
        <w:pStyle w:val="FirstParagraph"/>
      </w:pPr>
      <w:r>
        <w:t xml:space="preserve">El presente capítulo introduce al lector en la problemática que motiva la realización del Trabajo Final, delimita el objeto de estudio, explicita los objetivos general y específicos, formula la hipótesis de trabajo con sus criterios de aceptación preestablecidos, y establece el alcance junto con las limitaciones del proyecto. La exposición parte de una descripción general del panorama contemporáneo de la ciberseguridad organizacional y profundiza progresivamente hacia el problema específico abordado, siguiendo la lógica del embudo característica de la introducción académica.</w:t>
      </w:r>
    </w:p>
    <w:bookmarkStart w:id="28" w:name="contexto-del-problema"/>
    <w:p>
      <w:pPr>
        <w:pStyle w:val="Heading2"/>
      </w:pPr>
      <w:r>
        <w:rPr>
          <w:bCs/>
          <w:b/>
        </w:rPr>
        <w:t xml:space="preserve">1.1 Contexto del problema</w:t>
      </w:r>
    </w:p>
    <w:p>
      <w:pPr>
        <w:pStyle w:val="FirstParagraph"/>
      </w:pPr>
      <w:r>
        <w:t xml:space="preserve">La transformación digital ha convertido a la ciberseguridad en una disciplina de relevancia estratégica tanto para organizaciones privadas como para entidades gubernamentales. En el marco conceptual clásico, la tríada conocida como CIA sintetiza los tres pilares fundamentales que todo sistema de protección de la información debe preservar: confidencialidad, integridad y disponibilidad. La integridad, propiedad central del presente trabajo, refiere a la garantía de que los datos no han sido modificados de forma no autorizada respecto de un estado de referencia legítimo. En el contexto argentino, esta propiedad se encuentra consagrada normativamente en el artículo 9.º de la Ley 25.326 de Protección de Datos Personales. La norma exige adoptar medidas técnicas y organizativas tendientes a evitar la adulteración, la pérdida, la consulta o el tratamiento no autorizado de los datos. Asimismo, exige que dichas medidas permitan detectar desviaciones de información (Honorable Congreso de la Nación Argentina, 2000).</w:t>
      </w:r>
    </w:p>
    <w:p>
      <w:pPr>
        <w:pStyle w:val="BodyText"/>
      </w:pPr>
      <w:r>
        <w:t>Los reportes de amenazas de 2024 describen un escenario en el que el abuso de credenciales, la explotación de vulnerabilidades y la evasión de controles continúan dificultando la detección temprana (IBM Security, 2024; Mandiant, 2024; Verizon Business, 2024). M-Trends 2024 informó una mediana global de permanencia de diez días para las investigaciones practicadas durante 2023. Estos reportes aportan contexto sobre el problema de detección, pero no demuestran por sí solos que la modificación encubierta de archivos sea uno de los vectores de compromiso más frecuentes. Un caso paradigmático que ilustra la severidad de las modificaciones maliciosas es el incidente CVE-2024-3094 sobre la biblioteca de compresión XZ Utils. En este caso, una puerta trasera fue insertada mediante alteración progresiva del repositorio oficial y detectada por casualidad a partir de una anomalía menor de rendimiento advertida por un ingeniero ajeno al proyecto (Freund, 2024). Sobre este episodio, la agencia estadounidense de ciberseguridad e infraestructura emitió una alerta el mismo día (Cybersecurity and Infrastructure Security Agency, 2024). El episodio puso en evidencia tanto la dificultad de detectar modificaciones sofisticadas como el valor forense del monitoreo granular de archivos del sistema, especialmente cuando se dispone de un historial criptográfico auditable de cada cambio.</w:t>
      </w:r>
    </w:p>
    <w:p>
      <w:pPr>
        <w:pStyle w:val="BodyText"/>
      </w:pPr>
      <w:r>
        <w:t>En el ámbito argentino, el escenario se ha visto reforzado por una actividad regulatoria intensa en los años recientes. La Resolución 44/2023 de la Secretaría de Innovación Pública, que aprueba la Segunda Estrategia Nacional de Ciberseguridad, establece como objetivos centrales la protección de infraestructuras críticas nacionales y el fortalecimiento de las capacidades de prevención, detección y respuesta (Secretaría de Innovación Pública, 2023). Posteriormente, el Decreto de Necesidad y Urgencia 941/2025, publicado el 2 de enero de 2026, creó el Centro Nacional de Ciberseguridad como organismo descentralizado con rango de autoridad nacional en la materia, separando formalmente las funciones de ciberseguridad de las de ciberinteligencia (Poder Ejecutivo Nacional, 2025). La Resolución 47/2018 de la Agencia de Acceso a la Información Pública, por su parte, establece las medidas de seguridad recomendadas para el tratamiento de datos personales en medios informatizados. Estas medidas se organizan en cinco procesos: recolección, control de acceso, conservación, destrucción y gestión de incidentes (Agencia de Acceso a la Información Pública [AAIP], 2018).</w:t>
      </w:r>
    </w:p>
    <w:p>
      <w:pPr>
        <w:pStyle w:val="BodyText"/>
      </w:pPr>
      <w:r>
        <w:t xml:space="preserve">A pesar de la relevancia normativa y técnica, los autores parten de la premisa de que las soluciones comerciales de Monitoreo de Integridad de Archivos presentan una combinación de características que dificulta su adopción por organizaciones de porte medio. Estas características son el costo del licenciamiento, la opacidad arquitectónica propia del software propietario —que impide auditar el comportamiento interno del sistema de seguridad— y la fricción de integración con los flujos de trabajo preexistentes. Esta premisa orienta el diseño y no se verifica empíricamente en el presente trabajo, que no practica una comparación de costos ni un relevamiento de adopción. Bajo esa premisa, una proporción de organizaciones opta por alternativas artesanales basadas en scripts de verificación programada, cuyas limitaciones estructurales —estas sí caracterizables técnicamente— se analizan en el apartado siguiente.</w:t>
      </w:r>
    </w:p>
    <w:bookmarkEnd w:id="28"/>
    <w:bookmarkStart w:id="29" w:name="planteamiento-del-problema"/>
    <w:p>
      <w:pPr>
        <w:pStyle w:val="Heading2"/>
      </w:pPr>
      <w:r>
        <w:rPr>
          <w:bCs/>
          <w:b/>
        </w:rPr>
        <w:t xml:space="preserve">1.2 Planteamiento del problema</w:t>
      </w:r>
    </w:p>
    <w:p>
      <w:pPr>
        <w:pStyle w:val="FirstParagraph"/>
      </w:pPr>
      <w:r>
        <w:t xml:space="preserve">A partir del diagnóstico precedente se identifica una brecha significativa entre las capacidades que ofrecen las soluciones comerciales del segmento y las posibilidades efectivas de adopción por parte de organizaciones con recursos limitados. Las alternativas artesanales habitualmente implementadas, típicamente constituidas por scripts que recorren periódicamente un conjunto de rutas calculando sus huellas digitales y comparándolas contra un archivo de referencia local, presentan tres limitaciones estructurales de orden crítico que conviene caracterizar con detalle.</w:t>
      </w:r>
    </w:p>
    <w:p>
      <w:pPr>
        <w:pStyle w:val="BodyText"/>
      </w:pPr>
      <w:r>
        <w:t xml:space="preserve">La primera limitación, de naturaleza temporal, reside en que estos scripts operan bajo un modelo de encuestamiento: se ejecutan a intervalos programados que típicamente oscilan entre los quince minutos y la hora. Entre dos ejecuciones consecutivas, cualquier modificación maliciosa introducida y posteriormente revertida permanece por completo fuera del radar de detección. Esta ventana de ceguera se traduce, en el mejor de los casos, en un Tiempo Medio de Detección equivalente a la mitad del intervalo de encuestamiento, y es conceptualmente imposible de cerrar sin cambiar el modelo subyacente hacia uno reactivo basado en eventos del sistema operativo.</w:t>
      </w:r>
    </w:p>
    <w:p>
      <w:pPr>
        <w:pStyle w:val="BodyText"/>
      </w:pPr>
      <w:r>
        <w:t xml:space="preserve">La segunda limitación, de naturaleza arquitectónica, consiste en que estos scripts almacenan la baseline en texto claro en el mismo sistema que monitorean, exponiéndola así a manipulación directa en caso de compromiso. Un atacante con privilegios administrativos puede actualizar la baseline local para incorporar las huellas digitales de sus propias versiones maliciosas, logrando de esta manera que las verificaciones subsiguientes no detecten anomalía alguna. Este fenómeno, que podría denominarse compromiso del oráculo de confianza, invalida la totalidad de la cadena de verificación y constituye una debilidad estructural del enfoque artesanal.</w:t>
      </w:r>
    </w:p>
    <w:p>
      <w:pPr>
        <w:pStyle w:val="BodyText"/>
      </w:pPr>
      <w:r>
        <w:t xml:space="preserve">La tercera limitación, de naturaleza operacional, radica en que los scripts artesanales rara vez se integran con los flujos de trabajo de respuesta a incidentes ni con los canales de comunicación empresarial habituales. La consecuencia directa de esta desconexión es la elevación del Tiempo Medio de Respuesta y el incremento de la probabilidad de que los incidentes reales sean confundidos con falsos positivos rutinarios, perdidos entre correos electrónicos automatizados que los operadores aprenden a filtrar por exceso.</w:t>
      </w:r>
    </w:p>
    <w:p>
      <w:pPr>
        <w:pStyle w:val="BodyText"/>
      </w:pPr>
      <w:r>
        <w:t xml:space="preserve">En conjunto, estas tres limitaciones configuran el problema concreto al cual el presente trabajo pretende ofrecer una respuesta tecnológica viable y replicable. La pregunta de investigación orientadora puede formularse entonces de la siguiente manera: ¿Es posible diseñar una plataforma de Monitoreo de Integridad de Archivos de código abierto que opere en tiempo real mediante detección reactiva del núcleo del sistema operativo y que proteja la baseline mediante separación arquitectónica y cifrado autenticado? ¿Es posible, además, que dicha plataforma incorpore decisión automatizada graduada junto con validación humana formalizada, y que se adecúe a los requerimientos del marco normativo argentino vigente?</w:t>
      </w:r>
    </w:p>
    <w:bookmarkEnd w:id="29"/>
    <w:bookmarkStart w:id="30" w:name="justificación"/>
    <w:p>
      <w:pPr>
        <w:pStyle w:val="Heading2"/>
      </w:pPr>
      <w:r>
        <w:rPr>
          <w:bCs/>
          <w:b/>
        </w:rPr>
        <w:t xml:space="preserve">1.3 Justificación</w:t>
      </w:r>
    </w:p>
    <w:p>
      <w:pPr>
        <w:pStyle w:val="FirstParagraph"/>
      </w:pPr>
      <w:r>
        <w:t>La relevancia del trabajo se apoya en cuatro dimensiones. Primero, explora la aplicación de plataformas de orquestación a la seguridad operacional. Los autores perciben escasa sistematización académica en español, pero no realizaron una revisión sistemática y no afirman inexistencia de antecedentes. Segundo, propone una alternativa tecnológica concreta para organizaciones con recursos acotados, sin acreditar una ventaja económica comparativa. Tercero, integra competencias del plan de estudios: Python, React y TypeScript, bases de datos, integración de sistemas y seguridad aplicada. Cuarto, sitúa la arquitectura dentro del marco normativo argentino.</w:t>
      </w:r>
    </w:p>
    <w:p>
      <w:pPr>
        <w:pStyle w:val="BodyText"/>
      </w:pPr>
      <w:r>
        <w:t>El proyecto parte de una consigna de seguridad: recorrer directorios periódicamente, calcular resúmenes MD5 y SHA-256, almacenarlos en PostgreSQL y programar el escaneo mediante una plataforma de automatización. El trabajo adopta cinco decisiones diferentes, fundamentadas en los apartados siguientes.</w:t>
      </w:r>
    </w:p>
    <w:p>
      <w:pPr>
        <w:pStyle w:val="BodyText"/>
      </w:pPr>
      <w:r>
        <w:t>Se reemplaza el encuestamiento por detección reactiva con fanotify y se descarta MD5 en favor de SHA-256. El contenido restaurable de la baseline permanece cifrado en /var/lib/fim-agent/baseline/; el servidor centraliza metadatos, hashes y resoluciones, pero no una copia completa del contenido. El secreto maestro co-reside en el anfitrión, por lo que el cifrado no protege frente a su compromiso privilegiado.</w:t>
      </w:r>
    </w:p>
    <w:p>
      <w:pPr>
        <w:pStyle w:val="BodyText"/>
      </w:pPr>
      <w:r>
        <w:t>Además, n8n se limita al enrutamiento de notificaciones y se incorpora validación humana con resolución de concurrencia. El resultado ya no es un verificador periódico, sino una plataforma distribuida de detección y respuesta.</w:t>
      </w:r>
    </w:p>
    <w:bookmarkEnd w:id="30"/>
    <w:bookmarkStart w:id="31" w:name="objetivo-general"/>
    <w:p>
      <w:pPr>
        <w:pStyle w:val="Heading2"/>
      </w:pPr>
      <w:r>
        <w:rPr>
          <w:bCs/>
          <w:b/>
        </w:rPr>
        <w:t xml:space="preserve">1.4 Objetivo general</w:t>
      </w:r>
    </w:p>
    <w:p>
      <w:pPr>
        <w:pStyle w:val="FirstParagraph"/>
      </w:pPr>
      <w:r>
        <w:t xml:space="preserve">El objetivo general del presente Trabajo Final de carrera consiste en diseñar, implementar y evaluar en condiciones de laboratorio una plataforma para el Monitoreo de Integridad de Archivos con arquitectura distribuida, orientada a sistemas Linux. La plataforma debe detectar de forma reactiva —mediante el subsistema fanotify del núcleo— modificaciones sobre archivos monitoreados, aplicar un motor de decisión local con cuatro niveles de acción, y validar las alteraciones por comparación criptográfica contra una baseline cifrada. Asimismo, debe incorporar validación humana sobre un flujo formal de eventos con resolución de concurrencia por bloqueo optimista, y notificar los incidentes mediante canales orquestados por n8n con alternativas automáticas ante indisponibilidad.</w:t>
      </w:r>
    </w:p>
    <w:p>
      <w:pPr>
        <w:pStyle w:val="BodyText"/>
      </w:pPr>
      <w:r>
        <w:t xml:space="preserve">Conviene distinguir tres planos que el enunciado anterior no debe confundir. El primero es el de los objetivos de producto: las capacidades que el sistema debe ofrecer, enumeradas en el párrafo precedente y desglosadas en el apartado 1.5. El segundo es el de los criterios de aceptación: los umbrales cuantitativos fijados a priori contra los cuales se evalúa el artefacto, consignados en el apartado 1.6, cuyo cumplimiento o incumplimiento se reporta en el Capítulo 5 sin condicionar la existencia de las capacidades del primer plano. El tercero es el de las contribuciones normativas: la sistematización del marco argentino aplicable y la explicitación de a qué obligaciones o recomendaciones contribuye cada control del sistema, tarea que se desarrolla en los apartados 2.4 y 6.3 como aporte de análisis y no como criterio de cumplimiento del sistema. El trabajo no reivindica que el sistema cumpla por sí solo la Ley 25.326 ni la normativa complementaria; reivindica que contribuye a determinadas obligaciones y recomendaciones identificadas.</w:t>
      </w:r>
    </w:p>
    <w:bookmarkEnd w:id="31"/>
    <w:bookmarkStart w:id="32" w:name="objetivos-específicos"/>
    <w:p>
      <w:pPr>
        <w:pStyle w:val="Heading2"/>
      </w:pPr>
      <w:r>
        <w:rPr>
          <w:bCs/>
          <w:b/>
        </w:rPr>
        <w:t xml:space="preserve">1.5 Objetivos específicos</w:t>
      </w:r>
    </w:p>
    <w:p>
      <w:pPr>
        <w:pStyle w:val="FirstParagraph"/>
      </w:pPr>
      <w:r>
        <w:t xml:space="preserve">Con el propósito de alcanzar el objetivo general anteriormente formulado se proponen los siguientes objetivos específicos:</w:t>
      </w:r>
    </w:p>
    <w:p>
      <w:pPr>
        <w:numPr>
          <w:ilvl w:val="0"/>
          <w:numId w:val="1001"/>
        </w:numPr>
      </w:pPr>
      <w:r>
        <w:t xml:space="preserve">Analizar los fundamentos teóricos de las funciones hash criptográficas resistentes a colisiones, con énfasis en el estándar SHA-256 y su aplicación al campo de la integridad de archivos.</w:t>
      </w:r>
    </w:p>
    <w:p>
      <w:pPr>
        <w:numPr>
          <w:ilvl w:val="0"/>
          <w:numId w:val="1001"/>
        </w:numPr>
      </w:pPr>
      <w:r>
        <w:t xml:space="preserve">Caracterizar el estado del arte de las soluciones de Monitoreo de Integridad de Archivos disponibles durante el bienio 2024-2026, identificando sus fortalezas y limitaciones.</w:t>
      </w:r>
    </w:p>
    <w:p>
      <w:pPr>
        <w:numPr>
          <w:ilvl w:val="0"/>
          <w:numId w:val="1001"/>
        </w:numPr>
      </w:pPr>
      <w:r>
        <w:t xml:space="preserve">Sistematizar el marco normativo argentino aplicable, comprendiendo la Ley 25.326 de Protección de Datos Personales, la Ley 26.388 de Delitos Informáticos y las Resoluciones 47/2018 y 126/2024 de la Agencia de Acceso a la Información Pública. Comprende, asimismo, la Resolución 44/2023 de la Secretaría de Innovación Pública, la Decisión Administrativa 641/2021 y el Decreto de Necesidad y Urgencia 941/2025.</w:t>
      </w:r>
    </w:p>
    <w:p>
      <w:pPr>
        <w:numPr>
          <w:ilvl w:val="0"/>
          <w:numId w:val="1001"/>
        </w:numPr>
      </w:pPr>
      <w:r>
        <w:t xml:space="preserve">Formular un modelo de amenazas sobre el propio sistema conforme a la metodología STRIDE, evitando la paradoja habitual de sistemas de protección que no auditan sus propias debilidades.</w:t>
      </w:r>
    </w:p>
    <w:p>
      <w:pPr>
        <w:numPr>
          <w:ilvl w:val="0"/>
          <w:numId w:val="1001"/>
        </w:numPr>
      </w:pPr>
      <w:r>
        <w:t xml:space="preserve">Diseñar una arquitectura distribuida con seis componentes desacoplados comunicados mediante mensajería asíncrona, en la que el agente se despliega como servicio nativo del anfitrión monitoreado mientras que el resto de los componentes se contenedoriza en un servidor central.</w:t>
      </w:r>
    </w:p>
    <w:p>
      <w:pPr>
        <w:numPr>
          <w:ilvl w:val="0"/>
          <w:numId w:val="1001"/>
        </w:numPr>
      </w:pPr>
      <w:r>
        <w:t>Especificar un protocolo de entrega al menos una vez para los eventos transportados sobre Valkey Streams, con identificadores idempotentes y persistencia deduplicada para evitar más de un registro por evento en el backend.</w:t>
      </w:r>
    </w:p>
    <w:p>
      <w:pPr>
        <w:numPr>
          <w:ilvl w:val="0"/>
          <w:numId w:val="1001"/>
        </w:numPr>
      </w:pPr>
      <w:r>
        <w:t xml:space="preserve">Diseñar el agente de monitoreo con su motor de decisión local, con cola offline acotada, con registro de acciones previas a su ejecución y con cifrado autenticado de la baseline en disco.</w:t>
      </w:r>
    </w:p>
    <w:p>
      <w:pPr>
        <w:numPr>
          <w:ilvl w:val="0"/>
          <w:numId w:val="1001"/>
        </w:numPr>
      </w:pPr>
      <w:r>
        <w:t xml:space="preserve">Diseñar e implementar el backend bajo una organización modular por dominio funcional, con separación explícita entre la capa de exposición HTTP, la lógica de negocio y los modelos de persistencia. El backend debe incorporar bloqueo optimista sobre la tabla de eventos y una máquina de estados explícita. Asimismo, debe contar con una estrategia de verificación mediante pruebas de integración sobre instancias efímeras de los servicios de respaldo.</w:t>
      </w:r>
    </w:p>
    <w:p>
      <w:pPr>
        <w:numPr>
          <w:ilvl w:val="0"/>
          <w:numId w:val="1001"/>
        </w:numPr>
      </w:pPr>
      <w:r>
        <w:t xml:space="preserve">Especificar la arquitectura criptográfica completa del sistema, comprendiendo la autenticación mutua mediante certificados TLS con autoridad certificadora propia, la firma HMAC de comandos y la política de parámetros Argon2id para las contraseñas de los operadores.</w:t>
      </w:r>
    </w:p>
    <w:p>
      <w:pPr>
        <w:numPr>
          <w:ilvl w:val="0"/>
          <w:numId w:val="1001"/>
        </w:numPr>
      </w:pPr>
      <w:r>
        <w:t xml:space="preserve">Especificar la política de notificaciones con n8n como orquestador principal y canales alternativos de respaldo automáticos.</w:t>
      </w:r>
    </w:p>
    <w:p>
      <w:pPr>
        <w:numPr>
          <w:ilvl w:val="0"/>
          <w:numId w:val="1001"/>
        </w:numPr>
      </w:pPr>
      <w:r>
        <w:t xml:space="preserve">Formular un protocolo experimental reproducible con grupo de control, con variables, con indicadores operacionalizados y con planillas de captura completas.</w:t>
      </w:r>
    </w:p>
    <w:bookmarkEnd w:id="32"/>
    <w:bookmarkStart w:id="33" w:name="hipótesis-y-criterios-de-aceptación"/>
    <w:p>
      <w:pPr>
        <w:pStyle w:val="Heading2"/>
      </w:pPr>
      <w:r>
        <w:rPr>
          <w:bCs/>
          <w:b/>
        </w:rPr>
        <w:t xml:space="preserve">1.6 Hipótesis y criterios de aceptación</w:t>
      </w:r>
    </w:p>
    <w:p>
      <w:pPr>
        <w:pStyle w:val="FirstParagraph"/>
      </w:pPr>
      <w:r>
        <w:t xml:space="preserve">La hipótesis central del presente trabajo se formula como proposición falsable: la integración de los componentes descriptos permite construir una plataforma cuyos indicadores de desempeño se sitúan dentro de los umbrales de aceptación preestablecidos a priori, superando las capacidades operativas típicas de los esquemas tradicionales basados en verificación periódica. La hipótesis nula, correlativa, establece que uno o más indicadores no alcanzan el umbral de aceptación que la Tabla 1 fija, o bien que la proporción de modificaciones detectadas por el artefacto no supera a la del esquema de verificación periódica en la evaluación comparativa del apartado 5.7.</w:t>
      </w:r>
    </w:p>
    <w:p>
      <w:pPr>
        <w:pStyle w:val="BodyText"/>
      </w:pPr>
      <w:r>
        <w:t xml:space="preserve">La formulación evita deliberadamente el vocabulario de la significación estadística respecto del conjunto de los indicadores. Los umbrales son criterios de suficiencia funcional fijados a priori y se evalúan por comparación directa del valor observado contra el valor de corte, no por contraste inferencial sobre parámetros poblacionales, conforme al encuadre epistemológico de la introducción del Capítulo 3. La única proposición que admite tratamiento inferencial es la comparativa de proporciones de detección, cuyo contraste se especifica en el apartado 3.6. Su ejecución en el apartado 5.7 queda sujeta a recálculo, por cuanto ambos grupos se evaluaron sobre las mismas operaciones. La estructura pareada de los datos, en efecto, no fue contemplada en el procedimiento originalmente previsto.</w:t>
      </w:r>
    </w:p>
    <w:p>
      <w:pPr>
        <w:pStyle w:val="BodyText"/>
      </w:pPr>
      <w:r>
        <w:t xml:space="preserve">Dado que la hipótesis exige la satisfacción conjunta de todos los criterios, su corroboración requiere que todos se alcancen; el incumplimiento de uno solo basta para que no resulte corroborada en conjunto, sin perjuicio del apoyo experimental que reciban los criterios restantes. Los umbrales se fijaron con anterioridad a la ejecución de las mediciones, con base en valores reportados en la literatura especializada y en requerimientos operativos usuales de centros de operaciones de seguridad de porte medio. Quedaron registrados en la documentación del proyecto antes de que existiera dato alguno con el cual contrastarlos. La Tabla 1 sintetiza los indicadores y sus umbrales correspondientes, junto con el fundamento conceptual que respalda cada valor.</w:t>
      </w:r>
    </w:p>
    <w:p>
      <w:pPr>
        <w:pStyle w:val="BodyText"/>
        <w:keepNext/>
      </w:pPr>
      <w:r>
        <w:rPr>
          <w:bCs/>
          <w:b/>
          <w:iCs/>
          <w:i/>
        </w:rPr>
        <w:t xml:space="preserve">Tabla 1.</w:t>
      </w:r>
      <w:r>
        <w:rPr>
          <w:iCs/>
          <w:i/>
        </w:rPr>
        <w:t xml:space="preserve"> Criterios de aceptación preestablecidos</w:t>
      </w:r>
    </w:p>
    <w:tbl>
      <w:tblPr>
        <w:tblStyle w:val="Table"/>
        <w:tblW w:type="pct" w:w="4955"/>
        <w:jc w:val="start"/>
        <w:tblLook w:firstRow="1" w:lastRow="0" w:firstColumn="0" w:lastColumn="0" w:noHBand="0" w:noVBand="0" w:val="0020"/>
      </w:tblPr>
      <w:tblGrid>
        <w:gridCol w:w="4278"/>
        <w:gridCol w:w="954"/>
        <w:gridCol w:w="2616"/>
      </w:tblGrid>
      <w:tr>
        <w:trPr>
          <w:tblHeader w:val="true"/>
          <w:cantSplit/>
        </w:trPr>
        <w:tc>
          <w:tcPr/>
          <w:p>
            <w:pPr>
              <w:pStyle w:val="Compact"/>
              <w:jc w:val="left"/>
            </w:pPr>
            <w:r>
              <w:rPr>
                <w:bCs/>
                <w:b/>
              </w:rPr>
              <w:t xml:space="preserve">Indicador</w:t>
            </w:r>
          </w:p>
        </w:tc>
        <w:tc>
          <w:tcPr/>
          <w:p>
            <w:pPr>
              <w:pStyle w:val="Compact"/>
              <w:jc w:val="left"/>
            </w:pPr>
            <w:r>
              <w:rPr>
                <w:bCs/>
                <w:b/>
              </w:rPr>
              <w:t xml:space="preserve">Umbral de aceptación</w:t>
            </w:r>
          </w:p>
        </w:tc>
        <w:tc>
          <w:tcPr/>
          <w:p>
            <w:pPr>
              <w:pStyle w:val="Compact"/>
              <w:jc w:val="left"/>
            </w:pPr>
            <w:r>
              <w:rPr>
                <w:bCs/>
                <w:b/>
              </w:rPr>
              <w:t xml:space="preserve">Fundamento</w:t>
            </w:r>
          </w:p>
        </w:tc>
      </w:tr>
      <w:tr>
        <w:trPr>
          <w:cantSplit/>
        </w:trPr>
        <w:tc>
          <w:tcPr/>
          <w:p>
            <w:pPr>
              <w:pStyle w:val="Compact"/>
              <w:jc w:val="left"/>
            </w:pPr>
            <w:r>
              <w:t xml:space="preserve">Latencia de detección (percentil 99)</w:t>
            </w:r>
          </w:p>
        </w:tc>
        <w:tc>
          <w:tcPr/>
          <w:p>
            <w:pPr>
              <w:pStyle w:val="Compact"/>
              <w:jc w:val="left"/>
            </w:pPr>
            <w:r>
              <w:t xml:space="preserve">Menor a 1.000 ms</w:t>
            </w:r>
          </w:p>
        </w:tc>
        <w:tc>
          <w:tcPr/>
          <w:p>
            <w:pPr>
              <w:pStyle w:val="Compact"/>
              <w:jc w:val="left"/>
            </w:pPr>
            <w:r>
              <w:t xml:space="preserve">Escala sub-segundo, adoptada como operacionalización de «tiempo real» en este trabajo</w:t>
            </w:r>
          </w:p>
        </w:tc>
      </w:tr>
      <w:tr>
        <w:trPr>
          <w:cantSplit/>
        </w:trPr>
        <w:tc>
          <w:tcPr/>
          <w:p>
            <w:pPr>
              <w:pStyle w:val="Compact"/>
              <w:jc w:val="left"/>
            </w:pPr>
            <w:r>
              <w:t xml:space="preserve">Tiempo de notificación (percentil 99)</w:t>
            </w:r>
          </w:p>
        </w:tc>
        <w:tc>
          <w:tcPr/>
          <w:p>
            <w:pPr>
              <w:pStyle w:val="Compact"/>
              <w:jc w:val="left"/>
            </w:pPr>
            <w:r>
              <w:t xml:space="preserve">Menor a 5.000 ms</w:t>
            </w:r>
          </w:p>
        </w:tc>
        <w:tc>
          <w:tcPr/>
          <w:p>
            <w:pPr>
              <w:pStyle w:val="Compact"/>
              <w:jc w:val="left"/>
            </w:pPr>
            <w:r>
              <w:t xml:space="preserve">Compatible con alerta sin acumulación</w:t>
            </w:r>
          </w:p>
        </w:tc>
      </w:tr>
      <w:tr>
        <w:trPr>
          <w:cantSplit/>
        </w:trPr>
        <w:tc>
          <w:tcPr/>
          <w:p>
            <w:pPr>
              <w:pStyle w:val="Compact"/>
              <w:jc w:val="left"/>
            </w:pPr>
            <w:r>
              <w:t xml:space="preserve">Tiempo de notificación (percentil 99), 100 solicitudes concurrentes</w:t>
            </w:r>
          </w:p>
        </w:tc>
        <w:tc>
          <w:tcPr/>
          <w:p>
            <w:pPr>
              <w:pStyle w:val="Compact"/>
              <w:jc w:val="left"/>
            </w:pPr>
            <w:r>
              <w:t xml:space="preserve">Menor a 5.000 ms</w:t>
            </w:r>
          </w:p>
        </w:tc>
        <w:tc>
          <w:tcPr/>
          <w:p>
            <w:pPr>
              <w:pStyle w:val="Compact"/>
              <w:jc w:val="left"/>
            </w:pPr>
            <w:r>
              <w:t xml:space="preserve">Sostenimiento del umbral bajo carga</w:t>
            </w:r>
          </w:p>
        </w:tc>
      </w:tr>
      <w:tr>
        <w:trPr>
          <w:cantSplit/>
        </w:trPr>
        <w:tc>
          <w:tcPr/>
          <w:p>
            <w:pPr>
              <w:pStyle w:val="Compact"/>
              <w:jc w:val="left"/>
            </w:pPr>
            <w:r>
              <w:t xml:space="preserve">Cobertura de automatización del triage</w:t>
            </w:r>
          </w:p>
        </w:tc>
        <w:tc>
          <w:tcPr/>
          <w:p>
            <w:pPr>
              <w:pStyle w:val="Compact"/>
              <w:jc w:val="left"/>
            </w:pPr>
            <w:r>
              <w:t xml:space="preserve">Al menos 80 %</w:t>
            </w:r>
          </w:p>
        </w:tc>
        <w:tc>
          <w:tcPr/>
          <w:p>
            <w:pPr>
              <w:pStyle w:val="Compact"/>
              <w:jc w:val="left"/>
            </w:pPr>
            <w:r>
              <w:t xml:space="preserve">Objetivo típico de programas SOAR maduros</w:t>
            </w:r>
          </w:p>
        </w:tc>
      </w:tr>
      <w:tr>
        <w:trPr>
          <w:cantSplit/>
        </w:trPr>
        <w:tc>
          <w:tcPr/>
          <w:p>
            <w:pPr>
              <w:pStyle w:val="Compact"/>
              <w:jc w:val="left"/>
            </w:pPr>
            <w:r>
              <w:t xml:space="preserve">Cobertura de historias de usuario</w:t>
            </w:r>
          </w:p>
        </w:tc>
        <w:tc>
          <w:tcPr/>
          <w:p>
            <w:pPr>
              <w:pStyle w:val="Compact"/>
              <w:jc w:val="left"/>
            </w:pPr>
            <w:r>
              <w:t xml:space="preserve">31 de 31</w:t>
            </w:r>
          </w:p>
        </w:tc>
        <w:tc>
          <w:tcPr/>
          <w:p>
            <w:pPr>
              <w:pStyle w:val="Compact"/>
              <w:jc w:val="left"/>
            </w:pPr>
            <w:r>
              <w:t xml:space="preserve">Verificación automatizada completa del backlog formalizado</w:t>
            </w:r>
          </w:p>
        </w:tc>
      </w:tr>
      <w:tr>
        <w:trPr>
          <w:cantSplit/>
        </w:trPr>
        <w:tc>
          <w:tcPr/>
          <w:p>
            <w:pPr>
              <w:pStyle w:val="Compact"/>
              <w:jc w:val="left"/>
            </w:pPr>
            <w:r>
              <w:t xml:space="preserve">Falsos negativos en prueba controlada, sobre modificaciones realizadas a través de la interfaz de archivos del sistema</w:t>
            </w:r>
          </w:p>
        </w:tc>
        <w:tc>
          <w:tcPr/>
          <w:p>
            <w:pPr>
              <w:pStyle w:val="Compact"/>
              <w:jc w:val="left"/>
            </w:pPr>
            <w:r>
              <w:t xml:space="preserve">Cero</w:t>
            </w:r>
          </w:p>
        </w:tc>
        <w:tc>
          <w:tcPr/>
          <w:p>
            <w:pPr>
              <w:pStyle w:val="Compact"/>
              <w:jc w:val="left"/>
            </w:pPr>
            <w:r>
              <w:t xml:space="preserve">Requisito mínimo de validez del sistema</w:t>
            </w:r>
          </w:p>
        </w:tc>
      </w:tr>
      <w:tr>
        <w:trPr>
          <w:cantSplit/>
        </w:trPr>
        <w:tc>
          <w:tcPr/>
          <w:p>
            <w:pPr>
              <w:pStyle w:val="Compact"/>
              <w:jc w:val="left"/>
            </w:pPr>
            <w:r>
              <w:t xml:space="preserve">Preservación de eventos ante desconexión</w:t>
            </w:r>
          </w:p>
        </w:tc>
        <w:tc>
          <w:tcPr/>
          <w:p>
            <w:pPr>
              <w:pStyle w:val="Compact"/>
              <w:jc w:val="left"/>
            </w:pPr>
            <w:r>
              <w:t xml:space="preserve">100 %</w:t>
            </w:r>
          </w:p>
        </w:tc>
        <w:tc>
          <w:tcPr/>
          <w:p>
            <w:pPr>
              <w:pStyle w:val="Compact"/>
              <w:jc w:val="left"/>
            </w:pPr>
            <w:r>
              <w:t xml:space="preserve">Garantía de no pérdida bajo operación degradada</w:t>
            </w:r>
          </w:p>
        </w:tc>
      </w:tr>
      <w:tr>
        <w:trPr>
          <w:cantSplit/>
        </w:trPr>
        <w:tc>
          <w:tcPr/>
          <w:p>
            <w:pPr>
              <w:pStyle w:val="Compact"/>
              <w:jc w:val="left"/>
            </w:pPr>
            <w:r>
              <w:t xml:space="preserve">Tiempo de drenaje tras reconexión</w:t>
            </w:r>
          </w:p>
        </w:tc>
        <w:tc>
          <w:tcPr/>
          <w:p>
            <w:pPr>
              <w:pStyle w:val="Compact"/>
              <w:jc w:val="left"/>
            </w:pPr>
            <w:r>
              <w:t xml:space="preserve">Menor a 30 segundos</w:t>
            </w:r>
          </w:p>
        </w:tc>
        <w:tc>
          <w:tcPr/>
          <w:p>
            <w:pPr>
              <w:pStyle w:val="Compact"/>
              <w:jc w:val="left"/>
            </w:pPr>
            <w:r>
              <w:t xml:space="preserve">Restitución del servicio dentro de una ventana operativamente tolerable</w:t>
            </w:r>
          </w:p>
        </w:tc>
      </w:tr>
    </w:tbl>
    <w:p>
      <w:pPr>
        <w:pStyle w:val="BodyText"/>
      </w:pPr>
      <w:r>
        <w:rPr>
          <w:bCs/>
          <w:b/>
          <w:iCs/>
          <w:i/>
        </w:rPr>
        <w:t xml:space="preserve">Nota. Elaboración propia. Los umbrales se fijaron antes del protocolo experimental del Capítulo 5. El criterio de falsos negativos se acota a modificaciones practicadas mediante la interfaz de archivos. La escritura directa sobre el dispositivo de bloque queda fuera del criterio. Las operaciones mmap, msync y munmap no notifican por sí mismas una modificación, pero el ensayo del apartado 5.9 detectó los cambios mediante un evento asociado y cómputo diferido del hash; por ello se tratan como una limitación potencial de temporización, no como evasión observada. «Tiempo real» designa aquí detección reactiva con latencia sub-segundo en laboratorio, sin garantías estrictas ni cotas bajo saturación (apartado 6.6).</w:t>
      </w:r>
      <w:r>
        <w:rPr>
          <w:iCs/>
          <w:i/>
        </w:rPr>
        <w:t xml:space="preserve"/>
      </w:r>
    </w:p>
    <w:bookmarkEnd w:id="33"/>
    <w:bookmarkStart w:id="34" w:name="alcance-y-limitaciones"/>
    <w:p>
      <w:pPr>
        <w:pStyle w:val="Heading2"/>
      </w:pPr>
      <w:r>
        <w:rPr>
          <w:bCs/>
          <w:b/>
        </w:rPr>
        <w:t xml:space="preserve">1.7 Alcance y limitaciones</w:t>
      </w:r>
    </w:p>
    <w:p>
      <w:pPr>
        <w:pStyle w:val="FirstParagraph"/>
      </w:pPr>
      <w:r>
        <w:t xml:space="preserve">El alcance del presente trabajo comprende el diseño, la implementación y la evaluación experimental de un sistema orientado a ambientes Linux, con un requisito de versión mínima del núcleo derivado de las capacidades del subsistema fanotify que el agente emplea. El modo de reporte por identificador de archivo, que habilita los eventos de creación, borrado y movimiento, está disponible desde la versión 5.1 del núcleo. El reporte del identificador del directorio padre junto con el nombre de la entrada requiere la versión 5.9. El apartado 2.6 describe este último como fundamento de la reconstrucción de rutas de archivos eliminados (Linux man-pages project, 2026a). El agente inicializa su grupo de notificación con las banderas de clase de notificación, cierre en ejecución y reporte del identificador de directorio junto con el nombre de la entrada. Asimismo, aplica marcas sobre el sistema de archivos completo. No emplea, en cambio, el reporte de descriptor de proceso ni marcas por inodo o por punto de montaje. Dado que el reporte del identificador del directorio padre y del nombre de la entrada se incorporó en la versión 5.9, esa es la versión mínima efectiva del núcleo que el sistema requiere. La versión 5.1 cubre solamente una parte de los eventos utilizados y no resulta suficiente para la configuración implementada. La evaluación se realizó sobre un entorno de laboratorio contenedorizado en un único equipo, sin contemplar entornos productivos reales ni sistemas de concurrencia industrial. La solución se orienta al monitoreo de directorios críticos del sistema y a paths configurables para aplicaciones.</w:t>
      </w:r>
    </w:p>
    <w:p>
      <w:pPr>
        <w:pStyle w:val="BodyText"/>
      </w:pPr>
      <w:r>
        <w:t xml:space="preserve">Quedan excluidos deliberadamente del alcance los siguientes aspectos: el monitoreo de sistemas de archivos distribuidos como NFS o GlusterFS; el monitoreo de contenedores efímeros y de volúmenes persistentes en proveedores de nube pública; la respuesta activa a nivel de red; y la integración productiva con plataformas SIEM comerciales.</w:t>
      </w:r>
    </w:p>
    <w:p>
      <w:pPr>
        <w:pStyle w:val="BodyText"/>
      </w:pPr>
      <w:r>
        <w:t xml:space="preserve">Entre las limitaciones metodológicas y técnicas se enumeran las siguientes. La primera es la imposibilidad constitucional de fanotify de detectar modificaciones realizadas mediante manipulación directa del dispositivo de bloque subyacente. La segunda es la ventana temporal acotada, del orden de los milisegundos, durante la cual una modificación aplicada mediante mapeo de memoria compartido podría eludir la detección, si la escritura sobre el mapeo se demorase más allá de la latencia de procesamiento del agente. Esta condición se caracterizó experimentalmente en el apartado 5.9, donde no se observó evasión efectiva en las repeticiones ejecutadas. La tercera es la dependencia operacional sobre la disponibilidad del backend y del motor de orquestación durante las ventanas no offline, y la cuarta es la ausencia de comparación experimental directa con soluciones comerciales debido a restricciones de acceso al software propietario. La quinta es el carácter acotado del entorno de laboratorio, cuyas consecuencias sobre la validez externa se analizan en el apartado 6.5.</w:t>
      </w:r>
    </w:p>
    <w:p>
      <w:pPr>
        <w:pStyle w:val="BodyText"/>
      </w:pPr>
      <w:r>
        <w:t xml:space="preserve">La evaluación se practicó sobre un despliegue integrado de los componentes del sistema en la configuración de laboratorio que el apartado 3.7 describe, no sobre prototipos aislados. Esa configuración difiere del despliegue recomendado en aspectos que condicionan la lectura de los resultados: topología en un solo equipo, agente contenedorizado, orquestador de notificaciones no activo y cifrado de transporte deshabilitado durante la corrida. El código fuente, los artefactos de configuración y las planillas de captura se publican en el repositorio referido en el Anexo F, con el propósito expreso de habilitar la verificación independiente de los resultados consignados en el Capítulo 5.</w:t>
      </w:r>
    </w:p>
    <w:p>
      <w:r>
        <w:br w:type="page"/>
      </w:r>
    </w:p>
    <w:bookmarkEnd w:id="34"/>
    <w:bookmarkEnd w:id="35"/>
    <w:bookmarkStart w:id="49" w:name="capítulo-2.-marco-teórico"/>
    <w:p>
      <w:pPr>
        <w:pStyle w:val="Heading1"/>
      </w:pPr>
      <w:r>
        <w:rPr>
          <w:bCs/>
          <w:b/>
        </w:rPr>
        <w:t xml:space="preserve">CAPÍTULO 2. MARCO TEÓRICO</w:t>
      </w:r>
    </w:p>
    <w:p>
      <w:pPr>
        <w:pStyle w:val="FirstParagraph"/>
      </w:pPr>
      <w:r>
        <w:t xml:space="preserve">El presente capítulo sistematiza los fundamentos conceptuales, técnicos y normativos sobre los cuales se asienta la propuesta desarrollada. La exposición se organiza en trece apartados que siguen una progresión desde los conceptos más abstractos hacia las tecnologías específicas adoptadas y el marco normativo argentino aplicable. Las definiciones técnicas referenciadas a lo largo del texto se amplían en el Glosario provisto en el Capítulo 10, al que se remite al lector no especializado cuando resulta oportuno.</w:t>
      </w:r>
    </w:p>
    <w:bookmarkStart w:id="36" w:name="seguridad-informática-y-la-tríada-cia"/>
    <w:p>
      <w:pPr>
        <w:pStyle w:val="Heading2"/>
      </w:pPr>
      <w:r>
        <w:rPr>
          <w:bCs/>
          <w:b/>
        </w:rPr>
        <w:t xml:space="preserve">2.1 Seguridad informática y la tríada CIA</w:t>
      </w:r>
    </w:p>
    <w:p>
      <w:pPr>
        <w:pStyle w:val="FirstParagraph"/>
      </w:pPr>
      <w:r>
        <w:t xml:space="preserve">La seguridad informática constituye una disciplina cuyo objeto es el diseño, la implementación y la evaluación de mecanismos destinados a preservar las propiedades deseables de los sistemas frente a amenazas de origen intencional o accidental. La evolución de la disciplina ha estado marcada por desplazamientos sucesivos de énfasis: desde la protección física de sistemas centralizados, hacia la protección perimetral mediante cortafuegos, y actualmente hacia paradigmas como la arquitectura de confianza cero. Esta arquitectura está formalizada en la publicación especial SP 800-207 del Instituto Nacional de Estándares y Tecnología de los Estados Unidos (Rose et al., 2020). Su principio rector es que ningún actor merece confianza a priori, con independencia de su ubicación dentro o fuera del perímetro tradicional.</w:t>
      </w:r>
    </w:p>
    <w:p>
      <w:pPr>
        <w:pStyle w:val="BodyText"/>
      </w:pPr>
      <w:r>
        <w:t xml:space="preserve">La tríada conocida por las siglas CIA, por sus términos en inglés, ocupa una posición canónica como marco organizador de los objetivos de protección. Sus tres componentes son la confidencialidad, la integridad y la disponibilidad. La confidencialidad se entiende como garantía de que la información solo resulta accesible a entidades autorizadas, mientras que la integridad —propiedad central del presente trabajo— garantiza la inalterabilidad de la información respecto de un estado de referencia legítimo. La disponibilidad, por su parte, asegura el acceso oportuno de las entidades autorizadas a la información que necesitan.</w:t>
      </w:r>
    </w:p>
    <w:p>
      <w:pPr>
        <w:pStyle w:val="BodyText"/>
      </w:pPr>
      <w:r>
        <w:t xml:space="preserve">La integridad admite dos descomposiciones analíticas conceptualmente distintas. La integridad de origen alude a la autenticación del emisor de un mensaje o del autor de un artefacto, y se resuelve canónicamente mediante firmas digitales y certificados X.509 dentro de infraestructuras de clave pública. La integridad de contenido, por su parte, alude a la inalterabilidad del artefacto respecto de un estado de referencia, y constituye el objeto específico de los sistemas de Monitoreo de Integridad de Archivos analizados en el apartado 2.3.</w:t>
      </w:r>
    </w:p>
    <w:bookmarkEnd w:id="36"/>
    <w:bookmarkStart w:id="37" w:name="funciones-hash-criptográficas"/>
    <w:p>
      <w:pPr>
        <w:pStyle w:val="Heading2"/>
      </w:pPr>
      <w:r>
        <w:rPr>
          <w:bCs/>
          <w:b/>
        </w:rPr>
        <w:t xml:space="preserve">2.2 Funciones hash criptográficas</w:t>
      </w:r>
    </w:p>
    <w:p>
      <w:pPr>
        <w:pStyle w:val="FirstParagraph"/>
      </w:pPr>
      <w:r>
        <w:t xml:space="preserve">Una función hash criptográfica es un procedimiento matemático determinístico que transforma una entrada de longitud arbitraria en una salida de longitud fija denominada resumen o digest. Toda función hash criptográfica debe satisfacer tres propiedades fundamentales. La resistencia a la preimagen asegura que, dado un resumen, resulta computacionalmente inviable reconstruir la entrada que lo generó. La resistencia a la segunda preimagen garantiza que, dado un mensaje, resulta inviable encontrar un segundo mensaje distinto que produzca el mismo resumen. La resistencia a colisiones establece que resulta inviable encontrar un par arbitrario de mensajes distintos cuyos resúmenes coincidan.</w:t>
      </w:r>
    </w:p>
    <w:p>
      <w:pPr>
        <w:pStyle w:val="BodyText"/>
      </w:pPr>
      <w:r>
        <w:t>El presente trabajo adopta el estándar SHA-256, miembro de la familia SHA-2 estandarizada en la publicación FIPS 180-4 por el Instituto Nacional de Estándares y Tecnología de los Estados Unidos (National Institute of Standards and Technology [NIST], 2015). La elección obedece a tres razones convergentes. La primera es su amplia disponibilidad en las bibliotecas criptográficas estándar de los lenguajes de programación habituales, incluyendo el módulo hashlib de la biblioteca estándar de Python (Python Software Foundation, s. f.). La segunda es el equilibrio adecuado entre velocidad de cómputo y robustez criptográfica, y la tercera es la ausencia, al momento de la presente redacción, de ataques prácticos conocidos contra sus propiedades fundamentales.</w:t>
      </w:r>
    </w:p>
    <w:p>
      <w:pPr>
        <w:pStyle w:val="BodyText"/>
      </w:pPr>
      <w:r>
        <w:t xml:space="preserve">La obsolescencia criptográfica de SHA-1 fue demostrada por Leurent y Peyrin mediante el primer ataque práctico de colisión de prefijo elegido sobre dicha función (Leurent &amp; Peyrin, 2020), motivo por el cual su uso se encuentra proscrito para propósitos de integridad criptográfica en normativas y estándares actualizados. Funciones más recientes como BLAKE3 ofrecen mejoras sustanciales de rendimiento y se consideran como línea de trabajo futuro para la evaluación comparativa.</w:t>
      </w:r>
    </w:p>
    <w:bookmarkEnd w:id="37"/>
    <w:bookmarkStart w:id="38" w:name="monitoreo-de-integridad-de-archivos"/>
    <w:p>
      <w:pPr>
        <w:pStyle w:val="Heading2"/>
      </w:pPr>
      <w:r>
        <w:rPr>
          <w:bCs/>
          <w:b/>
        </w:rPr>
        <w:t xml:space="preserve">2.3 Monitoreo de Integridad de Archivos</w:t>
      </w:r>
    </w:p>
    <w:p>
      <w:pPr>
        <w:pStyle w:val="FirstParagraph"/>
      </w:pPr>
      <w:r>
        <w:t xml:space="preserve">El Monitoreo de Integridad de Archivos como disciplina se origina en el trabajo de Kim y Spafford sobre la herramienta Tripwire. Ese trabajo formuló el problema en los términos que la literatura posterior conservó: el administrador de un sistema requiere vigilar el contenido del sistema de archivos, expuesto a la alteración por usuarios no autorizados, intrusos y programas maliciosos, además de a fallas accidentales. Para ello necesita un mecanismo que distinga el estado legítimo del alterado, con independencia de la voluntad de quien practicó el cambio (Kim &amp; Spafford, 1994). La formulación conserva vigencia tres décadas después, y el presente trabajo la retoma bajo condiciones tecnológicas distintas.</w:t>
      </w:r>
    </w:p>
    <w:p>
      <w:pPr>
        <w:pStyle w:val="BodyText"/>
      </w:pPr>
      <w:r>
        <w:t xml:space="preserve">Un sistema de Monitoreo de Integridad de Archivos se estructura, en consecuencia, en dos fases funcionales interdependientes. La primera fase es el establecimiento de una baseline, que consiste en calcular las huellas digitales criptográficas de un conjunto de archivos en un estado considerado legítimo y almacenarlas de forma segura. La segunda fase es la verificación continua, que se apoya en recálculos posteriores, realizados periódicamente o como reacción a eventos del sistema operativo, cuya comparación contra la baseline permite detectar alteraciones.</w:t>
      </w:r>
    </w:p>
    <w:p>
      <w:pPr>
        <w:pStyle w:val="BodyText"/>
      </w:pPr>
      <w:r>
        <w:t xml:space="preserve">La literatura sobre herramientas de monitoreo de integridad distingue dos modalidades arquitectónicas principales (Peddoju et al., 2020). La verificación por encuestamiento opera según intervalos programados, lo que introduce ventanas temporales de ceguera entre verificaciones sucesivas. La verificación reactiva basada en eventos se apoya, en cambio, en mecanismos del sistema operativo que notifican las operaciones sobre archivos a medida que ocurren, con lo cual la detección puede alcanzar latencias del orden de los milisegundos. El sistema propuesto en el presente trabajo se inscribe en esta segunda modalidad.</w:t>
      </w:r>
    </w:p>
    <w:p>
      <w:pPr>
        <w:pStyle w:val="BodyText"/>
      </w:pPr>
      <w:r>
        <w:t xml:space="preserve">Corresponde precisar, además, qué contiene una baseline y qué no. En su acepción canónica, y en la que adopta este trabajo, la baseline es una tabla de huellas digitales: asocia cada ruta con el resumen criptográfico de su contenido legítimo, y permite detectar una alteración pero no revertirla, por cuanto el resumen no contiene el contenido. La restauración de un archivo a su estado de referencia exige un artefacto distinto —una copia del contenido— con sus propios requisitos de custodia, cifrado y retención. El apartado 4.4 retoma esta distinción respecto del nivel de acción de restauración automática.</w:t>
      </w:r>
    </w:p>
    <w:bookmarkEnd w:id="38"/>
    <w:bookmarkStart w:id="39" w:name="marco-normativo-argentino-aplicable"/>
    <w:p>
      <w:pPr>
        <w:pStyle w:val="Heading2"/>
      </w:pPr>
      <w:r>
        <w:rPr>
          <w:bCs/>
          <w:b/>
        </w:rPr>
        <w:t xml:space="preserve">2.4 Marco normativo argentino aplicable</w:t>
      </w:r>
    </w:p>
    <w:p>
      <w:pPr>
        <w:pStyle w:val="FirstParagraph"/>
      </w:pPr>
      <w:r>
        <w:t xml:space="preserve">La propuesta se enmarca en un entorno normativo argentino que ha experimentado una evolución significativa en los años recientes. El vértice del ordenamiento corresponde al artículo 43 de la Constitución Nacional, que consagra la acción de hábeas data y reconoce la protección de los datos personales como derecho fundamental ligado a la autodeterminación informativa.</w:t>
      </w:r>
    </w:p>
    <w:p>
      <w:pPr>
        <w:pStyle w:val="BodyText"/>
      </w:pPr>
      <w:r>
        <w:t xml:space="preserve">La Ley 25.326 de Protección de Datos Personales constituye la columna vertebral del régimen. Su artículo 9.º establece la obligación del responsable del tratamiento de adoptar medidas técnicas y organizativas para garantizar la seguridad y confidencialidad de los datos, y en particular de evitar su adulteración. Ese artículo constituye el fundamento legal directo de los sistemas de Monitoreo de Integridad de Archivos en el ordenamiento argentino. La vinculación es explícita: el sistema propuesto implementa una medida técnica orientada a detectar adulteraciones, objetivo que la ley impone como deber del responsable del tratamiento. El texto legal se encuentra vigente con actualizaciones incorporadas hasta marzo de 2026.</w:t>
      </w:r>
    </w:p>
    <w:p>
      <w:pPr>
        <w:pStyle w:val="BodyText"/>
      </w:pPr>
      <w:r>
        <w:t xml:space="preserve">La Ley 26.388 de Delitos Informáticos tipifica penalmente el acceso ilegítimo a sistemas, el daño informático, la alteración, destrucción o inutilización de datos, y otras conductas relevantes en el dominio de aplicación del sistema (Honorable Congreso de la Nación Argentina, 2008). Los registros de auditoría que el sistema conserva, cuya especificación se detalla en el Capítulo 4, pueden aportar información útil en investigaciones ejercidas bajo este marco; su valor probatorio depende de la cadena de custodia y de la integridad del registro, propiedades que el apartado 4.11 delimita.</w:t>
      </w:r>
    </w:p>
    <w:p>
      <w:pPr>
        <w:pStyle w:val="BodyText"/>
      </w:pPr>
      <w:r>
        <w:t xml:space="preserve">La Resolución 47/2018 de la Agencia de Acceso a la Información Pública aprobó las medidas de seguridad recomendadas para el tratamiento de datos personales en medios informatizados, organizadas en cinco procesos: recolección, control de acceso, conservación, destrucción y gestión de incidentes (AAIP, 2018). La plataforma propuesta contribuye al proceso de control de acceso mediante el registro de las acciones administrativas en la tabla de auditoría descripta en el Capítulo 4, y al proceso de gestión de incidentes mediante detección temprana y notificación automatizada.</w:t>
      </w:r>
    </w:p>
    <w:p>
      <w:pPr>
        <w:pStyle w:val="BodyText"/>
      </w:pPr>
      <w:r>
        <w:t xml:space="preserve">La Resolución 126/2024 de la AAIP actualizó el régimen sancionatorio bajo la Ley 25.326, estableciendo una clasificación tripartita en leves, graves y muy graves (AAIP, 2024). Entre las infracciones leves se incorporó la omisión de informar, cuando ello fuere solicitado por la Dirección Nacional de Protección de Datos Personales, las medidas de seguridad y confidencialidad implementadas, lo que refuerza la relevancia de contar con controles técnicos auditables como los provistos por la plataforma diseñada.</w:t>
      </w:r>
    </w:p>
    <w:p>
      <w:pPr>
        <w:pStyle w:val="BodyText"/>
      </w:pPr>
      <w:r>
        <w:t xml:space="preserve">La Resolución 44/2023 de la Secretaría de Innovación Pública aprobó la Segunda Estrategia Nacional de Ciberseguridad, cuyos objetivos incluyen el fortalecimiento de las capacidades de prevención, detección y respuesta, y la protección de las infraestructuras críticas (Secretaría de Innovación Pública, 2023). La Decisión Administrativa 641/2021 de la Jefatura de Gabinete de Ministros aprobó los Requisitos Mínimos de Seguridad de la Información para organismos del Sector Público Nacional (Jefatura de Gabinete de Ministros, 2021), estableciendo un conjunto de controles técnicos que enmarcan el tipo de sistema aquí propuesto.</w:t>
      </w:r>
    </w:p>
    <w:p>
      <w:pPr>
        <w:pStyle w:val="BodyText"/>
      </w:pPr>
      <w:r>
        <w:t xml:space="preserve">Finalmente, el Decreto de Necesidad y Urgencia 941/2025, sancionado el 31 de diciembre de 2025 y publicado el 2 de enero de 2026, modificó la Ley 25.520 de Inteligencia Nacional. Mediante su artículo 23, creó el Centro Nacional de Ciberseguridad como organismo descentralizado actuante en la órbita de la Secretaría de Innovación, Ciencia y Tecnología de la Jefatura de Gabinete de Ministros (Poder Ejecutivo Nacional, 2025). El decreto constituye al Centro como autoridad nacional en materia de ciberseguridad y autoridad de aplicación de la normativa vigente. Asimismo, consuma la separación institucional entre las funciones de ciberseguridad y las de ciberinteligencia mediante la redenominación de la anterior Agencia Federal de Ciberseguridad como Agencia Federal de Ciberinteligencia, con la consiguiente adecuación de sus competencias.</w:t>
      </w:r>
    </w:p>
    <w:p>
      <w:pPr>
        <w:pStyle w:val="BodyText"/>
      </w:pPr>
      <w:r>
        <w:t xml:space="preserve">La puesta en funciones efectiva del organismo se verificó durante el primer semestre de 2026. Su primer acto regulatorio de alcance general fue la Disposición 1/2026, dictada el 11 de mayo de 2026 y publicada el 13 del mismo mes. Esta disposición aprueba un Reglamento Técnico de aplicación obligatoria para el Sector Público Nacional definido en el artículo 8.º de la Ley 24.156, en materia de políticas de contingencia, planes de contingencia y centros de procesamiento de datos alternativos (Centro Nacional de Ciberseguridad, 2026). Esta disposición resulta doblemente relevante para el presente trabajo. En el plano institucional, acredita que el Centro se encuentra operativo y ejerciendo su potestad reglamentaria, y no solamente constituido en el plano formal. En el plano técnico, la exigencia de continuidad operativa que la disposición impone a los sujetos que alcanza converge con las decisiones de resiliencia adoptadas en el diseño del sistema. Estas decisiones —cola local acotada en el agente, cascada de alternativas automáticas de notificación y cola de mensajes fallidos— se analizan en los apartados 4.3 y 4.7.</w:t>
      </w:r>
    </w:p>
    <w:p>
      <w:pPr>
        <w:pStyle w:val="BodyText"/>
      </w:pPr>
      <w:r>
        <w:t xml:space="preserve">Los instrumentos enumerados no tienen la misma naturaleza jurídica ni el mismo ámbito subjetivo de aplicación, y la Tabla 2 los diferencia para evitar que el texto atribuya al sistema un cumplimiento que no está en condiciones de acreditar. Tres precisiones se siguen de esa clasificación. La primera es que la Ley 25.326 impone obligaciones a los responsables del tratamiento de datos personales, no a los sistemas: un control técnico puede contribuir a esas obligaciones, pero su cumplimiento es organizacional. La segunda es que la Resolución 47/2018 aprueba medidas recomendadas, no obligatorias, de modo que la alineación con ella constituye una buena práctica y no un cumplimiento exigible. La tercera es que la Decisión Administrativa 641/2021 y la Disposición 1/2026 obligan únicamente a los organismos del Sector Público Nacional que cada instrumento define, y que la Resolución 44/2023 aprueba una estrategia, es decir, un documento programático que orienta la política pública sin crear por sí obligaciones para terceros. En consecuencia, cuando el presente trabajo afirma que el sistema «se alinea» con un instrumento o «contribuye» a él, la afirmación debe leerse con el alcance que la Tabla 2 consigna, y nunca como acreditación de cumplimiento integral.</w:t>
      </w:r>
    </w:p>
    <w:p>
      <w:pPr>
        <w:pStyle w:val="BodyText"/>
        <w:keepNext/>
      </w:pPr>
      <w:r>
        <w:rPr>
          <w:bCs/>
          <w:b/>
          <w:iCs/>
          <w:i/>
        </w:rPr>
        <w:t xml:space="preserve">Tabla 2.</w:t>
      </w:r>
      <w:r>
        <w:rPr>
          <w:iCs/>
          <w:i/>
        </w:rPr>
        <w:t xml:space="preserve"> Naturaleza y alcance de los instrumentos normativos invocados</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cantSplit/>
        </w:trPr>
        <w:tc>
          <w:tcPr/>
          <w:p>
            <w:pPr>
              <w:pStyle w:val="Compact"/>
              <w:jc w:val="left"/>
            </w:pPr>
            <w:r>
              <w:t xml:space="preserve">Instrumento</w:t>
            </w:r>
          </w:p>
        </w:tc>
        <w:tc>
          <w:tcPr/>
          <w:p>
            <w:pPr>
              <w:pStyle w:val="Compact"/>
              <w:jc w:val="left"/>
            </w:pPr>
            <w:r>
              <w:t xml:space="preserve">Naturaleza</w:t>
            </w:r>
          </w:p>
        </w:tc>
        <w:tc>
          <w:tcPr/>
          <w:p>
            <w:pPr>
              <w:pStyle w:val="Compact"/>
              <w:jc w:val="left"/>
            </w:pPr>
            <w:r>
              <w:t xml:space="preserve">Sujetos alcanzados</w:t>
            </w:r>
          </w:p>
        </w:tc>
        <w:tc>
          <w:tcPr/>
          <w:p>
            <w:pPr>
              <w:pStyle w:val="Compact"/>
              <w:jc w:val="left"/>
            </w:pPr>
            <w:r>
              <w:t xml:space="preserve">Relación con el sistema</w:t>
            </w:r>
          </w:p>
        </w:tc>
      </w:tr>
      <w:tr>
        <w:trPr>
          <w:cantSplit/>
        </w:trPr>
        <w:tc>
          <w:tcPr/>
          <w:p>
            <w:pPr>
              <w:pStyle w:val="Compact"/>
              <w:jc w:val="left"/>
            </w:pPr>
            <w:r>
              <w:t xml:space="preserve">Constitución Nacional, art. 43</w:t>
            </w:r>
          </w:p>
        </w:tc>
        <w:tc>
          <w:tcPr/>
          <w:p>
            <w:pPr>
              <w:pStyle w:val="Compact"/>
              <w:jc w:val="left"/>
            </w:pPr>
            <w:r>
              <w:t xml:space="preserve">Norma constitucional</w:t>
            </w:r>
          </w:p>
        </w:tc>
        <w:tc>
          <w:tcPr/>
          <w:p>
            <w:pPr>
              <w:pStyle w:val="Compact"/>
              <w:jc w:val="left"/>
            </w:pPr>
            <w:r>
              <w:t xml:space="preserve">Toda persona; registros públicos y privados</w:t>
            </w:r>
          </w:p>
        </w:tc>
        <w:tc>
          <w:tcPr/>
          <w:p>
            <w:pPr>
              <w:pStyle w:val="Compact"/>
              <w:jc w:val="left"/>
            </w:pPr>
            <w:r>
              <w:t xml:space="preserve">Fundamento del régimen de protección de datos; sin relación operativa directa</w:t>
            </w:r>
          </w:p>
        </w:tc>
      </w:tr>
      <w:tr>
        <w:trPr>
          <w:cantSplit/>
        </w:trPr>
        <w:tc>
          <w:tcPr/>
          <w:p>
            <w:pPr>
              <w:pStyle w:val="Compact"/>
              <w:jc w:val="left"/>
            </w:pPr>
            <w:r>
              <w:t xml:space="preserve">Ley 25.326</w:t>
            </w:r>
          </w:p>
        </w:tc>
        <w:tc>
          <w:tcPr/>
          <w:p>
            <w:pPr>
              <w:pStyle w:val="Compact"/>
              <w:jc w:val="left"/>
            </w:pPr>
            <w:r>
              <w:t xml:space="preserve">Obligación legal</w:t>
            </w:r>
          </w:p>
        </w:tc>
        <w:tc>
          <w:tcPr/>
          <w:p>
            <w:pPr>
              <w:pStyle w:val="Compact"/>
              <w:jc w:val="left"/>
            </w:pPr>
            <w:r>
              <w:t xml:space="preserve">Responsables y usuarios de bases de datos personales</w:t>
            </w:r>
          </w:p>
        </w:tc>
        <w:tc>
          <w:tcPr/>
          <w:p>
            <w:pPr>
              <w:pStyle w:val="Compact"/>
              <w:jc w:val="left"/>
            </w:pPr>
            <w:r>
              <w:t xml:space="preserve">Contribuye a la medida de seguridad del art. 9 (detección de adulteraciones); condiciona la retención de registros con datos de operadores (art. 4)</w:t>
            </w:r>
          </w:p>
        </w:tc>
      </w:tr>
      <w:tr>
        <w:trPr>
          <w:cantSplit/>
        </w:trPr>
        <w:tc>
          <w:tcPr/>
          <w:p>
            <w:pPr>
              <w:pStyle w:val="Compact"/>
              <w:jc w:val="left"/>
            </w:pPr>
            <w:r>
              <w:t xml:space="preserve">Ley 26.388</w:t>
            </w:r>
          </w:p>
        </w:tc>
        <w:tc>
          <w:tcPr/>
          <w:p>
            <w:pPr>
              <w:pStyle w:val="Compact"/>
              <w:jc w:val="left"/>
            </w:pPr>
            <w:r>
              <w:t xml:space="preserve">Tipificación penal</w:t>
            </w:r>
          </w:p>
        </w:tc>
        <w:tc>
          <w:tcPr/>
          <w:p>
            <w:pPr>
              <w:pStyle w:val="Compact"/>
              <w:jc w:val="left"/>
            </w:pPr>
            <w:r>
              <w:t xml:space="preserve">Personas que realicen las conductas tipificadas</w:t>
            </w:r>
          </w:p>
        </w:tc>
        <w:tc>
          <w:tcPr/>
          <w:p>
            <w:pPr>
              <w:pStyle w:val="Compact"/>
              <w:jc w:val="left"/>
            </w:pPr>
            <w:r>
              <w:t xml:space="preserve">Los registros del sistema pueden aportar información en investigaciones; su valor probatorio no está acreditado</w:t>
            </w:r>
          </w:p>
        </w:tc>
      </w:tr>
      <w:tr>
        <w:trPr>
          <w:cantSplit/>
        </w:trPr>
        <w:tc>
          <w:tcPr/>
          <w:p>
            <w:pPr>
              <w:pStyle w:val="Compact"/>
              <w:jc w:val="left"/>
            </w:pPr>
            <w:r>
              <w:t xml:space="preserve">Resolución AAIP 47/2018</w:t>
            </w:r>
          </w:p>
        </w:tc>
        <w:tc>
          <w:tcPr/>
          <w:p>
            <w:pPr>
              <w:pStyle w:val="Compact"/>
              <w:jc w:val="left"/>
            </w:pPr>
            <w:r>
              <w:t xml:space="preserve">Recomendación de la autoridad de aplicación</w:t>
            </w:r>
          </w:p>
        </w:tc>
        <w:tc>
          <w:tcPr/>
          <w:p>
            <w:pPr>
              <w:pStyle w:val="Compact"/>
              <w:jc w:val="left"/>
            </w:pPr>
            <w:r>
              <w:t xml:space="preserve">Responsables de tratamiento (carácter orientativo)</w:t>
            </w:r>
          </w:p>
        </w:tc>
        <w:tc>
          <w:tcPr/>
          <w:p>
            <w:pPr>
              <w:pStyle w:val="Compact"/>
              <w:jc w:val="left"/>
            </w:pPr>
            <w:r>
              <w:t xml:space="preserve">Contribuye a los procesos de control de acceso y gestión de incidentes</w:t>
            </w:r>
          </w:p>
        </w:tc>
      </w:tr>
      <w:tr>
        <w:trPr>
          <w:cantSplit/>
        </w:trPr>
        <w:tc>
          <w:tcPr/>
          <w:p>
            <w:pPr>
              <w:pStyle w:val="Compact"/>
              <w:jc w:val="left"/>
            </w:pPr>
            <w:r>
              <w:t xml:space="preserve">Resolución AAIP 126/2024</w:t>
            </w:r>
          </w:p>
        </w:tc>
        <w:tc>
          <w:tcPr/>
          <w:p>
            <w:pPr>
              <w:pStyle w:val="Compact"/>
              <w:jc w:val="left"/>
            </w:pPr>
            <w:r>
              <w:t xml:space="preserve">Régimen sancionatorio (reglamentario)</w:t>
            </w:r>
          </w:p>
        </w:tc>
        <w:tc>
          <w:tcPr/>
          <w:p>
            <w:pPr>
              <w:pStyle w:val="Compact"/>
              <w:jc w:val="left"/>
            </w:pPr>
            <w:r>
              <w:t xml:space="preserve">Responsables de tratamiento</w:t>
            </w:r>
          </w:p>
        </w:tc>
        <w:tc>
          <w:tcPr/>
          <w:p>
            <w:pPr>
              <w:pStyle w:val="Compact"/>
              <w:jc w:val="left"/>
            </w:pPr>
            <w:r>
              <w:t xml:space="preserve">Relevancia indirecta: disponer de documentación técnica auditable facilita informar medidas de seguridad</w:t>
            </w:r>
          </w:p>
        </w:tc>
      </w:tr>
      <w:tr>
        <w:trPr>
          <w:cantSplit/>
        </w:trPr>
        <w:tc>
          <w:tcPr/>
          <w:p>
            <w:pPr>
              <w:pStyle w:val="Compact"/>
              <w:jc w:val="left"/>
            </w:pPr>
            <w:r>
              <w:t xml:space="preserve">Resolución 44/2023</w:t>
            </w:r>
          </w:p>
        </w:tc>
        <w:tc>
          <w:tcPr/>
          <w:p>
            <w:pPr>
              <w:pStyle w:val="Compact"/>
              <w:jc w:val="left"/>
            </w:pPr>
            <w:r>
              <w:t xml:space="preserve">Estrategia nacional (documento programático)</w:t>
            </w:r>
          </w:p>
        </w:tc>
        <w:tc>
          <w:tcPr/>
          <w:p>
            <w:pPr>
              <w:pStyle w:val="Compact"/>
              <w:jc w:val="left"/>
            </w:pPr>
            <w:r>
              <w:t xml:space="preserve">Administración pública; orientación general</w:t>
            </w:r>
          </w:p>
        </w:tc>
        <w:tc>
          <w:tcPr/>
          <w:p>
            <w:pPr>
              <w:pStyle w:val="Compact"/>
              <w:jc w:val="left"/>
            </w:pPr>
            <w:r>
              <w:t xml:space="preserve">Alineación con objetivos de detección y respuesta; no crea obligaciones para el sistema</w:t>
            </w:r>
          </w:p>
        </w:tc>
      </w:tr>
      <w:tr>
        <w:trPr>
          <w:cantSplit/>
        </w:trPr>
        <w:tc>
          <w:tcPr/>
          <w:p>
            <w:pPr>
              <w:pStyle w:val="Compact"/>
              <w:jc w:val="left"/>
            </w:pPr>
            <w:r>
              <w:t xml:space="preserve">Decisión Administrativa 641/2021</w:t>
            </w:r>
          </w:p>
        </w:tc>
        <w:tc>
          <w:tcPr/>
          <w:p>
            <w:pPr>
              <w:pStyle w:val="Compact"/>
              <w:jc w:val="left"/>
            </w:pPr>
            <w:r>
              <w:t xml:space="preserve">Requisitos obligatorios</w:t>
            </w:r>
          </w:p>
        </w:tc>
        <w:tc>
          <w:tcPr/>
          <w:p>
            <w:pPr>
              <w:pStyle w:val="Compact"/>
              <w:jc w:val="left"/>
            </w:pPr>
            <w:r>
              <w:t xml:space="preserve">Organismos del Sector Público Nacional</w:t>
            </w:r>
          </w:p>
        </w:tc>
        <w:tc>
          <w:tcPr/>
          <w:p>
            <w:pPr>
              <w:pStyle w:val="Compact"/>
              <w:jc w:val="left"/>
            </w:pPr>
            <w:r>
              <w:t xml:space="preserve">Enmarca controles técnicos; aplicable solo a esos sujetos</w:t>
            </w:r>
          </w:p>
        </w:tc>
      </w:tr>
      <w:tr>
        <w:trPr>
          <w:cantSplit/>
        </w:trPr>
        <w:tc>
          <w:tcPr/>
          <w:p>
            <w:pPr>
              <w:pStyle w:val="Compact"/>
              <w:jc w:val="left"/>
            </w:pPr>
            <w:r>
              <w:t xml:space="preserve">DNU 941/2025</w:t>
            </w:r>
          </w:p>
        </w:tc>
        <w:tc>
          <w:tcPr/>
          <w:p>
            <w:pPr>
              <w:pStyle w:val="Compact"/>
              <w:jc w:val="left"/>
            </w:pPr>
            <w:r>
              <w:t xml:space="preserve">Norma institucional</w:t>
            </w:r>
          </w:p>
        </w:tc>
        <w:tc>
          <w:tcPr/>
          <w:p>
            <w:pPr>
              <w:pStyle w:val="Compact"/>
              <w:jc w:val="left"/>
            </w:pPr>
            <w:r>
              <w:t xml:space="preserve">Administración pública nacional</w:t>
            </w:r>
          </w:p>
        </w:tc>
        <w:tc>
          <w:tcPr/>
          <w:p>
            <w:pPr>
              <w:pStyle w:val="Compact"/>
              <w:jc w:val="left"/>
            </w:pPr>
            <w:r>
              <w:t xml:space="preserve">Crea la autoridad nacional; sin exigencia técnica directa sobre el sistema</w:t>
            </w:r>
          </w:p>
        </w:tc>
      </w:tr>
      <w:tr>
        <w:trPr>
          <w:cantSplit/>
        </w:trPr>
        <w:tc>
          <w:tcPr/>
          <w:p>
            <w:pPr>
              <w:pStyle w:val="Compact"/>
              <w:jc w:val="left"/>
            </w:pPr>
            <w:r>
              <w:t xml:space="preserve">Disposición CNC 1/2026</w:t>
            </w:r>
          </w:p>
        </w:tc>
        <w:tc>
          <w:tcPr/>
          <w:p>
            <w:pPr>
              <w:pStyle w:val="Compact"/>
              <w:jc w:val="left"/>
            </w:pPr>
            <w:r>
              <w:t xml:space="preserve">Reglamento técnico obligatorio</w:t>
            </w:r>
          </w:p>
        </w:tc>
        <w:tc>
          <w:tcPr/>
          <w:p>
            <w:pPr>
              <w:pStyle w:val="Compact"/>
              <w:jc w:val="left"/>
            </w:pPr>
            <w:r>
              <w:t xml:space="preserve">Sector Público Nacional (art. 8, Ley 24.156)</w:t>
            </w:r>
          </w:p>
        </w:tc>
        <w:tc>
          <w:tcPr/>
          <w:p>
            <w:pPr>
              <w:pStyle w:val="Compact"/>
              <w:jc w:val="left"/>
            </w:pPr>
            <w:r>
              <w:t xml:space="preserve">Converge con las decisiones de resiliencia; aplicable solo a esos sujetos</w:t>
            </w:r>
          </w:p>
        </w:tc>
      </w:tr>
      <w:tr>
        <w:trPr>
          <w:cantSplit/>
        </w:trPr>
        <w:tc>
          <w:tcPr/>
          <w:p>
            <w:pPr>
              <w:pStyle w:val="Compact"/>
              <w:jc w:val="left"/>
            </w:pPr>
            <w:r>
              <w:t xml:space="preserve">Decreto 92/2026</w:t>
            </w:r>
          </w:p>
        </w:tc>
        <w:tc>
          <w:tcPr/>
          <w:p>
            <w:pPr>
              <w:pStyle w:val="Compact"/>
              <w:jc w:val="left"/>
            </w:pPr>
            <w:r>
              <w:t xml:space="preserve">Acto de designación</w:t>
            </w:r>
          </w:p>
        </w:tc>
        <w:tc>
          <w:tcPr/>
          <w:p>
            <w:pPr>
              <w:pStyle w:val="Compact"/>
              <w:jc w:val="left"/>
            </w:pPr>
            <w:r>
              <w:t xml:space="preserve">—</w:t>
            </w:r>
          </w:p>
        </w:tc>
        <w:tc>
          <w:tcPr/>
          <w:p>
            <w:pPr>
              <w:pStyle w:val="Compact"/>
              <w:jc w:val="left"/>
            </w:pPr>
            <w:r>
              <w:t xml:space="preserve">Acredita la puesta en funciones del CNC</w:t>
            </w:r>
          </w:p>
        </w:tc>
      </w:tr>
    </w:tbl>
    <w:p>
      <w:pPr>
        <w:pStyle w:val="BodyText"/>
      </w:pPr>
      <w:r>
        <w:rPr>
          <w:bCs/>
          <w:b/>
          <w:iCs/>
          <w:i/>
        </w:rPr>
        <w:t xml:space="preserve">Nota.</w:t>
      </w:r>
      <w:r>
        <w:rPr>
          <w:iCs/>
          <w:i/>
        </w:rPr>
        <w:t xml:space="preserve"> Elaboración propia a partir de los textos normativos citados en el apartado 11.1.</w:t>
      </w:r>
    </w:p>
    <w:bookmarkEnd w:id="39"/>
    <w:bookmarkStart w:id="40" w:name="estado-del-arte-de-soluciones-fim"/>
    <w:p>
      <w:pPr>
        <w:pStyle w:val="Heading2"/>
      </w:pPr>
      <w:r>
        <w:rPr>
          <w:bCs/>
          <w:b/>
        </w:rPr>
        <w:t xml:space="preserve">2.5 Estado del arte de soluciones FIM</w:t>
      </w:r>
    </w:p>
    <w:p>
      <w:pPr>
        <w:pStyle w:val="FirstParagraph"/>
      </w:pPr>
      <w:r>
        <w:t>El panorama contemporáneo de las soluciones de Monitoreo de Integridad de Archivos puede caracterizarse mediante cuatro categorías conceptualmente distintas. La primera categoría corresponde a las herramientas de código abierto clásicas, como Tripwire y AIDE, que operan mediante baseline local y encuestamiento periódico, y cuyo diseño responde al modelo que el trabajo fundacional del campo estableció (Kim &amp; Spafford, 1994). La segunda corresponde a las suites integradas de detección de intrusiones a nivel de anfitrión, como OSSEC y su derivado Wazuh. Estas suites ofrecen integración con otros controles de seguridad a cambio de un despliegue de mayor alcance —agente, gestor e indexador— (Wazuh Inc., s. f.). El presente trabajo, sin embargo, no midió esa diferencia de complejidad. La tercera corresponde a las soluciones comerciales empresariales, como Tripwire Enterprise o CrowdStrike Falcon, con funcionalidad madura pero fuera del alcance económico típico de organizaciones medianas. La revisión de Peddoju y colaboradores sobre el estado de las herramientas de monitoreo de integridad caracteriza las limitaciones que las tres categorías comparten y que el presente trabajo procura atender (Peddoju et al., 2020). La cuarta categoría, de aparición reciente, no constituye propiamente un FIM, pero se menciona frecuentemente en contextos adyacentes. Se trata de las herramientas de seguridad en tiempo de ejecución basadas en eBPF, como Falco y Tetragon, que operan sobre el flujo de llamadas al sistema del núcleo. Su comparación con la presente propuesta se desarrolla en el apartado 6.7.</w:t>
      </w:r>
    </w:p>
    <w:p>
      <w:pPr>
        <w:pStyle w:val="BodyText"/>
      </w:pPr>
      <w:r>
        <w:t>Conviene precisar, con apoyo en la documentación de cada herramienta, qué capacidades comparte la propuesta con las alternativas existentes y cuáles la diferencian, por cuanto una comparación imprecisa conduciría a reclamar exclusividades que no existen. AIDE construye una base de datos de atributos y resúmenes de los archivos en una ejecución inicial, y la contrasta en ejecuciones posteriores, típicamente programadas mediante cron o temporizadores de systemd. Esta base de datos reside en el propio anfitrión, y la propia documentación recomienda custodiarla en un soporte de solo lectura (AIDE Project, s. f.). Tripwire, en su formulación original, respondió al mismo modelo de encuestamiento con base local, protegida mediante firma (Kim &amp; Spafford, 1994). Wazuh, en cambio, no se limita al encuestamiento. Su módulo de integridad admite un modo de monitoreo en tiempo real basado en inotify, y un modo de atribución del usuario y proceso causante apoyado en el subsistema de auditoría del núcleo o en eBPF. Admite, asimismo, la opción de reportar las diferencias de contenido de los archivos modificados. Además, cuenta con una arquitectura de agente y gestor en la cual el gestor centraliza la base de datos de integridad y las alertas, con integraciones hacia canales externos (Wazuh Inc., s. f.). En consecuencia, ni la detección reactiva, ni la separación de la baseline respecto del anfitrión, ni la integración con canales de notificación son exclusivas de la presente propuesta. Lo que la documentación consultada de esas herramientas no describe, y el presente trabajo sí implementa, es una combinación específica de elementos. Se trata de un motor de decisión local con cuatro niveles de acción, un flujo formal de aprobación humana con resolución de concurrencia y cadena de eventos superados, y una baseline local cifrada con clave derivada. La afirmación de que esa combinación no existe en las alternativas se limita a lo que su documentación oficial expone y no proviene de una evaluación funcional de cada producto.</w:t>
      </w:r>
    </w:p>
    <w:p>
      <w:pPr>
        <w:pStyle w:val="BodyText"/>
      </w:pPr>
      <w:r>
        <w:t xml:space="preserve">La propuesta del presente trabajo toma la accesibilidad del software libre clásico, toma la filosofía de integración modular de las suites de detección de intrusiones, y aspira, mediante la orquestación con n8n y la integración con canales operativos, a una parte de la sofisticación funcional propia de las soluciones comerciales. Las afirmaciones de menor costo o menor complejidad respecto de esas alternativas constituyen objetivos de diseño, no resultados: el trabajo no practica una comparación de costos de licenciamiento ni de esfuerzo de despliegue.</w:t>
      </w:r>
    </w:p>
    <w:p>
      <w:pPr>
        <w:pStyle w:val="BodyText"/>
      </w:pPr>
      <w:r>
        <w:t xml:space="preserve">El monitoreo de integridad de archivos no constituye únicamente una práctica recomendada sino un control exigido por los principales marcos normativos internacionales. El catálogo de controles de seguridad del NIST prescribe la verificación de integridad de software, firmware e información mediante su control SI-7, que exige el empleo de herramientas de verificación capaces de detectar cambios no autorizados (Joint Task Force, 2020). El estándar de la industria de tarjetas de pago impone, por su parte, un requisito específico de detección de modificaciones sobre archivos críticos, con una frecuencia mínima de verificación establecida por la norma (PCI Security Standards Council, 2022). Esa prescripción de frecuencia resulta particularmente pertinente para el presente trabajo, por cuanto explicita que el intervalo entre verificaciones constituye una variable de control y no un detalle de implementación. La familia ISO/IEC 27000 recoge la exigencia en sus controles de registro de actividades y de gestión de vulnerabilidades técnicas (International Organization for Standardization, 2022). Ninguno de esos marcos es de aplicación obligatoria en el ámbito de este trabajo; se citan como referencia del carácter reconocido del control.</w:t>
      </w:r>
    </w:p>
    <w:bookmarkEnd w:id="40"/>
    <w:bookmarkStart w:id="41" w:name="X2eb71bd69868937c67580693b2707c88a685713"/>
    <w:p>
      <w:pPr>
        <w:pStyle w:val="Heading2"/>
      </w:pPr>
      <w:r>
        <w:rPr>
          <w:bCs/>
          <w:b/>
        </w:rPr>
        <w:t xml:space="preserve">2.6 Subsistemas del núcleo Linux para detección de eventos de archivo</w:t>
      </w:r>
    </w:p>
    <w:p>
      <w:pPr>
        <w:pStyle w:val="FirstParagraph"/>
      </w:pPr>
      <w:r>
        <w:t>El núcleo Linux provee distintos subsistemas para notificar a los procesos de usuario sobre operaciones realizadas sobre archivos. El más antiguo y conocido es inotify, incorporado en 2005, que opera mediante un descriptor de archivo sobre el cual el proceso de usuario recibe eventos asíncronos (Linux man-pages project, 2026c). El subsistema inotify presenta, sin embargo, limitaciones conocidas. No opera de manera recursiva de forma nativa, lo que obliga a registrar observadores por cada subdirectorio, y el parámetro del kernel fs.inotify.max_user_watches limita el número de observadores simultáneos por usuario. El parámetro fs.inotify.max_queued_events, por su parte, limita el tamaño de la cola interna, cuyo desbordamiento emite el evento IN_Q_OVERFLOW con pérdida silenciosa de eventos posteriores. Además, no opera sobre sistemas de archivos remotos montados mediante NFS o CIFS, y no detecta cambios realizados mediante manipulación directa del dispositivo de bloque subyacente.</w:t>
      </w:r>
    </w:p>
    <w:p>
      <w:pPr>
        <w:pStyle w:val="BodyText"/>
      </w:pPr>
      <w:r>
        <w:t xml:space="preserve">El subsistema fanotify, incorporado en 2010 y sustancialmente mejorado en la versión 5.1 del núcleo, se diseñó específicamente para sistemas de seguridad. A diferencia de inotify, fanotify puede operar en modo notificación pura o en modo con contenido previo, en el cual el núcleo suspende la ejecución de la llamada al sistema hasta que el proceso de usuario responde permitiendo o rechazando la operación. Esta última modalidad opera sobre eventos de permiso de acceso, apertura y ejecución, y habilita la interposición sobre esas operaciones a diferencia del paradigma reactivo tradicional, que solo detecta la alteración una vez consumada. El presente trabajo no la emplea: el modo de reporte adoptado, descripto más adelante en este mismo apartado, es incompatible con los eventos de permiso, y el sistema opera en consecuencia bajo el paradigma de notificación pura. Adicionalmente, fanotify identifica el proceso causante del evento dentro del propio mensaje. Conviene precisar el alcance de esa información, por cuanto condiciona el valor forense del registro. La estructura de metadatos que el núcleo entrega comprende la máscara de eventos, el descriptor o el identificador del objeto afectado y el identificador del proceso causante, pero no incluye el identificador de usuario ni la ruta del ejecutable. Ambos datos se resuelven con posterioridad, en espacio de usuario, mediante consulta al sistema de archivos virtual /proc: el identificador de usuario del archivo de estado del proceso y la ruta del ejecutable del enlace simbólico correspondiente. Esta resolución diferida está sujeta a una condición de carrera inherente al mecanismo. Si el proceso causante finaliza antes de que el agente practique la consulta —situación frecuente en procesos de vida breve, que son precisamente los característicos de la actividad adversaria— la entrada desaparece de /proc y la atribución no puede completarse. El agente registra en tal caso la ausencia del dato y no lo sustituye por un valor por defecto, decisión deliberada por cuanto un identificador de usuario supuesto constituiría una atribución falsa sobre el sujeto más privilegiado del anfitrión. La reutilización de identificadores de proceso por parte del núcleo agrega, adicionalmente, la posibilidad de una atribución errónea. El núcleo ofrece desde su versión 5.15 un modo de reporte que entrega un descriptor de proceso estable e inmune a esa reutilización (Linux man-pages project, 2026a), cuya adopción se formula como trabajo futuro en el apartado 8.10. La atribución que el subsistema habilita es, en consecuencia, de mejor esfuerzo, y no sustituye la correlación con un subsistema de auditoría como auditd, que registra el identificador de sesión de inicio y los argumentos de la llamada al sistema con garantías que fanotify no ofrece. El subsistema soporta el monitoreo de sistemas de archivos completos mediante una única llamada con la marca FAN_MARK_FILESYSTEM, eliminando así la condición de carrera propia de inotify al registrar observadores sobre subdirectorios creados dinámicamente.</w:t>
      </w:r>
    </w:p>
    <w:p>
      <w:pPr>
        <w:pStyle w:val="BodyText"/>
      </w:pPr>
      <w:r>
        <w:t xml:space="preserve">La contrapartida de fanotify es la necesidad de capacidades privilegiadas del núcleo. En entornos contenedorizados esta exigencia compromete el aislamiento propio del contenedor, lo cual motiva la decisión arquitectónica de desplegar el agente como servicio nativo del anfitrión monitoreado, detallada en el Capítulo 4.</w:t>
      </w:r>
    </w:p>
    <w:p>
      <w:pPr>
        <w:pStyle w:val="BodyText"/>
      </w:pPr>
      <w:r>
        <w:t xml:space="preserve">El presente trabajo adopta fanotify como subsistema primario de detección. La selección del mecanismo de enlace entre el subsistema y el proceso de usuario escrito en Python mereció una evaluación específica cuyo resultado condicionó el diseño del agente. Se examinaron dos envoltorios de terceros. El primero, python-fanotify, se descartó por encontrarse su repositorio oficialmente archivado y sin mantenimiento. El segundo, pyfanotify en su versión 0.3.0, presentaba a primera vista las condiciones adecuadas: licencia permisiva, implementación nativa en lenguaje C, mantenimiento activo y documentación vigente. Sin embargo, su evaluación funcional reveló dos incompatibilidades que resultaron determinantes.</w:t>
      </w:r>
    </w:p>
    <w:p>
      <w:pPr>
        <w:pStyle w:val="BodyText"/>
      </w:pPr>
      <w:r>
        <w:t xml:space="preserve">La primera incompatibilidad es de superficie de interfaz. La biblioteca expone su funcionalidad a través de una clase que gestiona internamente un proceso auxiliar y comunica los eventos por medio de un socket, en lugar de exponer las primitivas del subsistema a nivel de módulo. Ese modelo resulta incompatible con la arquitectura de lectura bloqueante sobre descriptor de archivo que requiere el agente, que consume los eventos desde un hilo dedicado y los entrega al bucle asíncrono principal.</w:t>
      </w:r>
    </w:p>
    <w:p>
      <w:pPr>
        <w:pStyle w:val="BodyText"/>
      </w:pPr>
      <w:r>
        <w:t xml:space="preserve">La segunda incompatibilidad, de mayor alcance conceptual, se refiere al modo de reporte. En el modo clásico, en el cual el núcleo entrega un descriptor de archivo por cada evento, el subsistema no admite los eventos de entrada de directorio correspondientes a la creación, el borrado y el movimiento de archivos. Esos eventos exigen un grupo inicializado con reporte por identificador de archivo. La llamada fanotify_mark retorna EINVAL cuando el grupo no lo tiene, con independencia de que la marca se establezca sobre un directorio, un punto de montaje o un sistema de archivos completo (Linux man-pages project, 2026b). Esta restricción está documentada en las páginas de manual del subsistema y es constitutiva del modo, sin rodeo por configuración. Dado que un sistema de Monitoreo de Integridad de Archivos debe necesariamente detectar creaciones y borrados, y no solamente modificaciones de contenido, la limitación resultaba incompatible con el objeto del trabajo.</w:t>
      </w:r>
    </w:p>
    <w:p>
      <w:pPr>
        <w:pStyle w:val="BodyText"/>
      </w:pPr>
      <w:r>
        <w:t xml:space="preserve">La resolución adoptada consiste en emplear el modo de reporte de identificador de archivo, disponible desde la versión 5.1 del núcleo, que sí entrega los eventos de entrada de directorio, incluso sobre marcas de sistema de archivos completo (Linux man-pages project, 2026a). Este modo presenta además una ventaja específica para el dominio forense cuando el grupo se inicializa con la bandera de reporte del directorio padre y del nombre de la entrada, disponible desde la versión 5.9. Ante el borrado de un archivo, el núcleo reporta el identificador persistente del directorio padre junto con el nombre de la entrada. Esto permite reconstruir la ruta de un objeto que ya no existe. El agente inicializa su grupo con esta bandera y marca el sistema de archivos completo, de modo que la versión mínima del núcleo requerida por el sistema es la 5.9, conforme se consigna en el apartado 1.7. La reconstrucción resulta imposible en el modo clásico, en el cual solo se dispone de un descriptor del objeto ya eliminado. La resolución del identificador se practica mediante la llamada al sistema open_by_handle_at, cuyo uso exige la capacidad de núcleo CAP_DAC_READ_SEARCH adicionalmente a la capacidad CAP_SYS_ADMIN que fanotify requiere en todos sus modos.</w:t>
      </w:r>
    </w:p>
    <w:p>
      <w:pPr>
        <w:pStyle w:val="BodyText"/>
      </w:pPr>
      <w:r>
        <w:t xml:space="preserve">En consecuencia, el agente implementa un enlace propio a fanotify mediante llamadas al sistema crudas y la interfaz de funciones foráneas de la biblioteca estándar de Python. El apartado 4.3 documenta esta aplicación de una capacidad del núcleo; no se reclama como descubrimiento del modo de reporte. Las escrituras realizadas mediante un mapeo de memoria compartido, msync y munmap no producen por sí mismas una notificación de modificación. Esto plantea un riesgo para un diseño que reacciona al cierre de descriptores, en especial si la huella se calcula antes de una escritura posterior sobre el mapeo. Sin embargo, el ensayo del apartado 5.9 detectó las diez repeticiones incluso cuando el descriptor se cerró antes de escribir. Por ello se retira la afirmación anterior de evasión determinística: el mecanismo constituye una limitación potencial dependiente de la temporización, no una evasión demostrada por los datos disponibles.</w:t>
      </w:r>
    </w:p>
    <w:bookmarkEnd w:id="41"/>
    <w:bookmarkStart w:id="42" w:name="paradigma-soar-y-orquestación-con-n8n"/>
    <w:p>
      <w:pPr>
        <w:pStyle w:val="Heading2"/>
      </w:pPr>
      <w:r>
        <w:rPr>
          <w:bCs/>
          <w:b/>
        </w:rPr>
        <w:t xml:space="preserve">2.7 Paradigma SOAR y orquestación con n8n</w:t>
      </w:r>
    </w:p>
    <w:p>
      <w:pPr>
        <w:pStyle w:val="FirstParagraph"/>
      </w:pPr>
      <w:r>
        <w:t xml:space="preserve">El paradigma Security Orchestration, Automation and Response, conocido por el acrónimo SOAR, emergió como respuesta sistemática a la saturación del personal humano ante el volumen de alertas de seguridad. Una plataforma SOAR conjuga tres dimensiones complementarias: la orquestación de herramientas heterogéneas, la automatización de tareas repetitivas y la gestión estructurada de la respuesta mediante flujos formalizados denominados playbooks. La publicación especial SP 800-61 del NIST estableció un marco metodológico para el manejo de incidentes que constituye la referencia conceptual de los playbooks modernos. Su revisión 2 (Cichonski et al., 2012) organizó el ciclo de vida en cuatro fases —preparación; detección y análisis; contención, erradicación y recuperación; actividad posterior al incidente— y sobre esa estructura se construyó la lista de verificación de tareas de triage que el apartado 3.6 documenta. El 3 de abril de 2025 el NIST retiró la revisión 2 y la sustituyó íntegramente por la revisión 3 (Nelson et al., 2025), que abandona el modelo de fases y reorganiza las recomendaciones conforme a las funciones, categorías y subcategorías del Cybersecurity Framework 2.0. El presente trabajo conserva la lista construida sobre la revisión 2, con el fin de mantener su trazabilidad; en consecuencia, la numeración de secciones que la Tabla 14 consigna solo tiene sentido respecto de ese texto. Se declara esta situación. La correspondencia de cada tarea con las categorías de la revisión 3 se formula como corrección pendiente en el apartado 8.1, sin sustituir la referencia de origen.</w:t>
      </w:r>
    </w:p>
    <w:p>
      <w:pPr>
        <w:pStyle w:val="BodyText"/>
      </w:pPr>
      <w:r>
        <w:t>La plataforma n8n (n8n, s. f.-a) es un motor de automatización de flujos de trabajo publicado bajo licencia de uso sostenible, categoría fair-code no equivalente a software libre puro, cuya arquitectura se organiza en torno al concepto de flujo como grafo dirigido de nodos que representan servicios e integraciones. En el diseño del presente trabajo, n8n se emplea de manera acotada como enrutador de notificaciones externas: recibe webhooks desde el backend y los reencamina hacia canales heterogéneos como correo electrónico o plataformas de mensajería corporativa. Esta delimitación responde a una decisión arquitectónica consciente: n8n no asume el rol de coordinador central del playbook sino el de adaptador flexible de notificaciones, lo que permite aprovechar su ecosistema de integraciones sin introducir una dependencia crítica en el camino principal de procesamiento. La política de alternativas automáticas, detallada en el apartado 4.7, garantiza además que la indisponibilidad de n8n no comprometa la continuidad del servicio de alertado.</w:t>
      </w:r>
    </w:p>
    <w:bookmarkEnd w:id="42"/>
    <w:bookmarkStart w:id="43" w:name="X7f0034afcefcc51c52920ac349c5b6712889ed1"/>
    <w:p>
      <w:pPr>
        <w:pStyle w:val="Heading2"/>
      </w:pPr>
      <w:r>
        <w:rPr>
          <w:bCs/>
          <w:b/>
        </w:rPr>
        <w:t xml:space="preserve">2.8 Stack backend: FastAPI, SQLModel y PostgreSQL</w:t>
      </w:r>
    </w:p>
    <w:p>
      <w:pPr>
        <w:pStyle w:val="FirstParagraph"/>
      </w:pPr>
      <w:r>
        <w:t>FastAPI (FastAPI, s. f.) es un framework web moderno para el lenguaje Python cuya propuesta de valor se centra en tres aspectos: alto rendimiento mediante operación asíncrona sobre el estándar ASGI, generación automática de documentación conforme a la especificación OpenAPI, y validación automática de datos mediante el paquete Pydantic. SQLModel, desarrollado por el mismo autor, unifica en un modelo único las capacidades de un ORM construido sobre SQLAlchemy y las de un sistema de validación basado en Pydantic. La unificación simplifica el diseño al evitar la duplicación habitual entre modelos de persistencia y modelos de API.</w:t>
      </w:r>
    </w:p>
    <w:p>
      <w:pPr>
        <w:pStyle w:val="BodyText"/>
      </w:pPr>
      <w:r>
        <w:t>PostgreSQL en su versión 18 (PostgreSQL Global Development Group, s. f.) asume el rol de repositorio centralizado del estado autoritativo del sistema: metadatos de la baseline, eventos históricos, reglas de monitoreo, alertas, acciones administrativas, credenciales de operadores, tabla de auditoría no sujeta a rotación, y registro de certificados revocados. El controlador adoptado es psycopg en su versión 3, controlador oficial con soporte tanto sincrónico como asincrónico. La ubicación del repositorio PostgreSQL en un servidor central, físicamente remoto respecto de los anfitriones monitoreados, desacopla el almacenamiento del estado autoritativo del propio sistema potencialmente vulnerable, contribuyendo a mitigar el compromiso del oráculo de confianza descripto en el Capítulo 1.</w:t>
      </w:r>
    </w:p>
    <w:bookmarkEnd w:id="43"/>
    <w:bookmarkStart w:id="44" w:name="mensajería-con-valkey-streams"/>
    <w:p>
      <w:pPr>
        <w:pStyle w:val="Heading2"/>
      </w:pPr>
      <w:r>
        <w:rPr>
          <w:bCs/>
          <w:b/>
        </w:rPr>
        <w:t xml:space="preserve">2.9 Mensajería con Valkey Streams</w:t>
      </w:r>
    </w:p>
    <w:p>
      <w:pPr>
        <w:pStyle w:val="FirstParagraph"/>
      </w:pPr>
      <w:r>
        <w:t>Valkey es un almacén de estructura de datos en memoria de código abierto, surgido en 2024 como derivación del proyecto Redis tras el cambio de licenciamiento de este último. Opera bajo la gobernanza de la Linux Foundation y mantiene compatibilidad binaria con los clientes existentes del ecosistema Redis (Valkey Contributors, s. f.). La funcionalidad central que aporta al diseño son los streams, una estructura de datos persistente y ordenada temporalmente que, operada mediante grupos de consumidores con confirmación explícita, provee semántica de entrega al-menos-una-vez.</w:t>
      </w:r>
    </w:p>
    <w:p>
      <w:pPr>
        <w:pStyle w:val="BodyText"/>
      </w:pPr>
      <w:r>
        <w:t xml:space="preserve">El sistema emplea tres streams diferenciados. El stream denominado events transporta eventos desde los agentes hacia el backend. El stream commands transporta comandos desde el backend hacia los agentes, incluyendo actualizaciones de baseline, sincronización de reglas, solicitudes de restauración y confirmaciones de recepción. El stream agent_heartbeat transporta latidos periódicos que permiten al backend detectar agentes caídos o en estado degradado.</w:t>
      </w:r>
    </w:p>
    <w:p>
      <w:pPr>
        <w:pStyle w:val="BodyText"/>
      </w:pPr>
      <w:r>
        <w:t xml:space="preserve">Conviene explicitar un aspecto conceptual relevante del diseño. Valkey cumple en la arquitectura el rol de medio de transporte, no de almacenamiento autoritativo de la verdad. La durabilidad extremo a extremo se garantiza mediante la combinación de la cola local en disco del agente, que retiene los eventos hasta recibir confirmación explícita de persistencia, y la base de datos PostgreSQL, que almacena el estado una vez persistido. Cualquier falla intermedia de Valkey se recupera mediante reenvío desde el agente, y cualquier duplicado eventual se descarta por restricción de unicidad sobre el identificador UUID del evento.</w:t>
      </w:r>
    </w:p>
    <w:bookmarkEnd w:id="44"/>
    <w:bookmarkStart w:id="45" w:name="primitivas-criptográficas-adoptadas"/>
    <w:p>
      <w:pPr>
        <w:pStyle w:val="Heading2"/>
      </w:pPr>
      <w:r>
        <w:rPr>
          <w:bCs/>
          <w:b/>
        </w:rPr>
        <w:t xml:space="preserve">2.10 Primitivas criptográficas adoptadas</w:t>
      </w:r>
    </w:p>
    <w:p>
      <w:pPr>
        <w:pStyle w:val="FirstParagraph"/>
      </w:pPr>
      <w:r>
        <w:t xml:space="preserve">El presente trabajo adopta un conjunto de primitivas criptográficas orientadas a distintos propósitos. Para el hashing de contraseñas de operadores administrativos se emplea Argon2id, función de hashing con consumo intensivo de memoria ganadora de la Password Hashing Competition en 2015 y estandarizada en el documento RFC 9106 (Biryukov et al., 2021). Los parámetros operativos de referencia se exponen en el Capítulo 4, junto con el esquema de parametrización por entorno adoptado.</w:t>
      </w:r>
    </w:p>
    <w:p>
      <w:pPr>
        <w:pStyle w:val="BodyText"/>
      </w:pPr>
      <w:r>
        <w:t xml:space="preserve">Para el cifrado en reposo del contenido de la baseline almacenada en el sistema de archivos local del agente se emplea AES-256-GCM, cifrado simétrico autenticado que provee confidencialidad e integridad simultáneamente en una única operación. La clave simétrica correspondiente se deriva mediante la función HKDF-SHA256 estandarizada en el documento RFC 5869 (Krawczyk &amp; Eronen, 2010), tomando como material de entrada un secreto maestro único por agente, el identificador del agente como sal y una cadena de propósito como información de contexto. El secreto maestro se entrega al agente durante el proceso de arranque inicial y se persiste localmente con permisos de archivo que restringen el acceso al usuario propietario exclusivamente.</w:t>
      </w:r>
    </w:p>
    <w:p>
      <w:pPr>
        <w:pStyle w:val="BodyText"/>
      </w:pPr>
      <w:r>
        <w:t xml:space="preserve">El secreto maestro reside en el mismo anfitrión que los artefactos cifrados. El cifrado protege la confidencialidad de una copia aislada que no incluya ese secreto, pero no de una adquisición que comprenda ambos. Los permisos de archivo no impiden a un adversario con privilegios equivalentes a root obtener el secreto. Esta limitación se aplica tanto a la baseline como a la cuarentena cifrada y debe considerarse al diseñar copias de seguridad y procedimientos de custodia.</w:t>
      </w:r>
    </w:p>
    <w:p>
      <w:pPr>
        <w:pStyle w:val="BodyText"/>
      </w:pPr>
      <w:r>
        <w:t xml:space="preserve">No mitiga, en cambio, el compromiso del anfitrión en caliente. Un adversario que obtenga privilegios administrativos sobre el sistema monitoreado accede al mismo archivo de secreto maestro que el agente, deriva la clave por el mismo procedimiento y puede reescribir la baseline produciendo una etiqueta de autenticación válida. Que la clave resida en el sistema que la clave protege es una limitación estructural del esquema, no un defecto de su implementación: ningún cifrado local resuelve el caso en que el atacante ejerce los mismos privilegios que el proceso legítimo. La afirmación pertinente es, por lo tanto, que el cifrado eleva el costo del ataque y acota la superficie de exfiltración, no que impida la manipulación por parte de un adversario privilegiado.</w:t>
      </w:r>
    </w:p>
    <w:p>
      <w:pPr>
        <w:pStyle w:val="BodyText"/>
      </w:pPr>
      <w:r>
        <w:t xml:space="preserve">Existen esquemas que cierran ese hueco desplazando la custodia de la clave fuera del alcance del atacante local. Un módulo de plataforma confiable permite sellar el secreto contra el estado de arranque medido del sistema, y un servicio externo de custodia de claves lo mantiene fuera del anfitrión. La entrega del secreto por la sesión de autenticación mutua al arrancar, sin persistencia en disco, obligaría en cambio al adversario a volcar la memoria del proceso en lugar de leer un archivo. Ninguno se adopta en el alcance del presente trabajo, y la razón se expone en el apartado 4.8.</w:t>
      </w:r>
    </w:p>
    <w:p>
      <w:pPr>
        <w:pStyle w:val="BodyText"/>
      </w:pPr>
      <w:r>
        <w:t xml:space="preserve">Para dos propósitos adicionales se emplea HMAC-SHA256. Primero, durante el arranque inicial del agente, para firmar la solicitud de firma de certificado enviada al backend con un secreto de arranque compartido fuera de banda. Segundo, para firmar cada comando publicado por el backend en el stream commands, lo que permite al agente rechazar comandos espurios incluso ante compromiso hipotético del propio motor Valkey. Esto configura una defensa en profundidad: la autenticación mutua mediante certificados TLS autentica el canal, y la firma HMAC autentica el mensaje individual.</w:t>
      </w:r>
    </w:p>
    <w:p>
      <w:pPr>
        <w:pStyle w:val="BodyText"/>
      </w:pPr>
      <w:r>
        <w:t xml:space="preserve">La autenticación entre agentes y backend se implementa mediante autenticación mutua TLS sobre la versión 1.3 del protocolo, estandarizada en el documento RFC 8446 (Rescorla, 2018), con autoridad certificadora propia gestionada por el backend, cuyos detalles operativos se describen en el Capítulo 4.</w:t>
      </w:r>
    </w:p>
    <w:bookmarkEnd w:id="45"/>
    <w:bookmarkStart w:id="46" w:name="zero-trust-y-raíz-de-confianza"/>
    <w:p>
      <w:pPr>
        <w:pStyle w:val="Heading2"/>
      </w:pPr>
      <w:r>
        <w:rPr>
          <w:bCs/>
          <w:b/>
        </w:rPr>
        <w:t xml:space="preserve">2.11 Zero Trust y raíz de confianza</w:t>
      </w:r>
    </w:p>
    <w:p>
      <w:pPr>
        <w:pStyle w:val="FirstParagraph"/>
      </w:pPr>
      <w:r>
        <w:t xml:space="preserve">La arquitectura de confianza cero rechaza la noción tradicional de perímetro confiable y exige verificación explícita de cada interacción. Sus tres principios fundamentales, a saber, verificación explícita, privilegio mínimo y asunción de compromiso, orientan el diseño del presente trabajo (Rose et al., 2020). La plataforma aborda primariamente los pilares de dispositivos, mediante autenticación criptográfica del agente por certificados TLS mutuos, y de datos, mediante verificación continua de integridad, baseline cifrada en reposo y comandos firmados HMAC.</w:t>
      </w:r>
    </w:p>
    <w:p>
      <w:pPr>
        <w:pStyle w:val="BodyText"/>
      </w:pPr>
      <w:r>
        <w:t xml:space="preserve">Resulta necesario explicitar una limitación inherente al diseño. El agente opera en espacio de usuario y depende de la integridad del núcleo del sistema operativo. Un adversario con capacidad de ejecutar código en espacio de núcleo puede eludir fanotify, modificar archivos directamente mediante operaciones a nivel de dispositivo de bloque, o interferir con el proceso del agente. La raíz de confianza efectiva se establece entonces en el núcleo Linux no comprometido. Del mismo principio de asunción de compromiso se sigue una segunda delimitación, relativa al pilar de datos. La baseline cifrada en reposo protege la confidencialidad y la integridad del artefacto frente a un observador externo al anfitrión. No lo protege, en cambio, frente a un adversario que ejerza sobre el sistema los mismos privilegios que el agente legítimo, conforme se analiza en el apartado 2.10. Conviene enunciar el alcance de esa asunción sin atenuantes. Un adversario con privilegios administrativos sobre el anfitrión puede detener el agente y modificar su baseline y su cola local. Dado que dispone del certificado, de la clave privada y del secreto de firma que el agente custodia, puede además emitir hacia el backend eventos formalmente válidos con el contenido que elija. El agente no ofrece garantías frente a ese adversario; su ámbito de protección es el compromiso no privilegiado y la detección de cambios practicados por procesos que no controlan al propio agente. El registro de las resoluciones humanas, persistido en el servidor central, constituye la constancia que sobrevive a ese escenario; habilita la detección de inconsistencias por reconciliación únicamente en la medida en que la información contrastada no provenga exclusivamente del agente comprometido, límite que el apartado 8.9 desarrolla. Extender la raíz de confianza a un nivel inferior requiere mecanismos complementarios como Integrity Measurement Architecture, dm-verity o Secure Boot, que constituyen líneas de trabajo futuro documentadas en el Capítulo 8.</w:t>
      </w:r>
    </w:p>
    <w:bookmarkEnd w:id="46"/>
    <w:bookmarkStart w:id="47" w:name="modelo-de-amenazas-stride"/>
    <w:p>
      <w:pPr>
        <w:pStyle w:val="Heading2"/>
      </w:pPr>
      <w:r>
        <w:rPr>
          <w:bCs/>
          <w:b/>
        </w:rPr>
        <w:t xml:space="preserve">2.12 Modelo de amenazas STRIDE</w:t>
      </w:r>
    </w:p>
    <w:p>
      <w:pPr>
        <w:pStyle w:val="FirstParagraph"/>
      </w:pPr>
      <w:r>
        <w:t xml:space="preserve">El modelo STRIDE proporciona un marco sistemático para la identificación de amenazas mediante seis categorías: suplantación, manipulación, repudio, divulgación de información, denegación de servicio y elevación de privilegios. Su aplicación al propio sistema FIM resulta metodológicamente indispensable para evitar la paradoja de un sistema de protección que no audita sus propias debilidades. La Tabla 3 sintetiza el análisis realizado junto con las mitigaciones de diseño descriptas en el Capítulo 4.</w:t>
      </w:r>
    </w:p>
    <w:p>
      <w:pPr>
        <w:pStyle w:val="BodyText"/>
        <w:keepNext/>
      </w:pPr>
      <w:r>
        <w:rPr>
          <w:bCs/>
          <w:b/>
          <w:iCs/>
          <w:i/>
        </w:rPr>
        <w:t xml:space="preserve">Tabla 3.</w:t>
      </w:r>
      <w:r>
        <w:rPr>
          <w:iCs/>
          <w:i/>
        </w:rPr>
        <w:t xml:space="preserve"> Modelo STRIDE aplicado al sistema FIM</w:t>
      </w:r>
    </w:p>
    <w:tbl>
      <w:tblPr>
        <w:tblStyle w:val="Table"/>
        <w:tblW w:type="pct" w:w="4972"/>
        <w:jc w:val="start"/>
        <w:tblLook w:firstRow="1" w:lastRow="0" w:firstColumn="0" w:lastColumn="0" w:noHBand="0" w:noVBand="0" w:val="0020"/>
      </w:tblPr>
      <w:tblGrid>
        <w:gridCol w:w="743"/>
        <w:gridCol w:w="1859"/>
        <w:gridCol w:w="5272"/>
      </w:tblGrid>
      <w:tr>
        <w:trPr>
          <w:tblHeader w:val="true"/>
          <w:cantSplit/>
        </w:trPr>
        <w:tc>
          <w:tcPr/>
          <w:p>
            <w:pPr>
              <w:pStyle w:val="Compact"/>
              <w:jc w:val="left"/>
            </w:pPr>
            <w:r>
              <w:rPr>
                <w:bCs/>
                <w:b/>
              </w:rPr>
              <w:t xml:space="preserve">Amenaza</w:t>
            </w:r>
          </w:p>
        </w:tc>
        <w:tc>
          <w:tcPr/>
          <w:p>
            <w:pPr>
              <w:pStyle w:val="Compact"/>
              <w:jc w:val="left"/>
            </w:pPr>
            <w:r>
              <w:rPr>
                <w:bCs/>
                <w:b/>
              </w:rPr>
              <w:t xml:space="preserve">Aplicación al sistema</w:t>
            </w:r>
          </w:p>
        </w:tc>
        <w:tc>
          <w:tcPr/>
          <w:p>
            <w:pPr>
              <w:pStyle w:val="Compact"/>
              <w:jc w:val="left"/>
            </w:pPr>
            <w:r>
              <w:rPr>
                <w:bCs/>
                <w:b/>
              </w:rPr>
              <w:t xml:space="preserve">Mitigación por diseño</w:t>
            </w:r>
          </w:p>
        </w:tc>
      </w:tr>
      <w:tr>
        <w:trPr>
          <w:cantSplit/>
        </w:trPr>
        <w:tc>
          <w:tcPr/>
          <w:p>
            <w:pPr>
              <w:pStyle w:val="Compact"/>
              <w:jc w:val="left"/>
            </w:pPr>
            <w:r>
              <w:t xml:space="preserve">Suplantación</w:t>
            </w:r>
          </w:p>
        </w:tc>
        <w:tc>
          <w:tcPr/>
          <w:p>
            <w:pPr>
              <w:pStyle w:val="Compact"/>
              <w:jc w:val="left"/>
            </w:pPr>
            <w:r>
              <w:t xml:space="preserve">Un agente falso emite eventos; un atacante emite comandos al agente.</w:t>
            </w:r>
          </w:p>
        </w:tc>
        <w:tc>
          <w:tcPr/>
          <w:p>
            <w:pPr>
              <w:pStyle w:val="Compact"/>
              <w:jc w:val="left"/>
            </w:pPr>
            <w:r>
              <w:t xml:space="preserve">Autenticación mutua TLS con CA propia; firma HMAC sobre comandos; bootstrap con CSR firmado.</w:t>
            </w:r>
          </w:p>
        </w:tc>
      </w:tr>
      <w:tr>
        <w:trPr>
          <w:cantSplit/>
        </w:trPr>
        <w:tc>
          <w:tcPr/>
          <w:p>
            <w:pPr>
              <w:pStyle w:val="Compact"/>
              <w:jc w:val="left"/>
            </w:pPr>
            <w:r>
              <w:t xml:space="preserve">Manipulación</w:t>
            </w:r>
          </w:p>
        </w:tc>
        <w:tc>
          <w:tcPr/>
          <w:p>
            <w:pPr>
              <w:pStyle w:val="Compact"/>
              <w:jc w:val="left"/>
            </w:pPr>
            <w:r>
              <w:t xml:space="preserve">Manipulación de baseline en disco; del binario del agente; de eventos en tránsito.</w:t>
            </w:r>
          </w:p>
        </w:tc>
        <w:tc>
          <w:tcPr/>
          <w:p>
            <w:pPr>
              <w:pStyle w:val="Compact"/>
              <w:jc w:val="left"/>
            </w:pPr>
            <w:r>
              <w:t xml:space="preserve">Cifrado AES-GCM de baseline con clave derivada HKDF, eficaz frente a exfiltración del soporte y no frente a compromiso privilegiado del anfitrión (§2.10); versionado de esquema de mensajes; protocolo ACK bidireccional.</w:t>
            </w:r>
          </w:p>
        </w:tc>
      </w:tr>
      <w:tr>
        <w:trPr>
          <w:cantSplit/>
        </w:trPr>
        <w:tc>
          <w:tcPr/>
          <w:p>
            <w:pPr>
              <w:pStyle w:val="Compact"/>
              <w:jc w:val="left"/>
            </w:pPr>
            <w:r>
              <w:t xml:space="preserve">Repudio</w:t>
            </w:r>
          </w:p>
        </w:tc>
        <w:tc>
          <w:tcPr/>
          <w:p>
            <w:pPr>
              <w:pStyle w:val="Compact"/>
              <w:jc w:val="left"/>
            </w:pPr>
            <w:r>
              <w:t xml:space="preserve">Operador niega haber aprobado un cambio; aprobaciones concurrentes.</w:t>
            </w:r>
          </w:p>
        </w:tc>
        <w:tc>
          <w:tcPr/>
          <w:p>
            <w:pPr>
              <w:pStyle w:val="Compact"/>
              <w:jc w:val="left"/>
            </w:pPr>
            <w:r>
              <w:t xml:space="preserve">Tabla de auditoría separada no sujeta a rotación; bloqueo optimista que rechaza la segunda aprobación; campos resolved_at y resolved_by en el evento. La tabla no es inmutable ni encadenada criptográficamente (§4.11).</w:t>
            </w:r>
          </w:p>
        </w:tc>
      </w:tr>
      <w:tr>
        <w:trPr>
          <w:cantSplit/>
        </w:trPr>
        <w:tc>
          <w:tcPr/>
          <w:p>
            <w:pPr>
              <w:pStyle w:val="Compact"/>
              <w:jc w:val="left"/>
            </w:pPr>
            <w:r>
              <w:t xml:space="preserve">Divulgación</w:t>
            </w:r>
          </w:p>
        </w:tc>
        <w:tc>
          <w:tcPr/>
          <w:p>
            <w:pPr>
              <w:pStyle w:val="Compact"/>
              <w:jc w:val="left"/>
            </w:pPr>
            <w:r>
              <w:t xml:space="preserve">Exposición de baseline; exposición de logs con información sensible.</w:t>
            </w:r>
          </w:p>
        </w:tc>
        <w:tc>
          <w:tcPr/>
          <w:p>
            <w:pPr>
              <w:pStyle w:val="Compact"/>
              <w:jc w:val="left"/>
            </w:pPr>
            <w:r>
              <w:t xml:space="preserve">Cifrado en reposo de baseline; sanitización de logs; cookies httpOnly; política de seguridad de contenido CSP.</w:t>
            </w:r>
          </w:p>
        </w:tc>
      </w:tr>
      <w:tr>
        <w:trPr>
          <w:cantSplit/>
        </w:trPr>
        <w:tc>
          <w:tcPr/>
          <w:p>
            <w:pPr>
              <w:pStyle w:val="Compact"/>
              <w:jc w:val="left"/>
            </w:pPr>
            <w:r>
              <w:t xml:space="preserve">Denegación de servicio</w:t>
            </w:r>
          </w:p>
        </w:tc>
        <w:tc>
          <w:tcPr/>
          <w:p>
            <w:pPr>
              <w:pStyle w:val="Compact"/>
              <w:jc w:val="left"/>
            </w:pPr>
            <w:r>
              <w:t xml:space="preserve">Inundación de eventos, webhooks o intentos de inicio de sesión.</w:t>
            </w:r>
          </w:p>
        </w:tc>
        <w:tc>
          <w:tcPr/>
          <w:p>
            <w:pPr>
              <w:pStyle w:val="Compact"/>
              <w:jc w:val="left"/>
            </w:pPr>
            <w:r>
              <w:t xml:space="preserve">Limitación de tasa multicapa; cola local acotada con política drop-oldest; reintentos exponenciales con cola de mensajes fallidos.</w:t>
            </w:r>
          </w:p>
        </w:tc>
      </w:tr>
      <w:tr>
        <w:trPr>
          <w:cantSplit/>
        </w:trPr>
        <w:tc>
          <w:tcPr/>
          <w:p>
            <w:pPr>
              <w:pStyle w:val="Compact"/>
              <w:jc w:val="left"/>
            </w:pPr>
            <w:r>
              <w:t xml:space="preserve">Elevación de privilegios</w:t>
            </w:r>
          </w:p>
        </w:tc>
        <w:tc>
          <w:tcPr/>
          <w:p>
            <w:pPr>
              <w:pStyle w:val="Compact"/>
              <w:jc w:val="left"/>
            </w:pPr>
            <w:r>
              <w:t xml:space="preserve">Compromiso del backend; bypass del flujo de aprobación.</w:t>
            </w:r>
          </w:p>
        </w:tc>
        <w:tc>
          <w:tcPr/>
          <w:p>
            <w:pPr>
              <w:pStyle w:val="Compact"/>
              <w:jc w:val="left"/>
            </w:pPr>
            <w:r>
              <w:t xml:space="preserve">Segmentación mediante redes Docker; cambio forzado de contraseña de seed; máquina de estados explícita en el backend.</w:t>
            </w:r>
          </w:p>
        </w:tc>
      </w:tr>
      <w:tr>
        <w:trPr>
          <w:cantSplit/>
        </w:trPr>
        <w:tc>
          <w:tcPr/>
          <w:p>
            <w:pPr>
              <w:pStyle w:val="Compact"/>
              <w:jc w:val="left"/>
            </w:pPr>
            <w:r>
              <w:t xml:space="preserve">Replay (amenaza complementaria)</w:t>
            </w:r>
          </w:p>
        </w:tc>
        <w:tc>
          <w:tcPr/>
          <w:p>
            <w:pPr>
              <w:pStyle w:val="Compact"/>
              <w:jc w:val="left"/>
            </w:pPr>
            <w:r>
              <w:t xml:space="preserve">Reinyección de eventos o comandos antiguos.</w:t>
            </w:r>
          </w:p>
        </w:tc>
        <w:tc>
          <w:tcPr/>
          <w:p>
            <w:pPr>
              <w:pStyle w:val="Compact"/>
              <w:jc w:val="left"/>
            </w:pPr>
            <w:r>
              <w:t xml:space="preserve">Firma HMAC-SHA256 que cubre el instante de transmisión; ventana de tránsito transmisión→recepción menor a cinco minutos; deduplicación por identificador de evento; lista negra de jti en Valkey; versión de ruleset monotónicamente creciente</w:t>
            </w:r>
          </w:p>
        </w:tc>
      </w:tr>
    </w:tbl>
    <w:p>
      <w:pPr>
        <w:pStyle w:val="BodyText"/>
      </w:pPr>
      <w:r>
        <w:rPr>
          <w:bCs/>
          <w:b/>
          <w:iCs/>
          <w:i/>
        </w:rPr>
        <w:t xml:space="preserve">Nota.</w:t>
      </w:r>
      <w:r>
        <w:rPr>
          <w:iCs/>
          <w:i/>
        </w:rPr>
        <w:t xml:space="preserve"> Elaboración propia. La amenaza residual principal corresponde a rootkits del núcleo, cuya mitigación excede el alcance de un FIM en espacio de usuario y se discute en el Capítulo 8.</w:t>
      </w:r>
    </w:p>
    <w:bookmarkEnd w:id="47"/>
    <w:bookmarkStart w:id="48" w:name="X079fcb732a7657b389e0f9844a1586f45d26d1b"/>
    <w:p>
      <w:pPr>
        <w:pStyle w:val="Heading2"/>
      </w:pPr>
      <w:r>
        <w:rPr>
          <w:bCs/>
          <w:b/>
        </w:rPr>
        <w:t xml:space="preserve">2.13</w:t>
      </w:r>
      <w:r>
        <w:t xml:space="preserve"> Organización modular y disciplina transaccional</w:t>
      </w:r>
    </w:p>
    <w:p>
      <w:pPr>
        <w:pStyle w:val="FirstParagraph"/>
      </w:pPr>
      <w:r>
        <w:t xml:space="preserve">El backend del sistema adopta una organización modular por dominio funcional, variante del estilo arquitectónico habitualmente denominado monolito modular. En esta organización, el sistema se descompone en módulos que corresponden a los dominios del problema —autenticación, eventos, reglas, acciones, alertas, agentes y auditoría—, y cada módulo agrupa internamente tres responsabilidades separadas en artefactos distintos. La responsabilidad de exposición atiende el protocolo HTTP mediante los enrutadores de FastAPI, se limita a decodificar la solicitud, delegar en la lógica de negocio y serializar la respuesta, y no contiene reglas del dominio. La responsabilidad de lógica de negocio implementa las operaciones del dominio, es reutilizable desde múltiples puntos de entrada —el manejador HTTP y el consumidor de la cola de mensajería invocan las mismas funciones— y concentra las decisiones que la aplicación toma. La responsabilidad de persistencia define las entidades mediante modelos que unifican el mapeo objeto-relacional y la validación de datos.</w:t>
      </w:r>
    </w:p>
    <w:p>
      <w:pPr>
        <w:pStyle w:val="BodyText"/>
      </w:pPr>
      <w:r>
        <w:t xml:space="preserve">La elección de esta organización, en lugar de una arquitectura hexagonal con inversión de dependencias por puertos y adaptadores, responde a tres consideraciones. La primera es la correspondencia entre el tamaño del equipo y el costo de la indirección. En un sistema desarrollado por dos personas, la abstracción de repositorios sobre un único motor de persistencia introduce una capa de traducción cuyo beneficio —la sustituibilidad del motor— no se ejerce. Su costo —la duplicación de modelos y la dispersión de la lógica de consulta— se paga, en cambio, en cada operación. La segunda es que la unificación entre modelo de persistencia y modelo de validación que provee SQLModel elimina precisamente la duplicación que el patrón Repository suele venir a mitigar. La tercera, y de mayor peso, se refiere a la estrategia de verificación y se desarrolla en el apartado 4.9. La decisión de verificar el sistema mediante pruebas de integración contra instancias reales de los servicios de respaldo hace innecesaria la abstracción que habilitaría la sustitución de esos servicios por dobles de prueba.</w:t>
      </w:r>
    </w:p>
    <w:p>
      <w:pPr>
        <w:pStyle w:val="BodyText"/>
      </w:pPr>
      <w:r>
        <w:t xml:space="preserve">La disciplina transaccional se sostiene, en consecuencia, por dos mecanismos explícitos antes que por un patrón estructural. El primero es el alcance transaccional por solicitud. Cada solicitud HTTP obtiene una sesión de base de datos de un pool con verificación previa de conexión. Esa sesión se confirma al completar la operación, o se revierte automáticamente ante cualquier excepción no capturada, por acción del gestor de contexto que la envuelve. El segundo es la especificación explícita del orden de operaciones de cada caso de uso que modifica más de una entidad. Los casos de aprobación y rechazo de eventos, analizados en los apartados 4.4 y 4.5, documentan en el propio código la secuencia exigida: actualización optimista, avance de versión del conjunto de reglas y actualización de baseline. A ello sigue el registro de auditoría, la confirmación y, solamente entonces, la publicación del comando hacia el agente. La publicación se ubica deliberadamente con posterioridad a la confirmación transaccional, para evitar que un comando llegue al agente por un cambio que la base de datos terminó revirtiendo.</w:t>
      </w:r>
    </w:p>
    <w:p>
      <w:pPr>
        <w:pStyle w:val="BodyText"/>
      </w:pPr>
      <w:r>
        <w:t xml:space="preserve">Un tercer mecanismo complementa a los anteriores para las operaciones que atraviesan el límite entre la base de datos y la capa de mensajería, sobre las cuales una transacción de base de datos no ofrece garantía alguna. El patrón de bandeja de salida transaccional, cuya materialización concreta se describe en el apartado 4.5, registra el comando a emitir dentro de la misma transacción que produce el cambio de estado que lo origina, y difiere su publicación efectiva a un proceso posterior que reintenta hasta confirmar. De este modo, la indisponibilidad del motor de mensajería no puede producir la situación en la cual el estado del backend avanzó pero el comando correspondiente se perdió.</w:t>
      </w:r>
    </w:p>
    <w:p>
      <w:r>
        <w:br w:type="page"/>
      </w:r>
    </w:p>
    <w:bookmarkEnd w:id="48"/>
    <w:bookmarkEnd w:id="49"/>
    <w:bookmarkStart w:id="59" w:name="capítulo-3.-marco-metodológico"/>
    <w:p>
      <w:pPr>
        <w:pStyle w:val="Heading1"/>
      </w:pPr>
      <w:r>
        <w:rPr>
          <w:bCs/>
          <w:b/>
        </w:rPr>
        <w:t xml:space="preserve">CAPÍTULO 3. MARCO METODOLÓGICO</w:t>
      </w:r>
    </w:p>
    <w:p>
      <w:pPr>
        <w:pStyle w:val="FirstParagraph"/>
      </w:pPr>
      <w:r>
        <w:t xml:space="preserve">El presente trabajo se inscribe en el paradigma de la investigación en ciencia del diseño, marco que atiende a la producción y evaluación de artefactos destinados a resolver problemas de clase identificados en un dominio de aplicación (Hevner et al., 2004; Peffers et al., 2007; Wieringa, 2014). La elección no es accesoria: determina qué constituye una contribución válida y bajo qué criterios se la evalúa. Hevner y colaboradores formulan el paradigma como un ciclo entre la relevancia respecto de un entorno de aplicación y el rigor respecto de la base de conocimiento existente, con la evaluación del artefacto como exigencia central; Peffers y colaboradores lo operacionalizan en un proceso de identificación del problema, definición de objetivos, diseño y desarrollo, demostración, evaluación y comunicación, secuencia que la estructura de este documento sigue; Wieringa distingue entre el problema de diseño —qué artefacto construir— y las preguntas de conocimiento sobre su comportamiento, distinción que separa los objetivos de producto del apartado 1.5 de los criterios de aceptación del apartado 1.6.</w:t>
      </w:r>
    </w:p>
    <w:p>
      <w:pPr>
        <w:pStyle w:val="BodyText"/>
      </w:pPr>
      <w:r>
        <w:t xml:space="preserve">A diferencia de los paradigmas de investigación explicativa, cuyo producto es conocimiento sobre relaciones causales entre variables y cuya validación descansa en la inferencia estadística sobre muestras representativas de una población, la ciencia del diseño produce artefactos y valida su utilidad frente al problema que motivó su construcción. El criterio de rigor se desplaza, en consecuencia, desde la generalización inferencial hacia dos exigencias distintas: la fundamentación de las decisiones de diseño en conocimiento existente, y la evaluación del artefacto mediante métodos apropiados a la naturaleza de las propiedades que se reivindican.</w:t>
      </w:r>
    </w:p>
    <w:p>
      <w:pPr>
        <w:pStyle w:val="BodyText"/>
      </w:pPr>
      <w:r>
        <w:t xml:space="preserve">De este encuadre se siguen tres consecuencias que gobiernan el capítulo. La primera es que las mediciones del Capítulo 5 constituyen evaluación de artefacto y no verificación de hipótesis sobre una población de sistemas: los umbrales de la Tabla 1 son criterios de suficiencia funcional fijados a priori, no valores poblacionales a estimar. La segunda es que la comparación con el grupo de control cumple una función demostrativa —evidenciar la diferencia de capacidad entre el paradigma reactivo y el de encuestamiento— y no una función inferencial sobre el desempeño relativo de dos poblaciones de herramientas. La tercera es que la generalización de los resultados se sostiene por argumentación sobre las condiciones de aplicabilidad, delimitadas en el apartado 6.5, y no por representatividad muestral</w:t>
      </w:r>
    </w:p>
    <w:bookmarkStart w:id="50" w:name="tipo-de-investigación"/>
    <w:p>
      <w:pPr>
        <w:pStyle w:val="Heading2"/>
      </w:pPr>
      <w:r>
        <w:rPr>
          <w:bCs/>
          <w:b/>
        </w:rPr>
        <w:t xml:space="preserve">3.1 Tipo de investigación</w:t>
      </w:r>
    </w:p>
    <w:p>
      <w:pPr>
        <w:pStyle w:val="FirstParagraph"/>
      </w:pPr>
      <w:r>
        <w:t xml:space="preserve">La investigación se clasifica, atendiendo a su finalidad, como investigación aplicada: su propósito es resolver un problema concreto del contexto organizacional mediante la construcción y la evaluación de un artefacto tecnológico específico. Se distingue así de la investigación básica, cuyo objetivo es la ampliación del conocimiento teórico sin requerimiento de aplicación inmediata.</w:t>
      </w:r>
    </w:p>
    <w:p>
      <w:pPr>
        <w:pStyle w:val="BodyText"/>
      </w:pPr>
      <w:r>
        <w:t xml:space="preserve">Atendiendo al nivel de profundidad, el trabajo se inscribe en los niveles descriptivo y comparativo. El nivel descriptivo se manifiesta en la caracterización del fenómeno del compromiso de integridad de archivos y en la descripción detallada del artefacto propuesto. El nivel comparativo se manifiesta en la contrastación sistemática del comportamiento del artefacto frente al de un esquema de verificación periódica, sobre la misma carga de trabajo y en condiciones equivalentes.</w:t>
      </w:r>
    </w:p>
    <w:p>
      <w:pPr>
        <w:pStyle w:val="BodyText"/>
      </w:pPr>
      <w:r>
        <w:t xml:space="preserve">Se descarta deliberadamente la pretensión de un nivel explicativo. Tal nivel exigiría el control sistemático de variables confusoras y un diseño que habilitara la atribución causal de las diferencias observadas a las decisiones arquitectónicas antes que a las condiciones particulares del laboratorio, exigencias que un estudio sobre un único anfitrión y una topología co-residente no satisface. Las relaciones entre decisiones de diseño e indicadores de desempeño se argumentan a partir del comportamiento conocido de los subsistemas involucrados, y esa argumentación se presenta como fundamentación de diseño y no como inferencia causal verificada.</w:t>
      </w:r>
    </w:p>
    <w:bookmarkEnd w:id="50"/>
    <w:bookmarkStart w:id="51" w:name="enfoque-metodológico"/>
    <w:p>
      <w:pPr>
        <w:pStyle w:val="Heading2"/>
      </w:pPr>
      <w:r>
        <w:rPr>
          <w:bCs/>
          <w:b/>
        </w:rPr>
        <w:t xml:space="preserve">3.2 Enfoque metodológico</w:t>
      </w:r>
    </w:p>
    <w:p>
      <w:pPr>
        <w:pStyle w:val="FirstParagraph"/>
      </w:pPr>
      <w:r>
        <w:t xml:space="preserve">El enfoque metodológico de la evaluación es cuantitativo, en tanto la hipótesis se operacionaliza mediante indicadores numéricos medibles, y las decisiones sobre su corroboración se toman mediante comparación contra umbrales preestablecidos. La operacionalización concreta de la hipótesis se materializa en las variables e indicadores desarrollados en el apartado 3.4.</w:t>
      </w:r>
    </w:p>
    <w:p>
      <w:pPr>
        <w:pStyle w:val="BodyText"/>
      </w:pPr>
      <w:r>
        <w:t xml:space="preserve">La secuencia temporal observada durante el desarrollo fue la siguiente: formulación de los umbrales de aceptación y del protocolo experimental; implementación del sistema; auditoría interna de seguridad y resiliencia con corrección de los hallazgos; y finalmente ejecución de las mediciones. Los criterios de aceptación quedaron fijados antes de que existiera evidencia empírica con la cual contrastarlos.</w:t>
      </w:r>
    </w:p>
    <w:p>
      <w:pPr>
        <w:pStyle w:val="BodyText"/>
      </w:pPr>
      <w:r>
        <w:t xml:space="preserve">El enfoque incorpora, no obstante, elementos cualitativos relevantes en la fase de diseño arquitectónico. Las decisiones sobre organización en capas, patrones de diseño aplicados, mantenibilidad del código, legibilidad de los modelos de datos, facilidad de extensión frente a requerimientos futuros y claridad conceptual de la descomposición modular no se prestan a cuantificación directa. Se justifican, en consecuencia, mediante argumentación técnica apoyada en la literatura especializada y en las decisiones de auditoría interna documentadas por el equipo de diseño.</w:t>
      </w:r>
    </w:p>
    <w:p>
      <w:pPr>
        <w:pStyle w:val="BodyText"/>
      </w:pPr>
      <w:r>
        <w:t xml:space="preserve">Esa argumentación de diseño no convierte al trabajo en un estudio de métodos mixtos en el sentido técnico de la expresión, que exige la recolección y el análisis integrados de datos cualitativos con un procedimiento propio. El trabajo es, con mayor precisión, una investigación de ciencia del diseño con evaluación cuantitativa del artefacto y fundamentación argumentativa de las decisiones arquitectónicas, encuadre que Wohlin y colaboradores admiten para la investigación experimental en ingeniería de software (Wohlin et al., 2012).</w:t>
      </w:r>
    </w:p>
    <w:bookmarkEnd w:id="51"/>
    <w:bookmarkStart w:id="52" w:name="diseño-experimental-con-grupo-de-control"/>
    <w:p>
      <w:pPr>
        <w:pStyle w:val="Heading2"/>
      </w:pPr>
      <w:r>
        <w:rPr>
          <w:bCs/>
          <w:b/>
        </w:rPr>
        <w:t xml:space="preserve">3.3 Diseño experimental con grupo de control</w:t>
      </w:r>
    </w:p>
    <w:p>
      <w:pPr>
        <w:pStyle w:val="FirstParagraph"/>
      </w:pPr>
      <w:r>
        <w:t xml:space="preserve">El presente estudio adopta un diseño experimental con grupo de control para habilitar conclusiones comparativas en lugar de afirmaciones aisladas sobre el desempeño del artefacto. El grupo experimental corresponde a la plataforma propuesta operando en modo reactivo sobre fanotify. El grupo de control corresponde a un script tradicional de verificación periódica, implementado como tarea cron que ejecuta la herramienta sha256sum cada quince minutos sobre los mismos directorios, que almacena la baseline en un archivo local y que compara los resultados contra la verificación anterior mediante la utilidad diff.</w:t>
      </w:r>
    </w:p>
    <w:p>
      <w:pPr>
        <w:pStyle w:val="BodyText"/>
      </w:pPr>
      <w:r>
        <w:t xml:space="preserve">El script de control replica deliberadamente las prácticas artesanales descriptas en el planteamiento del problema, incluyendo sus tres limitaciones estructurales: ventana de ceguera por encuestamiento, baseline local vulnerable, y ausencia de notificación automatizada. Ambos sistemas se evalúan sobre el mismo entorno de laboratorio, con la misma carga de trabajo generada por el mismo instrumento, durante ventanas de medición equivalentes. Esta configuración permite comparar ambos paradigmas bajo una carga común sobre indicadores comparables; no habilita la atribución causal de las diferencias a decisiones arquitectónicas particulares, conforme se delimita en el apartado 3.1. Una consecuencia de evaluar ambos grupos sobre las mismas operaciones es que las observaciones resultan pareadas —cada operación tiene un resultado en cada grupo— y no independientes, propiedad que condiciona el procedimiento inferencial del apartado 3.6.</w:t>
      </w:r>
    </w:p>
    <w:bookmarkEnd w:id="52"/>
    <w:bookmarkStart w:id="54" w:name="variables-e-indicadores"/>
    <w:p>
      <w:pPr>
        <w:pStyle w:val="Heading2"/>
      </w:pPr>
      <w:r>
        <w:rPr>
          <w:bCs/>
          <w:b/>
        </w:rPr>
        <w:t xml:space="preserve">3.4 Variables e indicadores</w:t>
      </w:r>
    </w:p>
    <w:p>
      <w:pPr>
        <w:pStyle w:val="FirstParagraph"/>
      </w:pPr>
      <w:r>
        <w:t xml:space="preserve">La operacionalización de la hipótesis se materializa en cinco variables principales con sus indicadores correspondientes. La Tabla 4 presenta las variables operacionales, sus unidades de medida y los indicadores con sus umbrales de aceptación preestablecidos.</w:t>
      </w:r>
    </w:p>
    <w:p>
      <w:pPr>
        <w:pStyle w:val="BodyText"/>
        <w:keepNext/>
      </w:pPr>
      <w:r>
        <w:rPr>
          <w:bCs/>
          <w:b/>
          <w:iCs/>
          <w:i/>
        </w:rPr>
        <w:t xml:space="preserve">Tabla 4.</w:t>
      </w:r>
      <w:r>
        <w:rPr>
          <w:iCs/>
          <w:i/>
        </w:rPr>
        <w:t xml:space="preserve"> Variables e indicadores experimentales</w:t>
      </w:r>
    </w:p>
    <w:tbl>
      <w:tblPr>
        <w:tblStyle w:val="Table"/>
        <w:tblW w:type="pct" w:w="4921"/>
        <w:jc w:val="start"/>
        <w:tblLook w:firstRow="0" w:lastRow="0" w:firstColumn="0" w:lastColumn="0" w:noHBand="0" w:noVBand="0" w:val="0000"/>
      </w:tblPr>
      <w:tblGrid>
        <w:gridCol w:w="1100"/>
        <w:gridCol w:w="2500"/>
        <w:gridCol w:w="600"/>
        <w:gridCol w:w="850"/>
        <w:gridCol w:w="1100"/>
        <w:gridCol w:w="600"/>
        <w:gridCol w:w="1043"/>
      </w:tblGrid>
      <w:tr>
        <w:trPr>
          <w:tblHeader/>
          <w:cantSplit/>
        </w:trPr>
        <w:tc>
          <w:tcPr/>
          <w:p>
            <w:pPr>
              <w:pStyle w:val="Compact"/>
              <w:jc w:val="left"/>
            </w:pPr>
            <w:r>
              <w:rPr>
                <w:b/>
              </w:rPr>
              <w:t xml:space="preserve">Indicador</w:t>
            </w:r>
          </w:p>
        </w:tc>
        <w:tc>
          <w:tcPr/>
          <w:p>
            <w:pPr>
              <w:pStyle w:val="Compact"/>
              <w:jc w:val="left"/>
            </w:pPr>
            <w:r>
              <w:rPr>
                <w:b/>
              </w:rPr>
              <w:t xml:space="preserve">Definición operacional</w:t>
            </w:r>
          </w:p>
        </w:tc>
        <w:tc>
          <w:tcPr/>
          <w:p>
            <w:pPr>
              <w:pStyle w:val="Compact"/>
              <w:jc w:val="left"/>
            </w:pPr>
            <w:r>
              <w:rPr>
                <w:b/>
              </w:rPr>
              <w:t xml:space="preserve">Unidad</w:t>
            </w:r>
          </w:p>
        </w:tc>
        <w:tc>
          <w:tcPr/>
          <w:p>
            <w:pPr>
              <w:pStyle w:val="Compact"/>
              <w:jc w:val="left"/>
            </w:pPr>
            <w:r>
              <w:rPr>
                <w:b/>
              </w:rPr>
              <w:t xml:space="preserve">Umbral</w:t>
            </w:r>
          </w:p>
        </w:tc>
        <w:tc>
          <w:tcPr/>
          <w:p>
            <w:pPr>
              <w:pStyle w:val="Compact"/>
              <w:jc w:val="left"/>
            </w:pPr>
            <w:r>
              <w:rPr>
                <w:b/>
              </w:rPr>
              <w:t xml:space="preserve">Objetivo específico</w:t>
            </w:r>
          </w:p>
        </w:tc>
        <w:tc>
          <w:tcPr/>
          <w:p>
            <w:pPr>
              <w:pStyle w:val="Compact"/>
              <w:jc w:val="left"/>
            </w:pPr>
            <w:r>
              <w:rPr>
                <w:b/>
              </w:rPr>
              <w:t xml:space="preserve">Batería</w:t>
            </w:r>
          </w:p>
        </w:tc>
        <w:tc>
          <w:tcPr/>
          <w:p>
            <w:pPr>
              <w:pStyle w:val="Compact"/>
              <w:jc w:val="left"/>
            </w:pPr>
            <w:r>
              <w:rPr>
                <w:b/>
              </w:rPr>
              <w:t xml:space="preserve">Resultados</w:t>
            </w:r>
          </w:p>
        </w:tc>
      </w:tr>
      <w:tr>
        <w:trPr>
          <w:cantSplit/>
        </w:trPr>
        <w:tc>
          <w:tcPr/>
          <w:p>
            <w:pPr>
              <w:pStyle w:val="Compact"/>
              <w:jc w:val="left"/>
            </w:pPr>
            <w:r>
              <w:t xml:space="preserve">Latencia de detección</w:t>
            </w:r>
          </w:p>
        </w:tc>
        <w:tc>
          <w:tcPr/>
          <w:p>
            <w:pPr>
              <w:pStyle w:val="Compact"/>
              <w:jc w:val="left"/>
            </w:pPr>
            <w:r>
              <w:t xml:space="preserve">Intervalo entre el instante de modificación del archivo y la recepción del evento por el backend (véase la delimitación de instantes del apartado 3.6).</w:t>
            </w:r>
          </w:p>
        </w:tc>
        <w:tc>
          <w:tcPr/>
          <w:p>
            <w:pPr>
              <w:pStyle w:val="Compact"/>
              <w:jc w:val="left"/>
            </w:pPr>
            <w:r>
              <w:t xml:space="preserve">ms</w:t>
            </w:r>
          </w:p>
        </w:tc>
        <w:tc>
          <w:tcPr/>
          <w:p>
            <w:pPr>
              <w:pStyle w:val="Compact"/>
              <w:jc w:val="left"/>
            </w:pPr>
            <w:r>
              <w:t xml:space="preserve">Percentil 99 &lt; 1.000 ms</w:t>
            </w:r>
          </w:p>
        </w:tc>
        <w:tc>
          <w:tcPr/>
          <w:p>
            <w:pPr>
              <w:pStyle w:val="Compact"/>
              <w:jc w:val="left"/>
            </w:pPr>
            <w:r>
              <w:t xml:space="preserve">11.º</w:t>
            </w:r>
          </w:p>
        </w:tc>
        <w:tc>
          <w:tcPr/>
          <w:p>
            <w:pPr>
              <w:pStyle w:val="Compact"/>
              <w:jc w:val="left"/>
            </w:pPr>
            <w:r>
              <w:t xml:space="preserve">3.ª</w:t>
            </w:r>
          </w:p>
        </w:tc>
        <w:tc>
          <w:tcPr/>
          <w:p>
            <w:pPr>
              <w:pStyle w:val="Compact"/>
              <w:jc w:val="left"/>
            </w:pPr>
            <w:r>
              <w:t xml:space="preserve">Tabla 12</w:t>
            </w:r>
          </w:p>
        </w:tc>
      </w:tr>
      <w:tr>
        <w:trPr>
          <w:cantSplit/>
        </w:trPr>
        <w:tc>
          <w:tcPr/>
          <w:p>
            <w:pPr>
              <w:pStyle w:val="Compact"/>
              <w:jc w:val="left"/>
            </w:pPr>
            <w:r>
              <w:t xml:space="preserve">Falsos negativos</w:t>
            </w:r>
          </w:p>
        </w:tc>
        <w:tc>
          <w:tcPr/>
          <w:p>
            <w:pPr>
              <w:pStyle w:val="Compact"/>
              <w:jc w:val="left"/>
            </w:pPr>
            <w:r>
              <w:t xml:space="preserve">Operaciones de la carga practicadas por la interfaz de archivos que no producen evento</w:t>
            </w:r>
          </w:p>
        </w:tc>
        <w:tc>
          <w:tcPr/>
          <w:p>
            <w:pPr>
              <w:pStyle w:val="Compact"/>
              <w:jc w:val="left"/>
            </w:pPr>
            <w:r>
              <w:t xml:space="preserve">n</w:t>
            </w:r>
          </w:p>
        </w:tc>
        <w:tc>
          <w:tcPr/>
          <w:p>
            <w:pPr>
              <w:pStyle w:val="Compact"/>
              <w:jc w:val="left"/>
            </w:pPr>
            <w:r>
              <w:t xml:space="preserve">0</w:t>
            </w:r>
          </w:p>
        </w:tc>
        <w:tc>
          <w:tcPr/>
          <w:p>
            <w:pPr>
              <w:pStyle w:val="Compact"/>
              <w:jc w:val="left"/>
            </w:pPr>
            <w:r>
              <w:t xml:space="preserve">11.º</w:t>
            </w:r>
          </w:p>
        </w:tc>
        <w:tc>
          <w:tcPr/>
          <w:p>
            <w:pPr>
              <w:pStyle w:val="Compact"/>
              <w:jc w:val="left"/>
            </w:pPr>
            <w:r>
              <w:t xml:space="preserve">3.ª</w:t>
            </w:r>
          </w:p>
        </w:tc>
        <w:tc>
          <w:tcPr/>
          <w:p>
            <w:pPr>
              <w:pStyle w:val="Compact"/>
              <w:jc w:val="left"/>
            </w:pPr>
            <w:r>
              <w:t xml:space="preserve">Tabla 12</w:t>
            </w:r>
          </w:p>
        </w:tc>
      </w:tr>
      <w:tr>
        <w:trPr>
          <w:cantSplit/>
        </w:trPr>
        <w:tc>
          <w:tcPr/>
          <w:p>
            <w:pPr>
              <w:pStyle w:val="Compact"/>
              <w:jc w:val="left"/>
            </w:pPr>
            <w:r>
              <w:t xml:space="preserve">Tiempo de notificación</w:t>
            </w:r>
          </w:p>
        </w:tc>
        <w:tc>
          <w:tcPr/>
          <w:p>
            <w:pPr>
              <w:pStyle w:val="Compact"/>
              <w:jc w:val="left"/>
            </w:pPr>
            <w:r>
              <w:t xml:space="preserve">Intervalo entre la recepción del evento por el backend y la aceptación del webhook por su receptor; no comprende la ejecución del flujo en el orquestador ni la recepción final en el canal.</w:t>
            </w:r>
          </w:p>
        </w:tc>
        <w:tc>
          <w:tcPr/>
          <w:p>
            <w:pPr>
              <w:pStyle w:val="Compact"/>
              <w:jc w:val="left"/>
            </w:pPr>
            <w:r>
              <w:t xml:space="preserve">ms</w:t>
            </w:r>
          </w:p>
        </w:tc>
        <w:tc>
          <w:tcPr/>
          <w:p>
            <w:pPr>
              <w:pStyle w:val="Compact"/>
              <w:jc w:val="left"/>
            </w:pPr>
            <w:r>
              <w:t xml:space="preserve">Percentil 99 &lt; 5.000 ms</w:t>
            </w:r>
          </w:p>
        </w:tc>
        <w:tc>
          <w:tcPr/>
          <w:p>
            <w:pPr>
              <w:pStyle w:val="Compact"/>
              <w:jc w:val="left"/>
            </w:pPr>
            <w:r>
              <w:t xml:space="preserve">10.º</w:t>
            </w:r>
          </w:p>
        </w:tc>
        <w:tc>
          <w:tcPr/>
          <w:p>
            <w:pPr>
              <w:pStyle w:val="Compact"/>
              <w:jc w:val="left"/>
            </w:pPr>
            <w:r>
              <w:t xml:space="preserve">4.ª</w:t>
            </w:r>
          </w:p>
        </w:tc>
        <w:tc>
          <w:tcPr/>
          <w:p>
            <w:pPr>
              <w:pStyle w:val="Compact"/>
              <w:jc w:val="left"/>
            </w:pPr>
            <w:r>
              <w:t xml:space="preserve">Tabla 13</w:t>
            </w:r>
          </w:p>
        </w:tc>
      </w:tr>
      <w:tr>
        <w:trPr>
          <w:cantSplit/>
        </w:trPr>
        <w:tc>
          <w:tcPr/>
          <w:p>
            <w:pPr>
              <w:pStyle w:val="Compact"/>
              <w:jc w:val="left"/>
            </w:pPr>
            <w:r>
              <w:t xml:space="preserve">Tiempo de notificación bajo carga</w:t>
            </w:r>
          </w:p>
        </w:tc>
        <w:tc>
          <w:tcPr/>
          <w:p>
            <w:pPr>
              <w:pStyle w:val="Compact"/>
              <w:jc w:val="left"/>
            </w:pPr>
            <w:r>
              <w:t xml:space="preserve">Ídem, con cien solicitudes concurrentes</w:t>
            </w:r>
          </w:p>
        </w:tc>
        <w:tc>
          <w:tcPr/>
          <w:p>
            <w:pPr>
              <w:pStyle w:val="Compact"/>
              <w:jc w:val="left"/>
            </w:pPr>
            <w:r>
              <w:t xml:space="preserve">ms</w:t>
            </w:r>
          </w:p>
        </w:tc>
        <w:tc>
          <w:tcPr/>
          <w:p>
            <w:pPr>
              <w:pStyle w:val="Compact"/>
              <w:jc w:val="left"/>
            </w:pPr>
            <w:r>
              <w:t xml:space="preserve">Percentil 99 &lt; 5.000 ms</w:t>
            </w:r>
          </w:p>
        </w:tc>
        <w:tc>
          <w:tcPr/>
          <w:p>
            <w:pPr>
              <w:pStyle w:val="Compact"/>
              <w:jc w:val="left"/>
            </w:pPr>
            <w:r>
              <w:t xml:space="preserve">10.º</w:t>
            </w:r>
          </w:p>
        </w:tc>
        <w:tc>
          <w:tcPr/>
          <w:p>
            <w:pPr>
              <w:pStyle w:val="Compact"/>
              <w:jc w:val="left"/>
            </w:pPr>
            <w:r>
              <w:t xml:space="preserve">4.ª</w:t>
            </w:r>
          </w:p>
        </w:tc>
        <w:tc>
          <w:tcPr/>
          <w:p>
            <w:pPr>
              <w:pStyle w:val="Compact"/>
              <w:jc w:val="left"/>
            </w:pPr>
            <w:r>
              <w:t xml:space="preserve">Tabla 13</w:t>
            </w:r>
          </w:p>
        </w:tc>
      </w:tr>
      <w:tr>
        <w:trPr>
          <w:cantSplit/>
        </w:trPr>
        <w:tc>
          <w:tcPr/>
          <w:p>
            <w:pPr>
              <w:pStyle w:val="Compact"/>
              <w:jc w:val="left"/>
            </w:pPr>
            <w:r>
              <w:t xml:space="preserve">Cobertura de automatización del triage</w:t>
            </w:r>
          </w:p>
        </w:tc>
        <w:tc>
          <w:tcPr/>
          <w:p>
            <w:pPr>
              <w:pStyle w:val="Compact"/>
              <w:jc w:val="left"/>
            </w:pPr>
            <w:r>
              <w:t xml:space="preserve">Proporción de tareas del marco NIST SP 800-61r2 (retirado en 2025; véase §2.7) practicadas sin intervención humana</w:t>
            </w:r>
          </w:p>
        </w:tc>
        <w:tc>
          <w:tcPr/>
          <w:p>
            <w:pPr>
              <w:pStyle w:val="Compact"/>
              <w:jc w:val="left"/>
            </w:pPr>
            <w:r>
              <w:t xml:space="preserve">%</w:t>
            </w:r>
          </w:p>
        </w:tc>
        <w:tc>
          <w:tcPr/>
          <w:p>
            <w:pPr>
              <w:pStyle w:val="Compact"/>
              <w:jc w:val="left"/>
            </w:pPr>
            <w:r>
              <w:t xml:space="preserve">≥ 80</w:t>
            </w:r>
          </w:p>
        </w:tc>
        <w:tc>
          <w:tcPr/>
          <w:p>
            <w:pPr>
              <w:pStyle w:val="Compact"/>
              <w:jc w:val="left"/>
            </w:pPr>
            <w:r>
              <w:t xml:space="preserve">7.º</w:t>
            </w:r>
          </w:p>
        </w:tc>
        <w:tc>
          <w:tcPr/>
          <w:p>
            <w:pPr>
              <w:pStyle w:val="Compact"/>
              <w:jc w:val="left"/>
            </w:pPr>
            <w:r>
              <w:t xml:space="preserve">6.ª</w:t>
            </w:r>
          </w:p>
        </w:tc>
        <w:tc>
          <w:tcPr/>
          <w:p>
            <w:pPr>
              <w:pStyle w:val="Compact"/>
              <w:jc w:val="left"/>
            </w:pPr>
            <w:r>
              <w:t xml:space="preserve">Tabla 14</w:t>
            </w:r>
          </w:p>
        </w:tc>
      </w:tr>
      <w:tr>
        <w:trPr>
          <w:cantSplit/>
        </w:trPr>
        <w:tc>
          <w:tcPr/>
          <w:p>
            <w:pPr>
              <w:pStyle w:val="Compact"/>
              <w:jc w:val="left"/>
            </w:pPr>
            <w:r>
              <w:t xml:space="preserve">Cobertura de historias de usuario</w:t>
            </w:r>
          </w:p>
        </w:tc>
        <w:tc>
          <w:tcPr/>
          <w:p>
            <w:pPr>
              <w:pStyle w:val="Compact"/>
              <w:jc w:val="left"/>
            </w:pPr>
            <w:r>
              <w:t xml:space="preserve">Historias del backlog con verificación automatizada completa</w:t>
            </w:r>
          </w:p>
        </w:tc>
        <w:tc>
          <w:tcPr/>
          <w:p>
            <w:pPr>
              <w:pStyle w:val="Compact"/>
              <w:jc w:val="left"/>
            </w:pPr>
            <w:r>
              <w:t xml:space="preserve">n de 31</w:t>
            </w:r>
          </w:p>
        </w:tc>
        <w:tc>
          <w:tcPr/>
          <w:p>
            <w:pPr>
              <w:pStyle w:val="Compact"/>
              <w:jc w:val="left"/>
            </w:pPr>
            <w:r>
              <w:t xml:space="preserve">31</w:t>
            </w:r>
          </w:p>
        </w:tc>
        <w:tc>
          <w:tcPr/>
          <w:p>
            <w:pPr>
              <w:pStyle w:val="Compact"/>
              <w:jc w:val="left"/>
            </w:pPr>
            <w:r>
              <w:t xml:space="preserve">Criterio de aceptación sin objetivo específico asociado (§1.5 no incluye la construcción del frontend como objetivo propio)</w:t>
            </w:r>
          </w:p>
        </w:tc>
        <w:tc>
          <w:tcPr/>
          <w:p>
            <w:pPr>
              <w:pStyle w:val="Compact"/>
              <w:jc w:val="left"/>
            </w:pPr>
            <w:r>
              <w:t xml:space="preserve">2.ª</w:t>
            </w:r>
          </w:p>
        </w:tc>
        <w:tc>
          <w:tcPr/>
          <w:p>
            <w:pPr>
              <w:pStyle w:val="Compact"/>
              <w:jc w:val="left"/>
            </w:pPr>
            <w:r>
              <w:t xml:space="preserve">Tabla 15</w:t>
            </w:r>
          </w:p>
        </w:tc>
      </w:tr>
      <w:tr>
        <w:trPr>
          <w:cantSplit/>
        </w:trPr>
        <w:tc>
          <w:tcPr/>
          <w:p>
            <w:pPr>
              <w:pStyle w:val="Compact"/>
              <w:jc w:val="left"/>
            </w:pPr>
            <w:r>
              <w:t xml:space="preserve">Preservación de eventos ante desconexión</w:t>
            </w:r>
          </w:p>
        </w:tc>
        <w:tc>
          <w:tcPr/>
          <w:p>
            <w:pPr>
              <w:pStyle w:val="Compact"/>
              <w:jc w:val="left"/>
            </w:pPr>
            <w:r>
              <w:t xml:space="preserve">Proporción de eventos encolados que se entregan tras la reconexión (no mide la proporción de operaciones generadas que llegan a encolarse)</w:t>
            </w:r>
          </w:p>
        </w:tc>
        <w:tc>
          <w:tcPr/>
          <w:p>
            <w:pPr>
              <w:pStyle w:val="Compact"/>
              <w:jc w:val="left"/>
            </w:pPr>
            <w:r>
              <w:t xml:space="preserve">%</w:t>
            </w:r>
          </w:p>
        </w:tc>
        <w:tc>
          <w:tcPr/>
          <w:p>
            <w:pPr>
              <w:pStyle w:val="Compact"/>
              <w:jc w:val="left"/>
            </w:pPr>
            <w:r>
              <w:t xml:space="preserve">100</w:t>
            </w:r>
          </w:p>
        </w:tc>
        <w:tc>
          <w:tcPr/>
          <w:p>
            <w:pPr>
              <w:pStyle w:val="Compact"/>
              <w:jc w:val="left"/>
            </w:pPr>
            <w:r>
              <w:t xml:space="preserve">7.º</w:t>
            </w:r>
          </w:p>
        </w:tc>
        <w:tc>
          <w:tcPr/>
          <w:p>
            <w:pPr>
              <w:pStyle w:val="Compact"/>
              <w:jc w:val="left"/>
            </w:pPr>
            <w:r>
              <w:t xml:space="preserve">5.ª</w:t>
            </w:r>
          </w:p>
        </w:tc>
        <w:tc>
          <w:tcPr/>
          <w:p>
            <w:pPr>
              <w:pStyle w:val="Compact"/>
              <w:jc w:val="left"/>
            </w:pPr>
            <w:r>
              <w:t xml:space="preserve">Tabla 16</w:t>
            </w:r>
          </w:p>
        </w:tc>
      </w:tr>
      <w:tr>
        <w:trPr>
          <w:cantSplit/>
        </w:trPr>
        <w:tc>
          <w:tcPr/>
          <w:p>
            <w:pPr>
              <w:pStyle w:val="Compact"/>
              <w:jc w:val="left"/>
            </w:pPr>
            <w:r>
              <w:t xml:space="preserve">Tiempo de drenaje tras reconexión</w:t>
            </w:r>
          </w:p>
        </w:tc>
        <w:tc>
          <w:tcPr/>
          <w:p>
            <w:pPr>
              <w:pStyle w:val="Compact"/>
              <w:jc w:val="left"/>
            </w:pPr>
            <w:r>
              <w:t xml:space="preserve">Intervalo entre la reconexión y la entrega del último evento encolado</w:t>
            </w:r>
          </w:p>
        </w:tc>
        <w:tc>
          <w:tcPr/>
          <w:p>
            <w:pPr>
              <w:pStyle w:val="Compact"/>
              <w:jc w:val="left"/>
            </w:pPr>
            <w:r>
              <w:t xml:space="preserve">s</w:t>
            </w:r>
          </w:p>
        </w:tc>
        <w:tc>
          <w:tcPr/>
          <w:p>
            <w:pPr>
              <w:pStyle w:val="Compact"/>
              <w:jc w:val="left"/>
            </w:pPr>
            <w:r>
              <w:t xml:space="preserve">&lt; 30</w:t>
            </w:r>
          </w:p>
        </w:tc>
        <w:tc>
          <w:tcPr/>
          <w:p>
            <w:pPr>
              <w:pStyle w:val="Compact"/>
              <w:jc w:val="left"/>
            </w:pPr>
            <w:r>
              <w:t xml:space="preserve">6.º</w:t>
            </w:r>
          </w:p>
        </w:tc>
        <w:tc>
          <w:tcPr/>
          <w:p>
            <w:pPr>
              <w:pStyle w:val="Compact"/>
              <w:jc w:val="left"/>
            </w:pPr>
            <w:r>
              <w:t xml:space="preserve">5.ª</w:t>
            </w:r>
          </w:p>
        </w:tc>
        <w:tc>
          <w:tcPr/>
          <w:p>
            <w:pPr>
              <w:pStyle w:val="Compact"/>
              <w:jc w:val="left"/>
            </w:pPr>
            <w:r>
              <w:t xml:space="preserve">Tabla 16</w:t>
            </w:r>
          </w:p>
        </w:tc>
      </w:tr>
      <w:tr>
        <w:trPr>
          <w:cantSplit/>
        </w:trPr>
        <w:tc>
          <w:tcPr/>
          <w:p>
            <w:pPr>
              <w:pStyle w:val="Compact"/>
              <w:jc w:val="left"/>
            </w:pPr>
            <w:r>
              <w:t xml:space="preserve">Proporción de detección comparativa</w:t>
            </w:r>
          </w:p>
        </w:tc>
        <w:tc>
          <w:tcPr/>
          <w:p>
            <w:pPr>
              <w:pStyle w:val="Compact"/>
              <w:jc w:val="left"/>
            </w:pPr>
            <w:r>
              <w:t xml:space="preserve">Diferencia entre la proporción de operaciones detectadas por el artefacto y por el esquema de encuestamiento</w:t>
            </w:r>
          </w:p>
        </w:tc>
        <w:tc>
          <w:tcPr/>
          <w:p>
            <w:pPr>
              <w:pStyle w:val="Compact"/>
              <w:jc w:val="left"/>
            </w:pPr>
            <w:r>
              <w:t xml:space="preserve">puntos porcentuales</w:t>
            </w:r>
          </w:p>
        </w:tc>
        <w:tc>
          <w:tcPr/>
          <w:p>
            <w:pPr>
              <w:pStyle w:val="Compact"/>
              <w:jc w:val="left"/>
            </w:pPr>
            <w:r>
              <w:t xml:space="preserve">&gt; 0</w:t>
            </w:r>
          </w:p>
        </w:tc>
        <w:tc>
          <w:tcPr/>
          <w:p>
            <w:pPr>
              <w:pStyle w:val="Compact"/>
              <w:jc w:val="left"/>
            </w:pPr>
            <w:r>
              <w:t xml:space="preserve">11.º</w:t>
            </w:r>
          </w:p>
        </w:tc>
        <w:tc>
          <w:tcPr/>
          <w:p>
            <w:pPr>
              <w:pStyle w:val="Compact"/>
              <w:jc w:val="left"/>
            </w:pPr>
            <w:r>
              <w:t xml:space="preserve">3.ª (grupo de control)</w:t>
            </w:r>
          </w:p>
        </w:tc>
        <w:tc>
          <w:tcPr/>
          <w:p>
            <w:pPr>
              <w:pStyle w:val="Compact"/>
              <w:jc w:val="left"/>
            </w:pPr>
            <w:r>
              <w:t xml:space="preserve">Tabla 17</w:t>
            </w:r>
          </w:p>
        </w:tc>
      </w:tr>
    </w:tbl>
    <w:p>
      <w:pPr>
        <w:pStyle w:val="BodyText"/>
      </w:pPr>
      <w:r>
        <w:rPr>
          <w:bCs/>
          <w:b/>
          <w:iCs/>
          <w:i/>
        </w:rPr>
        <w:t xml:space="preserve">Nota.</w:t>
      </w:r>
      <w:r>
        <w:rPr>
          <w:iCs/>
          <w:i/>
        </w:rPr>
        <w:t xml:space="preserve"> Elaboración propia. Los umbrales se reproducen de la Tabla 1. La última columna remite a la tabla del Capítulo 5 que reporta el valor observado, y la Tabla 18 sintetiza la evaluación contra cada umbral. Los indicadores se enuncian con idéntica denominación en las Tablas 1, 4 y 18. La numeración de baterías corresponde a la del apartado 3.7.</w:t>
      </w:r>
    </w:p>
    <w:p>
      <w:pPr>
        <w:pStyle w:val="BodyText"/>
      </w:pPr>
      <w:r>
        <w:t xml:space="preserve">Población, unidad de análisis y muestreo. Corresponde precisar sobre qué se mide, por cuanto la naturaleza de la unidad de análisis condiciona el alcance de las conclusiones.</w:t>
      </w:r>
    </w:p>
    <w:p>
      <w:pPr>
        <w:pStyle w:val="BodyText"/>
      </w:pPr>
      <w:r>
        <w:t xml:space="preserve">La unidad de análisis no es el anfitrión monitoreado sino la operación de modificación sobre un archivo bajo vigilancia. El universo correspondiente es el conjunto de operaciones de escritura, creación, eliminación y renombrado practicables sobre los directorios monitoreados a través de la interfaz de archivos del sistema operativo, con la delimitación que el apartado 1.6 establece respecto de las vías que el subsistema de detección no notifica. Las muestras no se obtienen por selección de un universo preexistente, sino por generación programática controlada; este procedimiento lo impone la naturaleza del objeto, ya que no existe una población de operaciones de archivo enumerable de la cual extraer una muestra probabilística. La alternativa —observar tráfico de un sistema en producción— sacrificaría el control sobre la composición de la carga, que es precisamente lo que habilita el desglose por patrón del apartado 5.7.</w:t>
      </w:r>
    </w:p>
    <w:p>
      <w:pPr>
        <w:pStyle w:val="BodyText"/>
      </w:pPr>
      <w:r>
        <w:t xml:space="preserve">El generador de carga produce, en consecuencia, una muestra cuya composición se especifica por diseño: proporción de operaciones por tipo, de cambios revertidos, de ráfagas, de archivos efímeros y de rutas críticas. La semilla del generador pseudoaleatorio se consigna en el apartado 5.1, para garantizar la reproducción exacta de la secuencia. La representatividad que se reivindica no es estadística respecto de una población de sistemas reales, sino estructural respecto de los patrones de modificación que el problema de investigación identifica como relevantes. Entre ellos se cuentan el colapso de cambios sucesivos y la reversión al estado previo, que son los que el apartado 1.2 caracteriza como constitutivos de la ventana de ceguera.</w:t>
      </w:r>
    </w:p>
    <w:p>
      <w:pPr>
        <w:pStyle w:val="BodyText"/>
      </w:pPr>
      <w:r>
        <w:t xml:space="preserve">La batería histórica de latencia generó 500 operaciones y produjo 493 observaciones con evento correlacionado; los percentiles describen esa muestra observada. No se presenta un intervalo de confianza del percentil 99 hasta disponer de un cálculo reproducible que justifique su cobertura y sus estadísticos de orden. La batería de notificaciones planificó mil invocaciones, pero ejecutó 360 operaciones y registró 329 muestras bajo tasas de emisión diferentes de la concurrencia prevista. La batería histórica de resiliencia generó 3.000 operaciones durante la desconexión; este volumen no debe confundirse con los 3.000 eventos preencolados de los ensayos posteriores de drenaje. Los ensayos posteriores de cierre usaron muestras propias que no se agregan a las anteriores: 100 solicitudes simultáneas de notificación, cinco corridas de 3.000 eventos preencolados y 100 modificaciones secuenciales a 10 operaciones por segundo con inicio observado externamente.</w:t>
      </w:r>
    </w:p>
    <w:bookmarkEnd w:id="54"/>
    <w:bookmarkStart w:id="55" w:name="herramientas-utilizadas"/>
    <w:p>
      <w:pPr>
        <w:pStyle w:val="Heading2"/>
      </w:pPr>
      <w:r>
        <w:rPr>
          <w:bCs/>
          <w:b/>
        </w:rPr>
        <w:t xml:space="preserve">3.5 Herramientas utilizadas</w:t>
      </w:r>
    </w:p>
    <w:p>
      <w:pPr>
        <w:pStyle w:val="FirstParagraph"/>
      </w:pPr>
      <w:r>
        <w:t xml:space="preserve">El presente apartado compendia, por claridad expositiva, el conjunto de herramientas empleadas tanto durante la fase de recolección como durante la fase de procesamiento posterior de los datos experimentales. Las herramientas se agrupan en tres categorías funcionales según su propósito dentro del protocolo.</w:t>
      </w:r>
    </w:p>
    <w:p>
      <w:pPr>
        <w:pStyle w:val="BodyText"/>
      </w:pPr>
      <w:r>
        <w:t xml:space="preserve">La primera categoría comprende las herramientas de generación de carga experimental. El instrumento principal es un generador de carga de archivos desarrollado específicamente para el presente trabajo en lenguaje Python, que crea, modifica y elimina archivos según los parámetros configurables del protocolo (tamaño, distribución temporal, proporción de operaciones). Complementariamente, se emplea la utilidad tcpdump del sistema para capturar tráfico de red durante las pruebas, como instrumento de verificación independiente de los timestamps consignados por el propio sistema. La utilidad strace proporciona trazas de llamadas al sistema cuando se requiere correlación fina entre eventos fanotify y operaciones del agente.</w:t>
      </w:r>
    </w:p>
    <w:p>
      <w:pPr>
        <w:pStyle w:val="BodyText"/>
      </w:pPr>
      <w:r>
        <w:t xml:space="preserve">La segunda categoría comprende las herramientas de recolección y registro. El sistema emplea structlog, biblioteca Python para logging estructurado en formato JSON, en todos los componentes de software. Las consultas SQL ejecutadas directamente sobre PostgreSQL proveen extracción de métricas agregadas desde las tablas de eventos, alertas y auditoría. El conjunto de scripts de shell automatiza la ejecución secuencial de las baterías del protocolo y la recolección de archivos de traza resultantes.</w:t>
      </w:r>
    </w:p>
    <w:p>
      <w:pPr>
        <w:pStyle w:val="BodyText"/>
      </w:pPr>
      <w:r>
        <w:t xml:space="preserve">La tercera categoría comprende las herramientas de procesamiento estadístico. La biblioteca pandas de Python provee las capacidades de tratamiento de los datos capturados, particularmente para el cálculo de percentiles, medias, desviaciones y agregaciones cruzadas. La biblioteca matplotlib se empleó para la generación de visualizaciones de apoyo durante el análisis; el Capítulo 5 reporta los resultados en tablas.</w:t>
      </w:r>
    </w:p>
    <w:p>
      <w:pPr>
        <w:pStyle w:val="BodyText"/>
      </w:pPr>
      <w:r>
        <w:t xml:space="preserve">La cuarta categoría comprende las herramientas de verificación automatizada del propio artefacto. El marco de pruebas pytest, con su extensión para código asíncrono, gobierna la ejecución de la batería de casos de prueba que verifica el comportamiento de los componentes. La verificación del backend se practica contra instancias efímeras de PostgreSQL y de Valkey levantadas mediante contenedores Docker de vida acotada a la sesión de pruebas, decisión cuyo fundamento se desarrolla en el apartado 4.9. La verificación del agente se practica mediante sustitución controlada del enlace al subsistema fanotify, lo que permite ejercitar la lógica de decisión, la gestión de la cola local, la resolución de la cadena de eventos superados y el protocolo de confirmación sin requerir privilegios de núcleo. Los verificadores estáticos de tipos y de estilo complementan la batería dinámica.</w:t>
      </w:r>
    </w:p>
    <w:bookmarkEnd w:id="55"/>
    <w:bookmarkStart w:id="56" w:name="técnicas-de-recolección"/>
    <w:p>
      <w:pPr>
        <w:pStyle w:val="Heading2"/>
      </w:pPr>
      <w:r>
        <w:rPr>
          <w:bCs/>
          <w:b/>
        </w:rPr>
        <w:t xml:space="preserve">3.6 Técnicas de recolección</w:t>
      </w:r>
    </w:p>
    <w:p>
      <w:pPr>
        <w:pStyle w:val="FirstParagraph"/>
      </w:pPr>
      <w:r>
        <w:t xml:space="preserve">El protocolo previó cuatro técnicas complementarias de recolección. En la corrida informada no se conservaron resultados de la captura de paquetes ni del monitoreo de llamadas al sistema; por tanto, la redundancia temporal prevista mediante tcpdump y strace no fue aplicada ni puede presentarse como verificación cruzada de las mediciones críticas. Un ensayo posterior e independiente (apartado 5.2.1) aplicó strace para observar el cierre de cada archivo modificado; ese resultado no se proyecta retroactivamente sobre la batería histórica.</w:t>
      </w:r>
    </w:p>
    <w:p>
      <w:pPr>
        <w:pStyle w:val="BodyText"/>
      </w:pPr>
      <w:r>
        <w:t xml:space="preserve">La primera técnica es la medición directa mediante instrumentación programática del propio sistema. Marcas temporales con precisión de nanosegundos se obtienen en los puntos críticos del flujo: detección por fanotify, publicación en Valkey con el campo detected_at, y consumo por el backend con el campo received_at. También se instrumentan el cálculo de hash, la consulta a baseline, la actualización de estado y la emisión de notificación.</w:t>
      </w:r>
    </w:p>
    <w:p>
      <w:pPr>
        <w:pStyle w:val="BodyText"/>
      </w:pPr>
      <w:r>
        <w:t xml:space="preserve">La cadena que un evento recorre comprende cinco instantes que conviene distinguir, por cuanto cada intervalo entre ellos mide una cosa distinta: (a) el instante de modificación, que fija el generador de carga al completar la operación sobre el archivo; (b) el instante de recepción del evento por el agente, que el subsistema fanotify entrega y el agente registra como detected_at; (c) el instante de recepción por el backend, registrado como received_at al consumir el stream; (d) el instante de aceptación del webhook por su receptor; y (e) el instante de recepción final en el canal externo, que depende de servicios de terceros. La latencia objetivo comprende (a)→(c). El resultado histórico de 17,274 ms se calculó sobre (b)→(c). El cierre reporta además una reagregación desde la marca posterior a la operación del generador hasta (c), con P99 de 17,745 ms. Ambos intervalos se conservan diferenciados; la reagregación se informa como análisis reportado del cierre. Un tercer valor, 31,533 ms, proviene de una corrida nueva de cien modificaciones que operacionaliza (a) como la finalización de close(2), observada externamente mediante strace, y mide hasta (c). Los tres valores corresponden a intervalos o muestras distintos y no son intercambiables. Ninguna de esas mediciones acredita por sí sola el comportamiento con red remota o cifrado de transporte habilitado. El tiempo de notificación se define entre (c) y (d), y no comprende (e).</w:t>
      </w:r>
    </w:p>
    <w:p>
      <w:pPr>
        <w:pStyle w:val="BodyText"/>
      </w:pPr>
      <w:r>
        <w:t xml:space="preserve">La segunda técnica es el análisis de logs estructurados en formato JSON emitidos por todos los componentes del sistema. La tercera técnica es la inspección manual de las notificaciones emitidas hacia los canales configurados, con el propósito de verificar contenido, completitud y oportunidad temporal. La cuarta técnica es la evaluación de cobertura contra la checklist derivada del marco NIST SP 800-61 en su revisión 2, realizada por los autores del trabajo mediante análisis cualitativo estructurado con criterios objetivados. Esa revisión 2 fue retirada y sustituida por la revisión 3 en abril de 2025 (Nelson et al., 2025), conforme se explica en el apartado 2.7.</w:t>
      </w:r>
    </w:p>
    <w:p>
      <w:pPr>
        <w:pStyle w:val="BodyText"/>
      </w:pPr>
      <w:r>
        <w:t>A las cuatro técnicas de recolección se suma el análisis comparativo con el grupo de control. El protocolo formulado a priori preveía una prueba exacta de Fisher y un intervalo del 95 % para la diferencia de proporciones, pero trataba las muestras como independientes. En realidad, las mismas quinientas operaciones se observaron en ambos grupos; por tanto, cada operación aporta resultados pareados y el contraste pertinente es McNemar sobre las discordancias (McNemar, 1947). Newcombe (1998) describe métodos de intervalo para la diferencia entre proporciones binomiales basados en datos pareados. Sin embargo, la tabla de pares operación por operación y el script de recálculo no están disponibles; por tanto, el apartado 5.7 conserva únicamente la diferencia descriptiva y el apartado 8.1 registra el análisis inferencial como pendiente. No se practica contraste inferencial sobre latencias, porque sus intervalos de medición no son equivalentes.</w:t>
      </w:r>
    </w:p>
    <w:p>
      <w:pPr>
        <w:pStyle w:val="BodyText"/>
      </w:pPr>
      <w:r>
        <w:t xml:space="preserve">Los dos instrumentos de elaboración propia requieren consideración específica, por cuanto no provienen de fuentes validadas externamente.</w:t>
      </w:r>
    </w:p>
    <w:p>
      <w:pPr>
        <w:pStyle w:val="BodyText"/>
      </w:pPr>
      <w:r>
        <w:t xml:space="preserve">El primero es el generador de carga. Su validación se practicó mediante una prueba piloto previa a la corrida oficial, cuyo propósito fue verificar que la composición efectiva de la carga producida se correspondiera con la especificada por parámetro y que el instrumento no introdujera sesgo en la distribución temporal de las operaciones. La prueba verificó, adicionalmente, que la secuencia resultara reproducible bajo idéntica semilla del generador pseudoaleatorio, condición necesaria para la reproducción de las mediciones por parte de un tercero.</w:t>
      </w:r>
    </w:p>
    <w:p>
      <w:pPr>
        <w:pStyle w:val="BodyText"/>
      </w:pPr>
      <w:r>
        <w:t xml:space="preserve">El segundo es la lista de verificación de tareas de triage. Su derivación del marco NIST SP 800-61 en su revisión 2 se practicó mediante un procedimiento explícito que conviene documentar, por cuanto la composición de la lista determina aritméticamente el valor del indicador de cobertura. Se tomó como universo la fase de detección y análisis de esa revisión del marco, y se enumeró cada acción que el documento prescribe sobre un evento de seguridad individual. Se excluyeron las acciones referidas a la preparación organizacional, a la contención y a la actividad posterior al incidente, por corresponder a fases distintas que exceden el alcance de un sistema de monitoreo de integridad. El criterio de inclusión se aplicó con anterioridad a la evaluación de qué tareas el artefacto automatiza, de modo que la composición de la lista no quedara condicionada por las capacidades del sistema. La Tabla 14 consigna, para cada tarea, la sección de la revisión 2 de la que se deriva.</w:t>
      </w:r>
    </w:p>
    <w:p>
      <w:pPr>
        <w:pStyle w:val="BodyText"/>
      </w:pPr>
      <w:r>
        <w:t xml:space="preserve">Corresponde consignar la limitación que ambos instrumentos comparten: la derivación de la lista y la evaluación de cada tarea fueron practicadas por los autores del trabajo, sin verificación por evaluadores independientes. La confiabilidad entre observadores no se estimó, y el indicador de cobertura debe leerse, en consecuencia, como una caracterización fundamentada del alcance de la automatización antes que como una medición con propiedades psicométricas establecidas.</w:t>
      </w:r>
    </w:p>
    <w:bookmarkEnd w:id="56"/>
    <w:bookmarkStart w:id="57" w:name="protocolo-experimental"/>
    <w:p>
      <w:pPr>
        <w:pStyle w:val="Heading2"/>
      </w:pPr>
      <w:r>
        <w:rPr>
          <w:bCs/>
          <w:b/>
        </w:rPr>
        <w:t xml:space="preserve">3.7 Protocolo experimental</w:t>
      </w:r>
    </w:p>
    <w:p>
      <w:pPr>
        <w:pStyle w:val="FirstParagraph"/>
      </w:pPr>
      <w:r>
        <w:t xml:space="preserve">El protocolo se estructura en siete baterías secuenciales ejecutables sobre un laboratorio contenedorizado con características estandarizadas. El anfitrión físico de referencia provee un procesador Intel Core i7 de decimotercera generación, 32 gibibytes de memoria RAM, almacenamiento NVMe de 1 terabyte, y sistema operativo Ubuntu Server 24.04 LTS. Sobre este anfitrión se ejecuta el servidor central mediante Docker Compose con los componentes backend, PostgreSQL, Valkey y frontend, junto con un contenedor separado que aloja a un anfitrión monitoreado simulado donde el agente corre en la configuración contenedorizada de laboratorio descripta en el apartado 4.10. El anfitrión físico aloja adicionalmente la tarea cron del grupo de control, aislada en su propio directorio de baseline.</w:t>
      </w:r>
    </w:p>
    <w:p>
      <w:pPr>
        <w:pStyle w:val="BodyText"/>
      </w:pPr>
      <w:r>
        <w:t xml:space="preserve">Las condiciones bajo las cuales se ejecutó la corrida informada difieren del despliegue recomendado en cuatro aspectos que deben conocerse antes de leer cualquier resultado. El primero es que la topología es co-residente, con agente y servidor central sobre el mismo equipo y sin latencia de red real; el segundo, que el agente se ejecuta contenedorizado, con concesión explícita de capacidades de núcleo, y no como servicio nativo. El tercero es que el orquestador de notificaciones n8n no se encontraba activo durante la corrida, de modo que la batería de notificación mide hasta la aceptación del webhook por su receptor y no la ejecución de un flujo de n8n. El cuarto es que el cifrado de transporte entre agente y servidor central se encontraba deshabilitado durante la corrida, de modo que las latencias no incorporan el costo de la autenticación mutua ni del cifrado del canal. Ninguna medición del Capítulo 5 debe generalizarse a una instalación distribuida con cifrado de transporte habilitado.</w:t>
      </w:r>
    </w:p>
    <w:p>
      <w:pPr>
        <w:pStyle w:val="BodyText"/>
      </w:pPr>
      <w:r>
        <w:t xml:space="preserve">La primera batería corresponde al establecimiento de la baseline inicial mediante el proceso de escaneo del agente sobre los directorios monitoreados, con verificación de consistencia mediante comparación contra sha256sum. La segunda batería ejecuta la validación funcional: se corre la batería automatizada de pruebas. Mediante una matriz de trazabilidad se contrasta qué historias de las treinta y una del backlog —veinticuatro originales más siete incorporadas tras la auditoría interna— cuentan con casos que verifican sus criterios de aceptación, y en qué grado.</w:t>
      </w:r>
    </w:p>
    <w:p>
      <w:pPr>
        <w:pStyle w:val="BodyText"/>
      </w:pPr>
      <w:r>
        <w:t xml:space="preserve">La tercera batería mide la latencia de detección mediante quinientas modificaciones programáticas con distribución temporal uniforme sobre treinta minutos, ejecutada en paralelo sobre el grupo experimental y el grupo de control; la comparación entre ambos grupos del apartado 5.7 se obtiene de esta misma batería. La cuarta batería mide el tiempo del proceso de notificación mediante mil invocaciones planificadas, distribuidas en tres niveles de concurrencia (1, 10 y 100 solicitudes simultáneas); el apartado 5.3 consigna la discrepancia entre esa planificación y la corrida informada.</w:t>
      </w:r>
    </w:p>
    <w:p>
      <w:pPr>
        <w:pStyle w:val="BodyText"/>
      </w:pPr>
      <w:r>
        <w:t xml:space="preserve">La quinta batería evalúa la resiliencia frente a la desconexión del backend durante cinco minutos, mientras se generan eventos a una tasa de diez por segundo. Verifica que la cola local del agente preserve los eventos en orden y los entregue íntegramente tras la reconexión, conforme al protocolo que procesa primero los comandos pendientes y después los eventos encolados. La sexta batería evalúa la cobertura de automatización del triage mediante análisis comparativo contra la checklist derivada del NIST SP 800-61r2.</w:t>
      </w:r>
    </w:p>
    <w:p>
      <w:pPr>
        <w:pStyle w:val="BodyText"/>
      </w:pPr>
      <w:r>
        <w:t xml:space="preserve">La séptima batería caracteriza la limitación del subsistema fanotify frente a modificaciones aplicadas mediante mapeo de memoria compartido. Para ello ejercita tres formas de escritura sobre archivos previamente incorporados a la baseline, con el propósito de establecer si constituye una evasión efectiva de la detección y bajo qué condiciones, conforme se detalla en el apartado 5.9.</w:t>
      </w:r>
    </w:p>
    <w:p>
      <w:pPr>
        <w:pStyle w:val="BodyText"/>
      </w:pPr>
      <w:r>
        <w:t xml:space="preserve">Las planillas de captura correspondientes a las siete baterías se presentan en el Capítulo 5.</w:t>
      </w:r>
    </w:p>
    <w:bookmarkEnd w:id="57"/>
    <w:bookmarkStart w:id="58" w:name="X4bc87080821f547ff44d28778f1ee0c2930b8ac"/>
    <w:p>
      <w:pPr>
        <w:pStyle w:val="BodyText"/>
      </w:pPr>
      <w:r>
        <w:t xml:space="preserve">Las baterías originales se conservan como evaluación histórica. Las ejecuciones posteriores siguen asociadas a sus propios cortes. La validación consolidada del candidato 7df4935f769a2e393a5e6a6330df605c77592e52 se conserva como corte anterior. La validación consolidada vigente corresponde al candidato 7a7ee5011d9234023687687ed95a7cdda9437711. Ningún corte se suma a otro. El Anexo F identifica el bundle, el archivo determinista, el manifiesto y las limitaciones de cada alcance.</w:t>
      </w:r>
    </w:p>
    <w:p>
      <w:pPr>
        <w:pStyle w:val="FirstParagraph"/>
      </w:pPr>
      <w:r>
        <w:t xml:space="preserve">Con posterioridad a la suite consolidada se ejecutaron tres ensayos dirigidos sobre el candidato 7df4935f769a2e393a5e6a6330df605c77592e52, recuperado desde su bundle: concurrencia de notificaciones, repetición del drenaje de Run 4 y latencia con inicio observado externamente. Sus protocolos, registros individuales, intentos inválidos y verificación independiente se conservan en docs/cierre/evidencia/experiments-closure-20260912T004612Z/ (Anexo F). Se ejecutaron en un único anfitrión físico, con puertos, redes, contenedores y volúmenes aislados, y no sustituyen ni modifican las baterías históricas. Esos ensayos no se repitieron sobre el candidato vigente 7a7ee50; sus resultados describen el candidato 7df4935.</w:t>
      </w:r>
    </w:p>
    <w:p>
      <w:pPr>
        <w:pStyle w:val="Heading2"/>
      </w:pPr>
      <w:r>
        <w:t xml:space="preserve">3.8 Gestión del proceso de desarrollo y verificación de consistencia</w:t>
      </w:r>
    </w:p>
    <w:p>
      <w:pPr>
        <w:pStyle w:val="FirstParagraph"/>
      </w:pPr>
      <w:r>
        <w:t xml:space="preserve">El desarrollo del artefacto se gobernó mediante un procedimiento de especificación previa que conviene documentar, en tanto constituye parte del aporte metodológico del trabajo y condiciona la trazabilidad de los resultados.</w:t>
      </w:r>
    </w:p>
    <w:p>
      <w:pPr>
        <w:pStyle w:val="BodyText"/>
      </w:pPr>
      <w:r>
        <w:t xml:space="preserve">La unidad de trabajo adoptada es el cambio especificado. Cada incremento funcional del sistema se formuló primero como un documento de especificación que enuncia el problema atendido, las capacidades afectadas, el comportamiento esperado en forma de requisitos verificables y los criterios de aceptación del cambio. Solamente tras la aprobación de esa especificación se produjo el código correspondiente, y el cambio se consideró cerrado cuando la batería de pruebas asociada verificaba cada requisito enunciado. El proyecto se organizó en treinta y nueve cambios de esta naturaleza, agrupados en cuatro hitos: dominio, persistencia e infraestructura; bucle central de comunicación entre agente y backend; motor de decisión, aprobación humana y sincronización; y frontend completo con endurecimiento de seguridad.</w:t>
      </w:r>
    </w:p>
    <w:p>
      <w:pPr>
        <w:pStyle w:val="BodyText"/>
      </w:pPr>
      <w:r>
        <w:t xml:space="preserve">El comportamiento del sistema se formalizó, de manera transversal a los cambios, en un catálogo de ciento veintiocho reglas de negocio identificadas de modo unívoco. Cada regla enuncia una obligación verificable del sistema —por ejemplo, el límite y la política de descarte de la cola local del agente, el umbral de tolerancia de desincronización horaria, o el tratamiento de los enlaces simbólicos que escapan del ámbito monitoreado—. El identificador de cada regla se cita explícitamente en la documentación interna del código que la implementa y en la prueba que la verifica, lo que establece una cadena de trazabilidad de tres eslabones entre requisito, implementación y evidencia de cumplimiento. Esta trazabilidad es la que permite establecer, en el apartado 5.5.1, qué historias del backlog cuentan con verificación automatizada y en qué grado, en lugar de afirmar una cobertura que la evidencia no sustenta.</w:t>
      </w:r>
    </w:p>
    <w:p>
      <w:pPr>
        <w:pStyle w:val="BodyText"/>
      </w:pPr>
      <w:r>
        <w:t xml:space="preserve">El proceso incorporó, adicionalmente, una instancia de auditoría interna de consistencia, seguridad y resiliencia, practicada sobre el sistema ya implementado y con anterioridad a la fase de medición. El procedimiento y sus resultados se documentan en el apartado 4.12.</w:t>
      </w:r>
    </w:p>
    <w:p>
      <w:r>
        <w:br w:type="page"/>
      </w:r>
    </w:p>
    <w:bookmarkEnd w:id="58"/>
    <w:bookmarkEnd w:id="59"/>
    <w:bookmarkStart w:id="96" w:name="X3998ab1d324e9f79c747a7f95561b719916b86a"/>
    <w:p>
      <w:pPr>
        <w:pStyle w:val="Heading1"/>
      </w:pPr>
      <w:r>
        <w:rPr>
          <w:bCs/>
          <w:b/>
        </w:rPr>
        <w:t xml:space="preserve">CAPÍTULO 4. DESARROLLO DE LA INVESTIGACIÓN</w:t>
      </w:r>
    </w:p>
    <w:p>
      <w:pPr>
        <w:pStyle w:val="FirstParagraph"/>
      </w:pPr>
      <w:r>
        <w:t xml:space="preserve">El presente capítulo documenta el proceso de diseño del sistema mediante la descripción funcional de cada componente y de sus interacciones. La exposición privilegia los flujos de procesamiento y las decisiones arquitectónicas por sobre el detalle de implementación, coherente con el carácter académico del trabajo. Las decisiones técnicas que se describen a continuación incorporan los resultados de una auditoría interna de consistencia, seguridad y resiliencia documentada por el equipo de diseño. Los extractos ilustrativos de esquemas y configuraciones se incluyen en los anexos del Capítulo 12.</w:t>
      </w:r>
    </w:p>
    <w:p>
      <w:pPr>
        <w:pStyle w:val="BodyText"/>
      </w:pPr>
      <w:r>
        <w:t xml:space="preserve">Resulta oportuno explicitar, antes de ingresar al contenido sustantivo, una observación sobre la organización del presente capítulo. El trabajo corresponde a una investigación aplicada orientada a la construcción de un artefacto tecnológico, y no a una auditoría empírica sobre un sistema ajeno. Por ello, el capítulo de desarrollo se organiza como descripción detallada del artefacto construido. La descripción del entorno experimental sobre el cual se lo evaluó, en cambio, se proporciona en el apartado 3.7 como parte del Marco Metodológico.</w:t>
      </w:r>
    </w:p>
    <w:bookmarkStart w:id="63" w:name="X9e0c5330cd32357e11c0b36454a1756b5c213ff"/>
    <w:p>
      <w:pPr>
        <w:pStyle w:val="Heading2"/>
      </w:pPr>
      <w:r>
        <w:rPr>
          <w:bCs/>
          <w:b/>
        </w:rPr>
        <w:t xml:space="preserve">4.1 Arquitectura general y distribución física</w:t>
      </w:r>
    </w:p>
    <w:p>
      <w:pPr>
        <w:pStyle w:val="FirstParagraph"/>
      </w:pPr>
      <w:r>
        <w:t xml:space="preserve">El sistema se concibe bajo un patrón arquitectónico de microservicios ligeramente acoplados, en el cual cada componente asume una responsabilidad técnica claramente delimitada y se comunica con los restantes exclusivamente a través de interfaces estandarizadas. Esta decisión responde a cuatro objetivos convergentes: la mantenibilidad mediante la evolución independiente de cada componente, y la sustitución tecnológica habilitada por el bajo acoplamiento entre piezas. También responde a la posibilidad de un despliegue físicamente distribuido, y a la aplicación de controles de seguridad específicos a cada interfaz, como materialización concreta del principio de defensa en profundidad.</w:t>
      </w:r>
    </w:p>
    <w:p>
      <w:pPr>
        <w:pStyle w:val="BodyText"/>
      </w:pPr>
      <w:r>
        <w:t xml:space="preserve">La Figura 1 presenta la arquitectura general del sistema, identificando los seis componentes, los tres canales principales de comunicación y la separación física entre el anfitrión monitoreado y el servidor central.</w:t>
      </w:r>
    </w:p>
    <w:p>
      <w:pPr>
        <w:pStyle w:val="BodyText"/>
      </w:pPr>
      <w:r>
        <w:drawing>
          <wp:inline>
            <wp:extent cx="5334000" cy="3200400"/>
            <wp:effectExtent b="0" l="0" r="0" t="0"/>
            <wp:docPr descr="" title="" id="61" name="Picture"/>
            <a:graphic>
              <a:graphicData uri="http://schemas.openxmlformats.org/drawingml/2006/picture">
                <pic:pic>
                  <pic:nvPicPr>
                    <pic:cNvPr descr="./media/image6.png" id="62" name="Picture"/>
                    <pic:cNvPicPr>
                      <a:picLocks noChangeArrowheads="1" noChangeAspect="1"/>
                    </pic:cNvPicPr>
                  </pic:nvPicPr>
                  <pic:blipFill>
                    <a:blip r:embed="rId6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keepNext/>
      </w:pPr>
      <w:r>
        <w:rPr>
          <w:bCs/>
          <w:b/>
          <w:iCs/>
          <w:i/>
        </w:rPr>
        <w:t xml:space="preserve">Figura 1.</w:t>
      </w:r>
      <w:r>
        <w:rPr>
          <w:iCs/>
          <w:i/>
        </w:rPr>
        <w:t xml:space="preserve"> Arquitectura general del sistema y distribución física</w:t>
      </w:r>
    </w:p>
    <w:p>
      <w:pPr>
        <w:pStyle w:val="BodyText"/>
      </w:pPr>
      <w:r>
        <w:t>Nota. Los agentes operan como servicios nativos sobre los anfitriones monitoreados. El canal agente-backend utiliza TLS 1.3 con autenticación mutua. El transporte mediante Valkey Streams se representa por separado: las corridas documentadas utilizaron Valkey sin TLS y no verifican TLS para ese transporte. La baseline restaurable permanece cifrada localmente en el anfitrión.</w:t>
      </w:r>
    </w:p>
    <w:p>
      <w:pPr>
        <w:pStyle w:val="BodyText"/>
      </w:pPr>
      <w:r>
        <w:t xml:space="preserve">La distribución física del sistema opera sobre dos ámbitos físicos diferenciados. El primero es el servidor central, donde se contenedoriza mediante Docker Compose el conjunto de componentes del lado servidor: el backend FastAPI, la base de datos PostgreSQL, el motor de mensajería Valkey, el orquestador de notificaciones n8n, y la aplicación frontend servida por nginx. El segundo son los anfitriones monitoreados, en cada uno de los cuales el agente se despliega como servicio nativo del sistema operativo gestionado por systemd, sin contenedorización. Esta separación obedece a razones técnicas concretas descriptas en el apartado 4.10: el agente requiere visibilidad directa del sistema de archivos del anfitrión, capacidades específicas del núcleo como CAP_SYS_ADMIN para fanotify, y un ciclo de vida acoplado al del anfitrión antes que a un orquestador de contenedores.</w:t>
      </w:r>
    </w:p>
    <w:p>
      <w:pPr>
        <w:pStyle w:val="BodyText"/>
      </w:pPr>
      <w:r>
        <w:t xml:space="preserve">El backend se diseña como instancia única por decisión explícita: no se contempla despliegue con alta disponibilidad multi-réplica en el producto mínimo viable. Las asunciones del bloqueo optimista sobre la tabla de eventos, de la limitación de tasa en proceso y del consumer group único de Valkey se sustentan en este supuesto. La Tabla 5 resume el stack tecnológico adoptado con las versiones validadas a la fecha de elaboración del presente documento.</w:t>
      </w:r>
    </w:p>
    <w:p>
      <w:pPr>
        <w:pStyle w:val="BodyText"/>
        <w:keepNext/>
      </w:pPr>
      <w:r>
        <w:rPr>
          <w:bCs/>
          <w:b/>
          <w:iCs/>
          <w:i/>
        </w:rPr>
        <w:t xml:space="preserve">Tabla 5.</w:t>
      </w:r>
      <w:r>
        <w:rPr>
          <w:iCs/>
          <w:i/>
        </w:rPr>
        <w:t xml:space="preserve"> Stack tecnológico por componente</w:t>
      </w:r>
    </w:p>
    <w:tbl>
      <w:tblPr>
        <w:tblStyle w:val="Table"/>
        <w:tblW w:type="pct" w:w="4927"/>
        <w:jc w:val="start"/>
        <w:tblLook w:firstRow="1" w:lastRow="0" w:firstColumn="0" w:lastColumn="0" w:noHBand="0" w:noVBand="0" w:val="0020"/>
      </w:tblPr>
      <w:tblGrid>
        <w:gridCol w:w="1907"/>
        <w:gridCol w:w="3063"/>
        <w:gridCol w:w="1214"/>
        <w:gridCol w:w="1618"/>
      </w:tblGrid>
      <w:tr>
        <w:trPr>
          <w:tblHeader w:val="true"/>
          <w:cantSplit/>
        </w:trPr>
        <w:tc>
          <w:tcPr/>
          <w:p>
            <w:pPr>
              <w:pStyle w:val="Compact"/>
              <w:jc w:val="left"/>
            </w:pPr>
            <w:r>
              <w:rPr>
                <w:bCs/>
                <w:b/>
              </w:rPr>
              <w:t xml:space="preserve">Componente</w:t>
            </w:r>
          </w:p>
        </w:tc>
        <w:tc>
          <w:tcPr/>
          <w:p>
            <w:pPr>
              <w:pStyle w:val="Compact"/>
              <w:jc w:val="left"/>
            </w:pPr>
            <w:r>
              <w:rPr>
                <w:bCs/>
                <w:b/>
              </w:rPr>
              <w:t xml:space="preserve">Tecnología</w:t>
            </w:r>
          </w:p>
        </w:tc>
        <w:tc>
          <w:tcPr/>
          <w:p>
            <w:pPr>
              <w:pStyle w:val="Compact"/>
              <w:jc w:val="left"/>
            </w:pPr>
            <w:r>
              <w:rPr>
                <w:bCs/>
                <w:b/>
              </w:rPr>
              <w:t xml:space="preserve">Versión</w:t>
            </w:r>
          </w:p>
        </w:tc>
        <w:tc>
          <w:tcPr/>
          <w:p>
            <w:pPr>
              <w:pStyle w:val="Compact"/>
              <w:jc w:val="left"/>
            </w:pPr>
            <w:r>
              <w:rPr>
                <w:bCs/>
                <w:b/>
              </w:rPr>
              <w:t xml:space="preserve">Ámbito</w:t>
            </w:r>
          </w:p>
        </w:tc>
      </w:tr>
      <w:tr>
        <w:trPr>
          <w:cantSplit/>
        </w:trPr>
        <w:tc>
          <w:tcPr/>
          <w:p>
            <w:pPr>
              <w:pStyle w:val="Compact"/>
              <w:jc w:val="left"/>
            </w:pPr>
            <w:r>
              <w:t xml:space="preserve">Agente de monitoreo</w:t>
            </w:r>
          </w:p>
        </w:tc>
        <w:tc>
          <w:tcPr/>
          <w:p>
            <w:pPr>
              <w:pStyle w:val="Compact"/>
              <w:jc w:val="left"/>
            </w:pPr>
            <w:r>
              <w:t xml:space="preserve">Python + enlace fanotify propio (ctypes, modo FID)</w:t>
            </w:r>
          </w:p>
        </w:tc>
        <w:tc>
          <w:tcPr/>
          <w:p>
            <w:pPr>
              <w:pStyle w:val="Compact"/>
              <w:jc w:val="left"/>
            </w:pPr>
            <w:r>
              <w:t xml:space="preserve">3.13 en imágenes de laboratorio; nativo: python3 del anfitrión</w:t>
            </w:r>
          </w:p>
        </w:tc>
        <w:tc>
          <w:tcPr/>
          <w:p>
            <w:pPr>
              <w:pStyle w:val="Compact"/>
              <w:jc w:val="left"/>
            </w:pPr>
            <w:r>
              <w:t xml:space="preserve">Nativo en cada anfitrión</w:t>
            </w:r>
          </w:p>
        </w:tc>
      </w:tr>
      <w:tr>
        <w:trPr>
          <w:cantSplit/>
        </w:trPr>
        <w:tc>
          <w:tcPr/>
          <w:p>
            <w:pPr>
              <w:pStyle w:val="Compact"/>
              <w:jc w:val="left"/>
            </w:pPr>
            <w:r>
              <w:t xml:space="preserve">Backend API</w:t>
            </w:r>
          </w:p>
        </w:tc>
        <w:tc>
          <w:tcPr/>
          <w:p>
            <w:pPr>
              <w:pStyle w:val="Compact"/>
              <w:jc w:val="left"/>
            </w:pPr>
            <w:r>
              <w:t xml:space="preserve">FastAPI</w:t>
            </w:r>
          </w:p>
        </w:tc>
        <w:tc>
          <w:tcPr/>
          <w:p>
            <w:pPr>
              <w:pStyle w:val="Compact"/>
              <w:jc w:val="left"/>
            </w:pPr>
            <w:r>
              <w:t xml:space="preserve">0.136.0</w:t>
            </w:r>
          </w:p>
        </w:tc>
        <w:tc>
          <w:tcPr/>
          <w:p>
            <w:pPr>
              <w:pStyle w:val="Compact"/>
              <w:jc w:val="left"/>
            </w:pPr>
            <w:r>
              <w:t xml:space="preserve">Servidor central (Docker)</w:t>
            </w:r>
          </w:p>
        </w:tc>
      </w:tr>
      <w:tr>
        <w:trPr>
          <w:cantSplit/>
        </w:trPr>
        <w:tc>
          <w:tcPr/>
          <w:p>
            <w:pPr>
              <w:pStyle w:val="Compact"/>
              <w:jc w:val="left"/>
            </w:pPr>
            <w:r>
              <w:t xml:space="preserve">ORM y validación</w:t>
            </w:r>
          </w:p>
        </w:tc>
        <w:tc>
          <w:tcPr/>
          <w:p>
            <w:pPr>
              <w:pStyle w:val="Compact"/>
              <w:jc w:val="left"/>
            </w:pPr>
            <w:r>
              <w:t xml:space="preserve">SQLModel</w:t>
            </w:r>
          </w:p>
        </w:tc>
        <w:tc>
          <w:tcPr/>
          <w:p>
            <w:pPr>
              <w:pStyle w:val="Compact"/>
              <w:jc w:val="left"/>
            </w:pPr>
            <w:r>
              <w:t xml:space="preserve">0.0.22</w:t>
            </w:r>
          </w:p>
        </w:tc>
        <w:tc>
          <w:tcPr/>
          <w:p>
            <w:pPr>
              <w:pStyle w:val="Compact"/>
              <w:jc w:val="left"/>
            </w:pPr>
            <w:r>
              <w:t xml:space="preserve">Servidor central (Docker)</w:t>
            </w:r>
          </w:p>
        </w:tc>
      </w:tr>
      <w:tr>
        <w:trPr>
          <w:cantSplit/>
        </w:trPr>
        <w:tc>
          <w:tcPr/>
          <w:p>
            <w:pPr>
              <w:pStyle w:val="Compact"/>
              <w:jc w:val="left"/>
            </w:pPr>
            <w:r>
              <w:t xml:space="preserve">Controlador DB</w:t>
            </w:r>
          </w:p>
        </w:tc>
        <w:tc>
          <w:tcPr/>
          <w:p>
            <w:pPr>
              <w:pStyle w:val="Compact"/>
              <w:jc w:val="left"/>
            </w:pPr>
            <w:r>
              <w:t xml:space="preserve">psycopg (binary)</w:t>
            </w:r>
          </w:p>
        </w:tc>
        <w:tc>
          <w:tcPr/>
          <w:p>
            <w:pPr>
              <w:pStyle w:val="Compact"/>
              <w:jc w:val="left"/>
            </w:pPr>
            <w:r>
              <w:t xml:space="preserve">3.2.4</w:t>
            </w:r>
          </w:p>
        </w:tc>
        <w:tc>
          <w:tcPr/>
          <w:p>
            <w:pPr>
              <w:pStyle w:val="Compact"/>
              <w:jc w:val="left"/>
            </w:pPr>
            <w:r>
              <w:t xml:space="preserve">Servidor central (Docker)</w:t>
            </w:r>
          </w:p>
        </w:tc>
      </w:tr>
      <w:tr>
        <w:trPr>
          <w:cantSplit/>
        </w:trPr>
        <w:tc>
          <w:tcPr/>
          <w:p>
            <w:pPr>
              <w:pStyle w:val="Compact"/>
              <w:jc w:val="left"/>
            </w:pPr>
            <w:r>
              <w:t xml:space="preserve">Base de datos</w:t>
            </w:r>
          </w:p>
        </w:tc>
        <w:tc>
          <w:tcPr/>
          <w:p>
            <w:pPr>
              <w:pStyle w:val="Compact"/>
              <w:jc w:val="left"/>
            </w:pPr>
            <w:r>
              <w:t xml:space="preserve">PostgreSQL</w:t>
            </w:r>
          </w:p>
        </w:tc>
        <w:tc>
          <w:tcPr/>
          <w:p>
            <w:pPr>
              <w:pStyle w:val="Compact"/>
              <w:jc w:val="left"/>
            </w:pPr>
            <w:r>
              <w:t xml:space="preserve">18.3</w:t>
            </w:r>
          </w:p>
        </w:tc>
        <w:tc>
          <w:tcPr/>
          <w:p>
            <w:pPr>
              <w:pStyle w:val="Compact"/>
              <w:jc w:val="left"/>
            </w:pPr>
            <w:r>
              <w:t xml:space="preserve">Servidor central (Docker)</w:t>
            </w:r>
          </w:p>
        </w:tc>
      </w:tr>
      <w:tr>
        <w:trPr>
          <w:cantSplit/>
        </w:trPr>
        <w:tc>
          <w:tcPr/>
          <w:p>
            <w:pPr>
              <w:pStyle w:val="Compact"/>
              <w:jc w:val="left"/>
            </w:pPr>
            <w:r>
              <w:t xml:space="preserve">Mensajería</w:t>
            </w:r>
          </w:p>
        </w:tc>
        <w:tc>
          <w:tcPr/>
          <w:p>
            <w:pPr>
              <w:pStyle w:val="Compact"/>
              <w:jc w:val="left"/>
            </w:pPr>
            <w:r>
              <w:t xml:space="preserve">Valkey</w:t>
            </w:r>
          </w:p>
        </w:tc>
        <w:tc>
          <w:tcPr/>
          <w:p>
            <w:pPr>
              <w:pStyle w:val="Compact"/>
              <w:jc w:val="left"/>
            </w:pPr>
            <w:r>
              <w:t xml:space="preserve">9.0.3</w:t>
            </w:r>
          </w:p>
        </w:tc>
        <w:tc>
          <w:tcPr/>
          <w:p>
            <w:pPr>
              <w:pStyle w:val="Compact"/>
              <w:jc w:val="left"/>
            </w:pPr>
            <w:r>
              <w:t xml:space="preserve">Servidor central (Docker)</w:t>
            </w:r>
          </w:p>
        </w:tc>
      </w:tr>
      <w:tr>
        <w:trPr>
          <w:cantSplit/>
        </w:trPr>
        <w:tc>
          <w:tcPr/>
          <w:p>
            <w:pPr>
              <w:pStyle w:val="Compact"/>
              <w:jc w:val="left"/>
            </w:pPr>
            <w:r>
              <w:t xml:space="preserve">Notificaciones</w:t>
            </w:r>
          </w:p>
        </w:tc>
        <w:tc>
          <w:tcPr/>
          <w:p>
            <w:pPr>
              <w:pStyle w:val="Compact"/>
              <w:jc w:val="left"/>
            </w:pPr>
            <w:r>
              <w:t xml:space="preserve">n8n</w:t>
            </w:r>
          </w:p>
        </w:tc>
        <w:tc>
          <w:tcPr/>
          <w:p>
            <w:pPr>
              <w:pStyle w:val="Compact"/>
              <w:jc w:val="left"/>
            </w:pPr>
            <w:r>
              <w:t xml:space="preserve">2.16.1</w:t>
            </w:r>
          </w:p>
        </w:tc>
        <w:tc>
          <w:tcPr/>
          <w:p>
            <w:pPr>
              <w:pStyle w:val="Compact"/>
              <w:jc w:val="left"/>
            </w:pPr>
            <w:r>
              <w:t xml:space="preserve">Servidor central (Docker)</w:t>
            </w:r>
          </w:p>
        </w:tc>
      </w:tr>
      <w:tr>
        <w:trPr>
          <w:cantSplit/>
        </w:trPr>
        <w:tc>
          <w:tcPr/>
          <w:p>
            <w:pPr>
              <w:pStyle w:val="Compact"/>
              <w:jc w:val="left"/>
            </w:pPr>
            <w:r>
              <w:t xml:space="preserve">Autenticación usuarios</w:t>
            </w:r>
          </w:p>
        </w:tc>
        <w:tc>
          <w:tcPr/>
          <w:p>
            <w:pPr>
              <w:pStyle w:val="Compact"/>
              <w:jc w:val="left"/>
            </w:pPr>
            <w:r>
              <w:t xml:space="preserve">python-jose + JWT</w:t>
            </w:r>
          </w:p>
        </w:tc>
        <w:tc>
          <w:tcPr/>
          <w:p>
            <w:pPr>
              <w:pStyle w:val="Compact"/>
              <w:jc w:val="left"/>
            </w:pPr>
            <w:r>
              <w:t xml:space="preserve">3.3.0</w:t>
            </w:r>
          </w:p>
        </w:tc>
        <w:tc>
          <w:tcPr/>
          <w:p>
            <w:pPr>
              <w:pStyle w:val="Compact"/>
              <w:jc w:val="left"/>
            </w:pPr>
            <w:r>
              <w:t xml:space="preserve">Servidor central (Docker)</w:t>
            </w:r>
          </w:p>
        </w:tc>
      </w:tr>
      <w:tr>
        <w:trPr>
          <w:cantSplit/>
        </w:trPr>
        <w:tc>
          <w:tcPr/>
          <w:p>
            <w:pPr>
              <w:pStyle w:val="Compact"/>
              <w:jc w:val="left"/>
            </w:pPr>
            <w:r>
              <w:t xml:space="preserve">Hash contraseñas</w:t>
            </w:r>
          </w:p>
        </w:tc>
        <w:tc>
          <w:tcPr/>
          <w:p>
            <w:pPr>
              <w:pStyle w:val="Compact"/>
              <w:jc w:val="left"/>
            </w:pPr>
            <w:r>
              <w:t xml:space="preserve">argon2-cffi</w:t>
            </w:r>
          </w:p>
        </w:tc>
        <w:tc>
          <w:tcPr/>
          <w:p>
            <w:pPr>
              <w:pStyle w:val="Compact"/>
              <w:jc w:val="left"/>
            </w:pPr>
            <w:r>
              <w:t xml:space="preserve">23.1.0</w:t>
            </w:r>
          </w:p>
        </w:tc>
        <w:tc>
          <w:tcPr/>
          <w:p>
            <w:pPr>
              <w:pStyle w:val="Compact"/>
              <w:jc w:val="left"/>
            </w:pPr>
            <w:r>
              <w:t xml:space="preserve">Servidor central (Docker)</w:t>
            </w:r>
          </w:p>
        </w:tc>
      </w:tr>
      <w:tr>
        <w:trPr>
          <w:cantSplit/>
        </w:trPr>
        <w:tc>
          <w:tcPr/>
          <w:p>
            <w:pPr>
              <w:pStyle w:val="Compact"/>
              <w:jc w:val="left"/>
            </w:pPr>
            <w:r>
              <w:t xml:space="preserve">Criptografía y PKI</w:t>
            </w:r>
          </w:p>
        </w:tc>
        <w:tc>
          <w:tcPr/>
          <w:p>
            <w:pPr>
              <w:pStyle w:val="Compact"/>
              <w:jc w:val="left"/>
            </w:pPr>
            <w:r>
              <w:t xml:space="preserve">cryptography</w:t>
            </w:r>
          </w:p>
        </w:tc>
        <w:tc>
          <w:tcPr/>
          <w:p>
            <w:pPr>
              <w:pStyle w:val="Compact"/>
              <w:jc w:val="left"/>
            </w:pPr>
            <w:r>
              <w:t xml:space="preserve">44.0.2</w:t>
            </w:r>
          </w:p>
        </w:tc>
        <w:tc>
          <w:tcPr/>
          <w:p>
            <w:pPr>
              <w:pStyle w:val="Compact"/>
              <w:jc w:val="left"/>
            </w:pPr>
            <w:r>
              <w:t xml:space="preserve">Transversal</w:t>
            </w:r>
          </w:p>
        </w:tc>
      </w:tr>
      <w:tr>
        <w:trPr>
          <w:cantSplit/>
        </w:trPr>
        <w:tc>
          <w:tcPr/>
          <w:p>
            <w:pPr>
              <w:pStyle w:val="Compact"/>
              <w:jc w:val="left"/>
            </w:pPr>
            <w:r>
              <w:t xml:space="preserve">Autenticación agente</w:t>
            </w:r>
          </w:p>
        </w:tc>
        <w:tc>
          <w:tcPr/>
          <w:p>
            <w:pPr>
              <w:pStyle w:val="Compact"/>
              <w:jc w:val="left"/>
            </w:pPr>
            <w:r>
              <w:t xml:space="preserve">mTLS con CA propia</w:t>
            </w:r>
          </w:p>
        </w:tc>
        <w:tc>
          <w:tcPr/>
          <w:p>
            <w:pPr>
              <w:pStyle w:val="Compact"/>
              <w:jc w:val="left"/>
            </w:pPr>
            <w:r>
              <w:t xml:space="preserve">TLS 1.3</w:t>
            </w:r>
          </w:p>
        </w:tc>
        <w:tc>
          <w:tcPr/>
          <w:p>
            <w:pPr>
              <w:pStyle w:val="Compact"/>
              <w:jc w:val="left"/>
            </w:pPr>
            <w:r>
              <w:t xml:space="preserve">Canal agente-backend</w:t>
            </w:r>
          </w:p>
        </w:tc>
      </w:tr>
      <w:tr>
        <w:trPr>
          <w:cantSplit/>
        </w:trPr>
        <w:tc>
          <w:tcPr/>
          <w:p>
            <w:pPr>
              <w:pStyle w:val="Compact"/>
              <w:jc w:val="left"/>
            </w:pPr>
            <w:r>
              <w:t xml:space="preserve">Frontend</w:t>
            </w:r>
          </w:p>
        </w:tc>
        <w:tc>
          <w:tcPr/>
          <w:p>
            <w:pPr>
              <w:pStyle w:val="Compact"/>
              <w:jc w:val="left"/>
            </w:pPr>
            <w:r>
              <w:t xml:space="preserve">React + TypeScript</w:t>
            </w:r>
          </w:p>
        </w:tc>
        <w:tc>
          <w:tcPr/>
          <w:p>
            <w:pPr>
              <w:pStyle w:val="Compact"/>
              <w:jc w:val="left"/>
            </w:pPr>
            <w:r>
              <w:t xml:space="preserve">19.2.7 + 5.7.3</w:t>
            </w:r>
          </w:p>
        </w:tc>
        <w:tc>
          <w:tcPr/>
          <w:p>
            <w:pPr>
              <w:pStyle w:val="Compact"/>
              <w:jc w:val="left"/>
            </w:pPr>
            <w:r>
              <w:t xml:space="preserve">Servidor central (Docker)</w:t>
            </w:r>
          </w:p>
        </w:tc>
      </w:tr>
      <w:tr>
        <w:trPr>
          <w:cantSplit/>
        </w:trPr>
        <w:tc>
          <w:tcPr/>
          <w:p>
            <w:pPr>
              <w:pStyle w:val="Compact"/>
              <w:jc w:val="left"/>
            </w:pPr>
            <w:r>
              <w:t xml:space="preserve">Empaquetado frontend</w:t>
            </w:r>
          </w:p>
        </w:tc>
        <w:tc>
          <w:tcPr/>
          <w:p>
            <w:pPr>
              <w:pStyle w:val="Compact"/>
              <w:jc w:val="left"/>
            </w:pPr>
            <w:r>
              <w:t xml:space="preserve">Vite</w:t>
            </w:r>
          </w:p>
        </w:tc>
        <w:tc>
          <w:tcPr/>
          <w:p>
            <w:pPr>
              <w:pStyle w:val="Compact"/>
              <w:jc w:val="left"/>
            </w:pPr>
            <w:r>
              <w:t xml:space="preserve">6.4.3</w:t>
            </w:r>
          </w:p>
        </w:tc>
        <w:tc>
          <w:tcPr/>
          <w:p>
            <w:pPr>
              <w:pStyle w:val="Compact"/>
              <w:jc w:val="left"/>
            </w:pPr>
            <w:r>
              <w:t xml:space="preserve">Servidor central (Docker)</w:t>
            </w:r>
          </w:p>
        </w:tc>
      </w:tr>
      <w:tr>
        <w:trPr>
          <w:cantSplit/>
        </w:trPr>
        <w:tc>
          <w:tcPr/>
          <w:p>
            <w:pPr>
              <w:pStyle w:val="Compact"/>
              <w:jc w:val="left"/>
            </w:pPr>
            <w:r>
              <w:t xml:space="preserve">Estado del servidor (cliente)</w:t>
            </w:r>
          </w:p>
        </w:tc>
        <w:tc>
          <w:tcPr/>
          <w:p>
            <w:pPr>
              <w:pStyle w:val="Compact"/>
              <w:jc w:val="left"/>
            </w:pPr>
            <w:r>
              <w:t xml:space="preserve">TanStack Query</w:t>
            </w:r>
          </w:p>
        </w:tc>
        <w:tc>
          <w:tcPr/>
          <w:p>
            <w:pPr>
              <w:pStyle w:val="Compact"/>
              <w:jc w:val="left"/>
            </w:pPr>
            <w:r>
              <w:t xml:space="preserve">5.101.0</w:t>
            </w:r>
          </w:p>
        </w:tc>
        <w:tc>
          <w:tcPr/>
          <w:p>
            <w:pPr>
              <w:pStyle w:val="Compact"/>
              <w:jc w:val="left"/>
            </w:pPr>
            <w:r>
              <w:t xml:space="preserve">Servidor central (Docker)</w:t>
            </w:r>
          </w:p>
        </w:tc>
      </w:tr>
      <w:tr>
        <w:trPr>
          <w:cantSplit/>
        </w:trPr>
        <w:tc>
          <w:tcPr/>
          <w:p>
            <w:pPr>
              <w:pStyle w:val="Compact"/>
              <w:jc w:val="left"/>
            </w:pPr>
            <w:r>
              <w:t xml:space="preserve">Estado global (cliente)</w:t>
            </w:r>
          </w:p>
        </w:tc>
        <w:tc>
          <w:tcPr/>
          <w:p>
            <w:pPr>
              <w:pStyle w:val="Compact"/>
              <w:jc w:val="left"/>
            </w:pPr>
            <w:r>
              <w:t xml:space="preserve">Zustand</w:t>
            </w:r>
          </w:p>
        </w:tc>
        <w:tc>
          <w:tcPr/>
          <w:p>
            <w:pPr>
              <w:pStyle w:val="Compact"/>
              <w:jc w:val="left"/>
            </w:pPr>
            <w:r>
              <w:t xml:space="preserve">5.0.14</w:t>
            </w:r>
          </w:p>
        </w:tc>
        <w:tc>
          <w:tcPr/>
          <w:p>
            <w:pPr>
              <w:pStyle w:val="Compact"/>
              <w:jc w:val="left"/>
            </w:pPr>
            <w:r>
              <w:t xml:space="preserve">Servidor central (Docker)</w:t>
            </w:r>
          </w:p>
        </w:tc>
      </w:tr>
      <w:tr>
        <w:trPr>
          <w:cantSplit/>
        </w:trPr>
        <w:tc>
          <w:tcPr/>
          <w:p>
            <w:pPr>
              <w:pStyle w:val="Compact"/>
              <w:jc w:val="left"/>
            </w:pPr>
            <w:r>
              <w:t xml:space="preserve">Estilos</w:t>
            </w:r>
          </w:p>
        </w:tc>
        <w:tc>
          <w:tcPr/>
          <w:p>
            <w:pPr>
              <w:pStyle w:val="Compact"/>
              <w:jc w:val="left"/>
            </w:pPr>
            <w:r>
              <w:t xml:space="preserve">Tailwind CSS</w:t>
            </w:r>
          </w:p>
        </w:tc>
        <w:tc>
          <w:tcPr/>
          <w:p>
            <w:pPr>
              <w:pStyle w:val="Compact"/>
              <w:jc w:val="left"/>
            </w:pPr>
            <w:r>
              <w:t xml:space="preserve">4.3.1</w:t>
            </w:r>
          </w:p>
        </w:tc>
        <w:tc>
          <w:tcPr/>
          <w:p>
            <w:pPr>
              <w:pStyle w:val="Compact"/>
              <w:jc w:val="left"/>
            </w:pPr>
            <w:r>
              <w:t xml:space="preserve">Servidor central (Docker)</w:t>
            </w:r>
          </w:p>
        </w:tc>
      </w:tr>
      <w:tr>
        <w:trPr>
          <w:cantSplit/>
        </w:trPr>
        <w:tc>
          <w:tcPr/>
          <w:p>
            <w:pPr>
              <w:pStyle w:val="Compact"/>
              <w:jc w:val="left"/>
            </w:pPr>
            <w:r>
              <w:t xml:space="preserve">Logging estructurado</w:t>
            </w:r>
          </w:p>
        </w:tc>
        <w:tc>
          <w:tcPr/>
          <w:p>
            <w:pPr>
              <w:pStyle w:val="Compact"/>
              <w:jc w:val="left"/>
            </w:pPr>
            <w:r>
              <w:t xml:space="preserve">structlog</w:t>
            </w:r>
          </w:p>
        </w:tc>
        <w:tc>
          <w:tcPr/>
          <w:p>
            <w:pPr>
              <w:pStyle w:val="Compact"/>
              <w:jc w:val="left"/>
            </w:pPr>
            <w:r>
              <w:t xml:space="preserve">25.1.0</w:t>
            </w:r>
          </w:p>
        </w:tc>
        <w:tc>
          <w:tcPr/>
          <w:p>
            <w:pPr>
              <w:pStyle w:val="Compact"/>
              <w:jc w:val="left"/>
            </w:pPr>
            <w:r>
              <w:t xml:space="preserve">Transversal</w:t>
            </w:r>
          </w:p>
        </w:tc>
      </w:tr>
      <w:tr>
        <w:trPr>
          <w:cantSplit/>
        </w:trPr>
        <w:tc>
          <w:tcPr/>
          <w:p>
            <w:pPr>
              <w:pStyle w:val="Compact"/>
              <w:jc w:val="left"/>
            </w:pPr>
            <w:r>
              <w:t xml:space="preserve">Orquestación</w:t>
            </w:r>
          </w:p>
        </w:tc>
        <w:tc>
          <w:tcPr/>
          <w:p>
            <w:pPr>
              <w:pStyle w:val="Compact"/>
              <w:jc w:val="left"/>
            </w:pPr>
            <w:r>
              <w:t xml:space="preserve">Docker + Compose v2</w:t>
            </w:r>
          </w:p>
        </w:tc>
        <w:tc>
          <w:tcPr/>
          <w:p>
            <w:pPr>
              <w:pStyle w:val="Compact"/>
              <w:jc w:val="left"/>
            </w:pPr>
            <w:r>
              <w:t xml:space="preserve">-</w:t>
            </w:r>
          </w:p>
        </w:tc>
        <w:tc>
          <w:tcPr/>
          <w:p>
            <w:pPr>
              <w:pStyle w:val="Compact"/>
              <w:jc w:val="left"/>
            </w:pPr>
            <w:r>
              <w:t xml:space="preserve">Servidor central</w:t>
            </w:r>
          </w:p>
        </w:tc>
      </w:tr>
      <w:tr>
        <w:trPr>
          <w:cantSplit/>
        </w:trPr>
        <w:tc>
          <w:tcPr/>
          <w:p>
            <w:pPr>
              <w:pStyle w:val="Compact"/>
              <w:jc w:val="left"/>
            </w:pPr>
            <w:r>
              <w:t xml:space="preserve">Gestor de servicios del agente</w:t>
            </w:r>
          </w:p>
        </w:tc>
        <w:tc>
          <w:tcPr/>
          <w:p>
            <w:pPr>
              <w:pStyle w:val="Compact"/>
              <w:jc w:val="left"/>
            </w:pPr>
            <w:r>
              <w:t xml:space="preserve">systemd</w:t>
            </w:r>
          </w:p>
        </w:tc>
        <w:tc>
          <w:tcPr/>
          <w:p>
            <w:pPr>
              <w:pStyle w:val="Compact"/>
              <w:jc w:val="left"/>
            </w:pPr>
            <w:r>
              <w:t xml:space="preserve">según distribución</w:t>
            </w:r>
          </w:p>
        </w:tc>
        <w:tc>
          <w:tcPr/>
          <w:p>
            <w:pPr>
              <w:pStyle w:val="Compact"/>
              <w:jc w:val="left"/>
            </w:pPr>
            <w:r>
              <w:t xml:space="preserve">Cada anfitrión</w:t>
            </w:r>
          </w:p>
        </w:tc>
      </w:tr>
    </w:tbl>
    <w:p>
      <w:pPr>
        <w:pStyle w:val="BodyText"/>
      </w:pPr>
      <w:r>
        <w:rPr>
          <w:iCs/>
          <w:i/>
        </w:rPr>
        <w:t xml:space="preserve">Nota.</w:t>
      </w:r>
      <w:r>
        <w:rPr>
          <w:iCs/>
          <w:i/>
        </w:rPr>
        <w:t xml:space="preserve"> Las versiones corresponden al candidato 7df4935. El inventario del candidato vigente 7a7ee50 registra los mismos componentes de biblioteca con idénticas versiones (Anexo F.2). Las dependencias Python y frontend coinciden con las resueltas en sus lockfiles según el inventario CycloneDX 1.7 y SPDX 2.3 generado con syft 1.51.1 (Anexo F.2); la versión anterior de esta tabla consignaba rangos declarados (por ejemplo, Vite 6.0) y Python 3.12. Las imágenes de laboratorio del agente y del backend se construyen sobre python:3.13-slim; la instalación nativa crea su entorno virtual con el python3 del anfitrión, sin fijar versión. docker-compose.yml fija n8n 2.16.1, mientras las evaluaciones controladas de n8n usaron 2.17.8 (apartado 4.7). La selección se justificó por la madurez, la adopción industrial y la calidad del mantenimiento activo de cada proyecto. El agente no depende de envoltorios de terceros para el acceso a fanotify, por las razones expuestas en el apartado 2.6.</w:t>
      </w:r>
    </w:p>
    <w:bookmarkEnd w:id="63"/>
    <w:bookmarkStart w:id="67" w:name="esquema-de-persistencia"/>
    <w:p>
      <w:pPr>
        <w:pStyle w:val="Heading2"/>
      </w:pPr>
      <w:r>
        <w:rPr>
          <w:bCs/>
          <w:b/>
        </w:rPr>
        <w:t xml:space="preserve">4.2 Esquema de persistencia</w:t>
      </w:r>
    </w:p>
    <w:p>
      <w:pPr>
        <w:pStyle w:val="BodyText"/>
      </w:pPr>
      <w:r>
        <w:t xml:space="preserve">La evolución documentada del esquema incorpora event_type y admite eventos sin ruta para representar brechas de detección. El cierre técnico informa que FAN_Q_OVERFLOW produce un evento detection_gap, limitado a una emisión por ventana monotónica de sesenta segundos, con contabilización de supresiones. Los eventos sin ruta no se incorporan a cadenas de supersesión por archivo. La atribución de usuario o proceso no resuelta se conserva como null, reservando UID 0 para una identificación efectiva de root. Estas modificaciones hacen observable una pérdida potencial, pero no recuperan los eventos descartados por el núcleo.</w:t>
      </w:r>
    </w:p>
    <w:p>
      <w:pPr>
        <w:pStyle w:val="FirstParagraph"/>
      </w:pPr>
      <w:r>
        <w:t xml:space="preserve">El esquema de persistencia en PostgreSQL se diseñó atendiendo a ocho requisitos funcionales derivados del análisis del dominio y de la auditoría de seguridad. El primer requisito corresponde al almacenamiento consultable de las huellas digitales de referencia asociadas a cada archivo monitoreado. Este almacenamiento soporta dos estados posibles: el estado present cuando el archivo debe existir con un hash determinado, y el estado absent cuando corresponde registrar que un path determinado no debe contener archivo. El segundo requisito es la trazabilidad temporal completa del historial de cambios detectados y sus resoluciones humanas o automáticas. El tercero es el registro de eventos de auditoría de acciones administrativas. El cuarto es la representación de cadenas de eventos encadenados mediante el campo parent_event_id, que permite modelar la situación en que un archivo cambia varias veces antes de su resolución humana. El quinto es la gestión de reglas de monitoreo con patrones de ruta y acciones asociadas.</w:t>
      </w:r>
    </w:p>
    <w:p>
      <w:pPr>
        <w:pStyle w:val="BodyText"/>
      </w:pPr>
      <w:r>
        <w:t xml:space="preserve">Los tres requisitos restantes responden a decisiones de endurecimiento surgidas de la auditoría interna. El sexto requisito es el soporte para bloqueo optimista sobre la tabla de eventos, mediante una columna de versión entera que se incrementa atómicamente en cada transición de estado. Ante un intento de actualización con versión desactualizada, el sistema retorna el código de estado HTTP 409 que el frontend traduce en un mensaje de refresco. El séptimo requisito es la persistencia de una tabla de auditoría separada de los logs estructurados y no sujeta a rotación. Esta decisión contribuye a las recomendaciones de la Resolución 47/2018 de la Agencia de Acceso a la Información Pública, en cuyo proceso de control de acceso se recomienda disponer de un registro de las acciones administrativas. El octavo requisito es la persistencia de un conjunto de estructuras auxiliares que soportan controles específicos. La primera es la de eventos rechazados, con el motivo persistido entre los siete que el consumidor discrimina —firma inválida, agente desconocido, desincronización horaria, esquema inválido, versión de esquema no soportada, duplicación y exceso de tasa—. Las restantes son los comandos publicados hacia los agentes con seguimiento de confirmación de ejecución, los certificados revocados, y un contador de versión del conjunto de reglas monotónicamente creciente.</w:t>
      </w:r>
    </w:p>
    <w:p>
      <w:pPr>
        <w:pStyle w:val="BodyText"/>
      </w:pPr>
      <w:r>
        <w:t xml:space="preserve">La política de retención merece explicitación, por cuanto distingue dos regímenes con propósitos distintos. La tabla de eventos conserva las detecciones durante treinta días, transcurridos los cuales un proceso periódico depura los registros vencidos; quedan expresamente excluidos de la depuración los eventos referenciados desde la tabla de auditoría, que se preservan con independencia de su antigüedad. La tabla de auditoría, en cambio, conserva las acciones administrativas sin depuración automática en la versión evaluada. La asimetría es deliberada: el volumen de eventos crece con la actividad del sistema de archivos y su valor operativo decae con rapidez, mientras que el registro de quién aprobó qué cambio y cuándo conserva utilidad por más tiempo. Corresponde, sin embargo, corregir el fundamento que una versión anterior de este documento atribuía a esa decisión: ninguna de las normas invocadas impone una obligación general de conservar indefinidamente todo registro. La Ley 25.326 establece, por el contrario, que los datos personales deben ser destruidos cuando hayan dejado de ser necesarios o pertinentes a los fines para los cuales fueron recolectados (art. 4, inc. 7). El registro de auditoría, por su parte, contiene datos personales de los operadores, conforme se analiza en el apartado 9.4. La ausencia de depuración es, en consecuencia, una decisión de diseño que el despliegue debe reemplazar por una política de retención definida por la organización responsable, proporcional a la finalidad de auditoría y documentada; su parametrización se consigna como corrección pendiente en el apartado 8.1. La cadena de eventos superados admite, adicionalmente, una compactación acotada: cuando una misma ruta acumula más de diez eventos en estado superado, los más antiguos se depuran, con la misma salvedad respecto de los eventos referenciados en auditoría.</w:t>
      </w:r>
    </w:p>
    <w:p>
      <w:pPr>
        <w:pStyle w:val="BodyText"/>
      </w:pPr>
      <w:r>
        <w:t xml:space="preserve">La Figura 2 presenta el modelo entidad-relación simplificado de las tablas principales del esquema, junto con sus claves foráneas y cardinalidades.</w:t>
      </w:r>
    </w:p>
    <w:p>
      <w:pPr>
        <w:pStyle w:val="BodyText"/>
      </w:pPr>
      <w:r>
        <w:drawing>
          <wp:inline>
            <wp:extent cx="5334000" cy="3556000"/>
            <wp:effectExtent b="0" l="0" r="0" t="0"/>
            <wp:docPr descr="" title="" id="65" name="Picture"/>
            <a:graphic>
              <a:graphicData uri="http://schemas.openxmlformats.org/drawingml/2006/picture">
                <pic:pic>
                  <pic:nvPicPr>
                    <pic:cNvPr descr="./media/image10.jpg" id="66" name="Picture"/>
                    <pic:cNvPicPr>
                      <a:picLocks noChangeArrowheads="1" noChangeAspect="1"/>
                    </pic:cNvPicPr>
                  </pic:nvPicPr>
                  <pic:blipFill>
                    <a:blip r:embed="rId6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keepNext/>
      </w:pPr>
      <w:r>
        <w:rPr>
          <w:bCs/>
          <w:b/>
          <w:iCs/>
          <w:i/>
        </w:rPr>
        <w:t xml:space="preserve">Figura 2.</w:t>
      </w:r>
      <w:r>
        <w:rPr>
          <w:iCs/>
          <w:i/>
        </w:rPr>
        <w:t xml:space="preserve"> Modelo entidad-relación de las tablas principales de PostgreSQL</w:t>
      </w:r>
    </w:p>
    <w:p>
      <w:pPr>
        <w:pStyle w:val="BodyText"/>
      </w:pPr>
      <w:r>
        <w:t>Nota. La tabla events ocupa el lugar central del modelo: mantiene referencias hacia agents, admite resolución por un operador y se autorreferencia mediante parent_event_id para representar la cadena de eventos superados. La tabla audit_log no posee depuración automática en la versión evaluada; la organización responsable debe definir y documentar una política de retención proporcional a su finalidad. Esta situación no se atribuye como obligación a la Resolución AAIP 47/2018.</w:t>
      </w:r>
    </w:p>
    <w:p>
      <w:pPr>
        <w:pStyle w:val="BodyText"/>
        <w:keepNext/>
      </w:pPr>
      <w:r>
        <w:rPr>
          <w:bCs/>
          <w:b/>
          <w:iCs/>
          <w:i/>
        </w:rPr>
        <w:t xml:space="preserve">Tabla 6.</w:t>
      </w:r>
      <w:r>
        <w:rPr>
          <w:iCs/>
          <w:i/>
        </w:rPr>
        <w:t xml:space="preserve"> Tablas principales del esquema de persistencia</w:t>
      </w:r>
    </w:p>
    <w:tbl>
      <w:tblPr>
        <w:tblStyle w:val="Table"/>
        <w:tblW w:type="pct" w:w="4962"/>
        <w:jc w:val="start"/>
        <w:tblLook w:firstRow="1" w:lastRow="0" w:firstColumn="0" w:lastColumn="0" w:noHBand="0" w:noVBand="0" w:val="0020"/>
      </w:tblPr>
      <w:tblGrid>
        <w:gridCol w:w="720"/>
        <w:gridCol w:w="7140"/>
      </w:tblGrid>
      <w:tr>
        <w:trPr>
          <w:tblHeader w:val="true"/>
          <w:cantSplit/>
        </w:trPr>
        <w:tc>
          <w:tcPr/>
          <w:p>
            <w:pPr>
              <w:pStyle w:val="Compact"/>
              <w:jc w:val="left"/>
            </w:pPr>
            <w:r>
              <w:rPr>
                <w:bCs/>
                <w:b/>
              </w:rPr>
              <w:t xml:space="preserve">Tabla</w:t>
            </w:r>
          </w:p>
        </w:tc>
        <w:tc>
          <w:tcPr/>
          <w:p>
            <w:pPr>
              <w:pStyle w:val="Compact"/>
              <w:jc w:val="left"/>
            </w:pPr>
            <w:r>
              <w:rPr>
                <w:bCs/>
                <w:b/>
              </w:rPr>
              <w:t xml:space="preserve">Propósito</w:t>
            </w:r>
          </w:p>
        </w:tc>
      </w:tr>
      <w:tr>
        <w:trPr>
          <w:cantSplit/>
        </w:trPr>
        <w:tc>
          <w:tcPr/>
          <w:p>
            <w:pPr>
              <w:pStyle w:val="Compact"/>
              <w:jc w:val="left"/>
            </w:pPr>
            <w:r>
              <w:t xml:space="preserve">users</w:t>
            </w:r>
          </w:p>
        </w:tc>
        <w:tc>
          <w:tcPr/>
          <w:p>
            <w:pPr>
              <w:pStyle w:val="Compact"/>
              <w:jc w:val="left"/>
            </w:pPr>
            <w:r>
              <w:t xml:space="preserve">Credenciales de operadores con flag de cambio forzado de contraseña en el primer inicio de sesión.</w:t>
            </w:r>
          </w:p>
        </w:tc>
      </w:tr>
      <w:tr>
        <w:trPr>
          <w:cantSplit/>
        </w:trPr>
        <w:tc>
          <w:tcPr/>
          <w:p>
            <w:pPr>
              <w:pStyle w:val="Compact"/>
              <w:jc w:val="left"/>
            </w:pPr>
            <w:r>
              <w:t xml:space="preserve">agents</w:t>
            </w:r>
          </w:p>
        </w:tc>
        <w:tc>
          <w:tcPr/>
          <w:p>
            <w:pPr>
              <w:pStyle w:val="Compact"/>
              <w:jc w:val="left"/>
            </w:pPr>
            <w:r>
              <w:t xml:space="preserve">Registro de agentes conectados, estado actual, paths configurados y último latido recibido.</w:t>
            </w:r>
          </w:p>
        </w:tc>
      </w:tr>
      <w:tr>
        <w:trPr>
          <w:cantSplit/>
        </w:trPr>
        <w:tc>
          <w:tcPr/>
          <w:p>
            <w:pPr>
              <w:pStyle w:val="Compact"/>
              <w:jc w:val="left"/>
            </w:pPr>
            <w:r>
              <w:t xml:space="preserve">baseline_entries</w:t>
            </w:r>
          </w:p>
        </w:tc>
        <w:tc>
          <w:tcPr/>
          <w:p>
            <w:pPr>
              <w:pStyle w:val="Compact"/>
              <w:jc w:val="left"/>
            </w:pPr>
            <w:r>
              <w:t xml:space="preserve">Estado autoritativo por path monitoreado; admite estado present o absent.</w:t>
            </w:r>
          </w:p>
        </w:tc>
      </w:tr>
      <w:tr>
        <w:trPr>
          <w:cantSplit/>
        </w:trPr>
        <w:tc>
          <w:tcPr/>
          <w:p>
            <w:pPr>
              <w:pStyle w:val="Compact"/>
              <w:jc w:val="left"/>
            </w:pPr>
            <w:r>
              <w:t xml:space="preserve">events</w:t>
            </w:r>
          </w:p>
        </w:tc>
        <w:tc>
          <w:tcPr/>
          <w:p>
            <w:pPr>
              <w:pStyle w:val="Compact"/>
              <w:jc w:val="left"/>
            </w:pPr>
            <w:r>
              <w:t xml:space="preserve">Núcleo operativo con 7 estados posibles, bloqueo optimista, severidad persistida, metadato de enlace simbólico, atribución de proceso, usuario y ejecutable en campos anulables, y marcas temporales de detección, transmisión y recepción.</w:t>
            </w:r>
          </w:p>
        </w:tc>
      </w:tr>
      <w:tr>
        <w:trPr>
          <w:cantSplit/>
        </w:trPr>
        <w:tc>
          <w:tcPr/>
          <w:p>
            <w:pPr>
              <w:pStyle w:val="Compact"/>
              <w:jc w:val="left"/>
            </w:pPr>
            <w:r>
              <w:t xml:space="preserve">rules</w:t>
            </w:r>
          </w:p>
        </w:tc>
        <w:tc>
          <w:tcPr/>
          <w:p>
            <w:pPr>
              <w:pStyle w:val="Compact"/>
              <w:jc w:val="left"/>
            </w:pPr>
            <w:r>
              <w:t xml:space="preserve">Reglas de monitoreo con patrones, severidad y acción configurada.</w:t>
            </w:r>
          </w:p>
        </w:tc>
      </w:tr>
      <w:tr>
        <w:trPr>
          <w:cantSplit/>
        </w:trPr>
        <w:tc>
          <w:tcPr/>
          <w:p>
            <w:pPr>
              <w:pStyle w:val="Compact"/>
              <w:jc w:val="left"/>
            </w:pPr>
            <w:r>
              <w:t xml:space="preserve">ruleset_version</w:t>
            </w:r>
          </w:p>
        </w:tc>
        <w:tc>
          <w:tcPr/>
          <w:p>
            <w:pPr>
              <w:pStyle w:val="Compact"/>
              <w:jc w:val="left"/>
            </w:pPr>
            <w:r>
              <w:t xml:space="preserve">Contador monotónicamente creciente de versión del conjunto de reglas.</w:t>
            </w:r>
          </w:p>
        </w:tc>
      </w:tr>
      <w:tr>
        <w:trPr>
          <w:cantSplit/>
        </w:trPr>
        <w:tc>
          <w:tcPr/>
          <w:p>
            <w:pPr>
              <w:pStyle w:val="Compact"/>
              <w:jc w:val="left"/>
            </w:pPr>
            <w:r>
              <w:t xml:space="preserve">alerts</w:t>
            </w:r>
          </w:p>
        </w:tc>
        <w:tc>
          <w:tcPr/>
          <w:p>
            <w:pPr>
              <w:pStyle w:val="Compact"/>
              <w:jc w:val="left"/>
            </w:pPr>
            <w:r>
              <w:t xml:space="preserve">Alertas emitidas, con marcas de entrega y de fallo que materializan la cola de mensajes fallidos.</w:t>
            </w:r>
          </w:p>
        </w:tc>
      </w:tr>
      <w:tr>
        <w:trPr>
          <w:cantSplit/>
        </w:trPr>
        <w:tc>
          <w:tcPr/>
          <w:p>
            <w:pPr>
              <w:pStyle w:val="Compact"/>
              <w:jc w:val="left"/>
            </w:pPr>
            <w:r>
              <w:t xml:space="preserve">audit_log</w:t>
            </w:r>
          </w:p>
        </w:tc>
        <w:tc>
          <w:tcPr/>
          <w:p>
            <w:pPr>
              <w:pStyle w:val="Compact"/>
              <w:jc w:val="left"/>
            </w:pPr>
            <w:r>
              <w:t xml:space="preserve">Auditoría separada, no sujeta a rotación; contribuye a las recomendaciones de la Res. AAIP 47/2018.</w:t>
            </w:r>
          </w:p>
        </w:tc>
      </w:tr>
      <w:tr>
        <w:trPr>
          <w:cantSplit/>
        </w:trPr>
        <w:tc>
          <w:tcPr/>
          <w:p>
            <w:pPr>
              <w:pStyle w:val="Compact"/>
              <w:jc w:val="left"/>
            </w:pPr>
            <w:r>
              <w:t xml:space="preserve">published_commands</w:t>
            </w:r>
          </w:p>
        </w:tc>
        <w:tc>
          <w:tcPr/>
          <w:p>
            <w:pPr>
              <w:pStyle w:val="Compact"/>
              <w:jc w:val="left"/>
            </w:pPr>
            <w:r>
              <w:t xml:space="preserve">Bandeja de salida de comandos hacia los agentes, con estado de publicación y estado de confirmación de ejecución.</w:t>
            </w:r>
          </w:p>
        </w:tc>
      </w:tr>
      <w:tr>
        <w:trPr>
          <w:cantSplit/>
        </w:trPr>
        <w:tc>
          <w:tcPr/>
          <w:p>
            <w:pPr>
              <w:pStyle w:val="Compact"/>
              <w:jc w:val="left"/>
            </w:pPr>
            <w:r>
              <w:t xml:space="preserve">rejected_events_audit</w:t>
            </w:r>
          </w:p>
        </w:tc>
        <w:tc>
          <w:tcPr/>
          <w:p>
            <w:pPr>
              <w:pStyle w:val="Compact"/>
              <w:jc w:val="left"/>
            </w:pPr>
            <w:r>
              <w:t xml:space="preserve">Eventos descartados por firma inválida, agente desconocido, desincronización horaria, esquema inválido o no soportado, duplicación y exceso de tasa, con el motivo persistido.</w:t>
            </w:r>
          </w:p>
        </w:tc>
      </w:tr>
      <w:tr>
        <w:trPr>
          <w:cantSplit/>
        </w:trPr>
        <w:tc>
          <w:tcPr/>
          <w:p>
            <w:pPr>
              <w:pStyle w:val="Compact"/>
              <w:jc w:val="left"/>
            </w:pPr>
            <w:r>
              <w:t xml:space="preserve">revoked_certificates</w:t>
            </w:r>
          </w:p>
        </w:tc>
        <w:tc>
          <w:tcPr/>
          <w:p>
            <w:pPr>
              <w:pStyle w:val="Compact"/>
              <w:jc w:val="left"/>
            </w:pPr>
            <w:r>
              <w:t xml:space="preserve">Lista de revocación de certificados TLS de agentes.</w:t>
            </w:r>
          </w:p>
        </w:tc>
      </w:tr>
    </w:tbl>
    <w:p>
      <w:pPr>
        <w:pStyle w:val="BodyText"/>
      </w:pPr>
      <w:r>
        <w:rPr>
          <w:bCs/>
          <w:b/>
          <w:iCs/>
          <w:i/>
        </w:rPr>
        <w:t xml:space="preserve">Nota.</w:t>
      </w:r>
      <w:r>
        <w:rPr>
          <w:iCs/>
          <w:i/>
        </w:rPr>
        <w:t xml:space="preserve"> La separación entre la tabla de auditoría y las tablas operativas obedece a una decisión deliberada de retención diferenciada, descripta en el párrafo precedente. La cola de mensajes fallidos no constituye una tabla independiente: se materializa como estado derivado de las marcas temporales de entrega y de fallo sobre la tabla de alertas, lo que evita duplicar el payload de la notificación en dos lugares y mantiene una única fuente de verdad por alerta.</w:t>
      </w:r>
    </w:p>
    <w:bookmarkEnd w:id="67"/>
    <w:bookmarkStart w:id="71" w:name="flujo-del-agente-de-monitoreo"/>
    <w:p>
      <w:pPr>
        <w:pStyle w:val="Heading2"/>
      </w:pPr>
      <w:r>
        <w:rPr>
          <w:bCs/>
          <w:b/>
        </w:rPr>
        <w:t xml:space="preserve">4.3 Flujo del agente de monitoreo</w:t>
      </w:r>
    </w:p>
    <w:p>
      <w:pPr>
        <w:pStyle w:val="FirstParagraph"/>
      </w:pPr>
      <w:r>
        <w:t xml:space="preserve">El agente constituye el componente más estrechamente acoplado al sistema anfitrión y se organiza funcionalmente en seis módulos internos. Un observador configura la escucha de fanotify sobre las rutas configuradas. Un calculador de huellas digitales computa el hash SHA-256 de cada archivo modificado. Un motor de decisión evalúa las reglas cacheadas localmente para determinar la acción a ejecutar. Un subsistema de almacenamiento local gestiona la baseline cifrada, la cola offline, el directorio de cuarentena, el registro de acciones previas y los certificados. Un comunicador publica eventos, consume comandos y emite latidos hacia el servidor central. Un recuperador rehidrata el estado al arranque para garantizar continuidad operativa tras reinicios del anfitrión o del propio servicio.</w:t>
      </w:r>
    </w:p>
    <w:p>
      <w:pPr>
        <w:pStyle w:val="BodyText"/>
      </w:pPr>
      <w:r>
        <w:t xml:space="preserve">La Figura 3 presenta el flujo operativo del agente organizado en tres fases temporales bien diferenciadas. La fase de arranque inicializa el estado del agente y prepara la observación. La fase de operación procesa eventos de fanotify conforme a las reglas cacheadas. La fase de sincronización, concurrente con la anterior, gestiona latidos, confirmaciones y rotación de certificados.</w:t>
      </w:r>
    </w:p>
    <w:p>
      <w:pPr>
        <w:pStyle w:val="BodyText"/>
      </w:pPr>
      <w:r>
        <w:drawing>
          <wp:inline>
            <wp:extent cx="5760000" cy="4166400"/>
            <wp:effectExtent b="0" l="0" r="0" t="0"/>
            <wp:docPr descr="" title="" id="69" name="Picture"/>
            <a:graphic>
              <a:graphicData uri="http://schemas.openxmlformats.org/drawingml/2006/picture">
                <pic:pic>
                  <pic:nvPicPr>
                    <pic:cNvPr descr="./media/image1.png" id="70" name="Picture"/>
                    <pic:cNvPicPr>
                      <a:picLocks noChangeArrowheads="1" noChangeAspect="1"/>
                    </pic:cNvPicPr>
                  </pic:nvPicPr>
                  <pic:blipFill>
                    <a:blip r:embed="rId68"/>
                    <a:stretch>
                      <a:fillRect/>
                    </a:stretch>
                  </pic:blipFill>
                  <pic:spPr bwMode="auto">
                    <a:xfrm>
                      <a:off x="0" y="0"/>
                      <a:ext cx="5760000" cy="4166400"/>
                    </a:xfrm>
                    <a:prstGeom prst="rect">
                      <a:avLst/>
                    </a:prstGeom>
                    <a:noFill/>
                    <a:ln w="9525">
                      <a:noFill/>
                      <a:headEnd/>
                      <a:tailEnd/>
                    </a:ln>
                  </pic:spPr>
                </pic:pic>
              </a:graphicData>
            </a:graphic>
          </wp:inline>
        </w:drawing>
      </w:r>
    </w:p>
    <w:p>
      <w:pPr>
        <w:pStyle w:val="BodyText"/>
        <w:keepNext/>
      </w:pPr>
      <w:r>
        <w:rPr>
          <w:bCs/>
          <w:b/>
          <w:iCs/>
          <w:i/>
        </w:rPr>
        <w:t xml:space="preserve">Figura 3.</w:t>
      </w:r>
      <w:r>
        <w:rPr>
          <w:iCs/>
          <w:i/>
        </w:rPr>
        <w:t xml:space="preserve"> Flujo de procesamiento del agente: tres fases de operación</w:t>
      </w:r>
    </w:p>
    <w:p>
      <w:pPr>
        <w:pStyle w:val="BodyText"/>
      </w:pPr>
      <w:r>
        <w:rPr>
          <w:bCs/>
          <w:b/>
          <w:iCs/>
          <w:i/>
        </w:rPr>
        <w:t xml:space="preserve">Nota. La fase de arranque es secuencial. Las fases 2 y 3 ejecutan concurrentemente mediante primitivas asyncio cooperativas. El registro de acciones previas con escritura anticipada (journal) protege la integridad operacional ante crashes del proceso. La figura se amplió al ancho completo de la caja de texto; al no existir fuente editable, su tipografía interna no se regeneró.</w:t>
      </w:r>
    </w:p>
    <w:p>
      <w:pPr>
        <w:pStyle w:val="BodyText"/>
      </w:pPr>
      <w:r>
        <w:t xml:space="preserve">Al arrancar, el agente rehidrata el registro de acciones previas: revisa el directorio journal en busca de entradas marcadas como pendientes o en ejecución, que corresponden a acciones iniciadas pero no completadas en ejecuciones anteriores por crash o reinicio del proceso. Cada entrada encontrada se reintenta o se reporta al backend según corresponda. A continuación, el agente recupera su configuración operativa y la lista actualizada de reglas mediante el stream de comandos, verifica la vigencia de su certificado TLS y establece la conexión mutua con el backend.</w:t>
      </w:r>
    </w:p>
    <w:p>
      <w:pPr>
        <w:pStyle w:val="BodyText"/>
      </w:pPr>
      <w:r>
        <w:t xml:space="preserve">Durante la operación normal, el agente escucha los eventos de fanotify sobre los paths configurados. Para cada evento de modificación recibido, el agente calcula el hash SHA-256 del archivo actualizado, consulta la baseline cifrada para obtener el hash de referencia, y determina si se trata de un cambio real. Si el hash coincide con la baseline, el evento se descarta silenciosamente. Si difiere, el agente evalúa las reglas locales para determinar la acción correspondiente entre las cuatro disponibles: restauración automática, cuarentena, revisión manual o solo alerta. Antes de ejecutar cualquier acción modificatoria, el agente escribe una entrada de registro de acción previa con estado pendiente, persistida en disco para sobrevivir a crashes. Al completar la acción, la entrada se actualiza a estado completado o fallido con los detalles del resultado.</w:t>
      </w:r>
    </w:p>
    <w:p>
      <w:pPr>
        <w:pStyle w:val="BodyText"/>
      </w:pPr>
      <w:r>
        <w:t xml:space="preserve">El agente publica el evento resultante en el stream events de Valkey, incluyendo su identificador único UUID, el path afectado, el hash detectado, el estado asignado, un timestamp detected_at, la versión del esquema de mensajes y una serie de campos contextuales. Si el backend no se encuentra disponible, el evento se serializa a un archivo JSON en el directorio de cola local, cuya capacidad está acotada a cien megabytes con política drop-oldest: cuando se supera el límite, los archivos más antiguos se descartan con registro de warning. Cuando la ocupación de la cola supera el ochenta por ciento, el próximo latido emitido al reconectar incluye un indicador queue_pressure que la interfaz administrativa traduce en un banner operativo.</w:t>
      </w:r>
    </w:p>
    <w:p>
      <w:pPr>
        <w:pStyle w:val="BodyText"/>
      </w:pPr>
      <w:r>
        <w:t xml:space="preserve">El comportamiento al reconectar merece detalle particular. El agente no se limita a vaciar la cola pendiente; primero consume todos los comandos acumulados en el stream commands, y recién después publica los eventos encolados. Esta inversión de orden, aparentemente menor, resulta crítica. Garantiza que los eventos acumulados durante la desconexión se persistan en el backend evaluados contra el ruleset correcto, y no contra reglas desactualizadas que habrían estado vigentes al momento original de la detección pero que el administrador modificó durante la ventana de desconexión. Complementariamente, cada comando de actualización de baseline o sincronización de reglas incluye una versión monotónicamente creciente que el agente persiste localmente y utiliza para descartar mensajes con versión menor a la última aplicada, obteniendo así idempotencia ante re-entregas eventuales de Valkey.</w:t>
      </w:r>
    </w:p>
    <w:p>
      <w:pPr>
        <w:pStyle w:val="BodyText"/>
      </w:pPr>
      <w:r>
        <w:t xml:space="preserve">El agente emite un latido al stream agent_heartbeat cada diez segundos, conteniendo su identificador, un timestamp, el tamaño de la cola local y la versión de ruleset vigente. Si el agente recibe la señal SIGTERM de terminación graceful, deja de aceptar nuevos eventos, drena la cola local publicándola al stream events con un timeout de treinta segundos, y finaliza con código de salida cero. Durante el drenaje, el latido incluye un indicador shutdown que permite al backend mostrar el agente como draining en la interfaz administrativa. La Tabla 7 sintetiza las políticas de resiliencia del agente.</w:t>
      </w:r>
    </w:p>
    <w:p>
      <w:pPr>
        <w:pStyle w:val="BodyText"/>
        <w:keepNext/>
      </w:pPr>
      <w:r>
        <w:rPr>
          <w:bCs/>
          <w:b/>
          <w:iCs/>
          <w:i/>
        </w:rPr>
        <w:t xml:space="preserve">Tabla 7.</w:t>
      </w:r>
      <w:r>
        <w:rPr>
          <w:iCs/>
          <w:i/>
        </w:rPr>
        <w:t xml:space="preserve"> Políticas de resiliencia del agente</w:t>
      </w:r>
    </w:p>
    <w:tbl>
      <w:tblPr>
        <w:tblStyle w:val="Table"/>
        <w:tblW w:type="pct" w:w="4932"/>
        <w:jc w:val="start"/>
        <w:tblLook w:firstRow="1" w:lastRow="0" w:firstColumn="0" w:lastColumn="0" w:noHBand="0" w:noVBand="0" w:val="0020"/>
      </w:tblPr>
      <w:tblGrid>
        <w:gridCol w:w="2478"/>
        <w:gridCol w:w="5333"/>
      </w:tblGrid>
      <w:tr>
        <w:trPr>
          <w:tblHeader w:val="true"/>
          <w:cantSplit/>
        </w:trPr>
        <w:tc>
          <w:tcPr/>
          <w:p>
            <w:pPr>
              <w:pStyle w:val="Compact"/>
              <w:jc w:val="left"/>
            </w:pPr>
            <w:r>
              <w:rPr>
                <w:bCs/>
                <w:b/>
              </w:rPr>
              <w:t xml:space="preserve">Situación</w:t>
            </w:r>
          </w:p>
        </w:tc>
        <w:tc>
          <w:tcPr/>
          <w:p>
            <w:pPr>
              <w:pStyle w:val="Compact"/>
              <w:jc w:val="left"/>
            </w:pPr>
            <w:r>
              <w:rPr>
                <w:bCs/>
                <w:b/>
              </w:rPr>
              <w:t xml:space="preserve">Política adoptada</w:t>
            </w:r>
          </w:p>
        </w:tc>
      </w:tr>
      <w:tr>
        <w:trPr>
          <w:cantSplit/>
        </w:trPr>
        <w:tc>
          <w:tcPr/>
          <w:p>
            <w:pPr>
              <w:pStyle w:val="Compact"/>
              <w:jc w:val="left"/>
            </w:pPr>
            <w:r>
              <w:t xml:space="preserve">Crash mid-action</w:t>
            </w:r>
          </w:p>
        </w:tc>
        <w:tc>
          <w:tcPr/>
          <w:p>
            <w:pPr>
              <w:pStyle w:val="Compact"/>
              <w:jc w:val="left"/>
            </w:pPr>
            <w:r>
              <w:t xml:space="preserve">Registro de acción previa rehidratado al arranque y reintentado o reportado.</w:t>
            </w:r>
          </w:p>
        </w:tc>
      </w:tr>
      <w:tr>
        <w:trPr>
          <w:cantSplit/>
        </w:trPr>
        <w:tc>
          <w:tcPr/>
          <w:p>
            <w:pPr>
              <w:pStyle w:val="Compact"/>
              <w:jc w:val="left"/>
            </w:pPr>
            <w:r>
              <w:t xml:space="preserve">Desconexión del backend</w:t>
            </w:r>
          </w:p>
        </w:tc>
        <w:tc>
          <w:tcPr/>
          <w:p>
            <w:pPr>
              <w:pStyle w:val="Compact"/>
              <w:jc w:val="left"/>
            </w:pPr>
            <w:r>
              <w:t xml:space="preserve">Cola local acotada a 100 MB con drop-oldest y banner al reconectar si la presión superó 80 %.</w:t>
            </w:r>
          </w:p>
        </w:tc>
      </w:tr>
      <w:tr>
        <w:trPr>
          <w:cantSplit/>
        </w:trPr>
        <w:tc>
          <w:tcPr/>
          <w:p>
            <w:pPr>
              <w:pStyle w:val="Compact"/>
              <w:jc w:val="left"/>
            </w:pPr>
            <w:r>
              <w:t xml:space="preserve">Reconexión al backend</w:t>
            </w:r>
          </w:p>
        </w:tc>
        <w:tc>
          <w:tcPr/>
          <w:p>
            <w:pPr>
              <w:pStyle w:val="Compact"/>
              <w:jc w:val="left"/>
            </w:pPr>
            <w:r>
              <w:t xml:space="preserve">Comandos pendientes procesados antes que eventos encolados para evaluación con ruleset correcto.</w:t>
            </w:r>
          </w:p>
        </w:tc>
      </w:tr>
      <w:tr>
        <w:trPr>
          <w:cantSplit/>
        </w:trPr>
        <w:tc>
          <w:tcPr/>
          <w:p>
            <w:pPr>
              <w:pStyle w:val="Compact"/>
              <w:jc w:val="left"/>
            </w:pPr>
            <w:r>
              <w:t xml:space="preserve">Recepción de comando duplicado</w:t>
            </w:r>
          </w:p>
        </w:tc>
        <w:tc>
          <w:tcPr/>
          <w:p>
            <w:pPr>
              <w:pStyle w:val="Compact"/>
              <w:jc w:val="left"/>
            </w:pPr>
            <w:r>
              <w:t xml:space="preserve">Descarte por versión de ruleset menor a la última aplicada.</w:t>
            </w:r>
          </w:p>
        </w:tc>
      </w:tr>
      <w:tr>
        <w:trPr>
          <w:cantSplit/>
        </w:trPr>
        <w:tc>
          <w:tcPr/>
          <w:p>
            <w:pPr>
              <w:pStyle w:val="Compact"/>
              <w:jc w:val="left"/>
            </w:pPr>
            <w:r>
              <w:t xml:space="preserve">Recepción de SIGTERM</w:t>
            </w:r>
          </w:p>
        </w:tc>
        <w:tc>
          <w:tcPr/>
          <w:p>
            <w:pPr>
              <w:pStyle w:val="Compact"/>
              <w:jc w:val="left"/>
            </w:pPr>
            <w:r>
              <w:t xml:space="preserve">Drenaje graceful con timeout de 30 s y latido con indicador shutdown.</w:t>
            </w:r>
          </w:p>
        </w:tc>
      </w:tr>
      <w:tr>
        <w:trPr>
          <w:cantSplit/>
        </w:trPr>
        <w:tc>
          <w:tcPr/>
          <w:p>
            <w:pPr>
              <w:pStyle w:val="Compact"/>
              <w:jc w:val="left"/>
            </w:pPr>
            <w:r>
              <w:t xml:space="preserve">Copia del volumen sin el archivo de secreto maestro</w:t>
            </w:r>
          </w:p>
        </w:tc>
        <w:tc>
          <w:tcPr/>
          <w:p>
            <w:pPr>
              <w:pStyle w:val="Compact"/>
              <w:jc w:val="left"/>
            </w:pPr>
            <w:r>
              <w:t xml:space="preserve">Baseline ilegible: cifrada con AES-256-GCM y clave derivada mediante HKDF. El secreto maestro reside en el mismo anfitrión, en un archivo con permisos restrictivos (§2.10); la protección no alcanza al compromiso privilegiado del anfitrión.</w:t>
            </w:r>
          </w:p>
        </w:tc>
      </w:tr>
    </w:tbl>
    <w:bookmarkEnd w:id="71"/>
    <w:bookmarkStart w:id="75" w:name="Xa16881d11e9e1285cd40d9fb1a931d95f7dd774"/>
    <w:p>
      <w:pPr>
        <w:pStyle w:val="Heading2"/>
      </w:pPr>
      <w:r>
        <w:rPr>
          <w:bCs/>
          <w:b/>
        </w:rPr>
        <w:t xml:space="preserve">4.4 Motor de decisión, cadena superseded y protocolo ACK</w:t>
      </w:r>
    </w:p>
    <w:p>
      <w:pPr>
        <w:pStyle w:val="FirstParagraph"/>
      </w:pPr>
      <w:r>
        <w:t xml:space="preserve">El motor de decisión ofrece cuatro acciones: restauración automática, cuarentena, revisión manual y solo alerta. La restauración utiliza contenido de referencia conservado localmente, no la reconstrucción de un archivo a partir de su hash. El cierre técnico ubica la baseline cifrada en /var/lib/fim-agent/baseline/, con una entrada activa por ruta y hasta tres instantáneas previas. El servidor mantiene metadatos, hashes y resoluciones; no se acredita como copia autónoma completa de todos los contenidos restaurables.</w:t>
      </w:r>
    </w:p>
    <w:p>
      <w:pPr>
        <w:pStyle w:val="BodyText"/>
      </w:pPr>
      <w:r>
        <w:t xml:space="preserve">Según las modificaciones identificadas como b060e5f y 947edb6, la cuarentena cifra contenido y metadatos mediante AES-256-GCM, utiliza nombres opacos y elimina el origen únicamente después de la escritura, sincronización y verificación autenticada del artefacto. La retención predeterminada es de treinta días, configurable entre uno y 365, con mantenimiento al inicio y cada veinticuatro horas. Los artefactos corruptos o desconocidos se preservan y producen estado degradado. La eliminación por retención no demuestra borrado seguro del soporte.</w:t>
      </w:r>
    </w:p>
    <w:p>
      <w:pPr>
        <w:pStyle w:val="BodyText"/>
      </w:pPr>
      <w:r>
        <w:t xml:space="preserve">La revisión manual conserva el archivo y genera un evento pendiente. Solo alerta emite un registro sin restauración ni cuarentena. El alcance de cada acción y sus casos de rechazo se documentan en las pruebas dirigidas referidas por el cierre técnico.</w:t>
      </w:r>
    </w:p>
    <w:p>
      <w:pPr>
        <w:pStyle w:val="BodyText"/>
      </w:pPr>
      <w:r>
        <w:t xml:space="preserve">La gestión de cadenas de eventos con estado superseded resuelve una condición de carrera estructural de los flujos de aprobación humana. La situación problemática es la siguiente: un archivo monitoreado cambia, generando un evento pending; antes de que el administrador lo resuelva, el archivo cambia nuevamente. La resolución del diseño consiste en que, ante el nuevo cambio, el agente busca el evento pending existente para el mismo path, lo marca como superseded, y crea un nuevo evento pending con referencia al anterior mediante parent_event_id. Solo el último evento de la cadena permanece visible como pending en la interfaz administrativa. Cuando el administrador aprueba el último evento de la cadena, el backend adopta como nuevo estado de referencia el hash que ese evento reporta, y no practica una lectura del sistema de archivos del anfitrión. La decisión es forzosa antes que preferible: el backend se ejecuta en el servidor central y no tiene acceso al sistema de archivos monitoreado, de modo que la única fuente disponible del estado presente es lo que el agente informó al detectar el cambio.</w:t>
      </w:r>
    </w:p>
    <w:p>
      <w:pPr>
        <w:pStyle w:val="BodyText"/>
      </w:pPr>
      <w:r>
        <w:t xml:space="preserve">La actualización posterior del mecanismo de aprobación incorpora un candidato local cifrado asociado a source_event_id, ruta, estado y hash. Según el cierre técnico, el agente sólo promueve el contenido cuando valida esa asociación y rechaza un candidato ausente, obsoleto o inconsistente. La corrección evita asociar un hash aprobado con bytes de otra versión. No convierte la aprobación distribuida en una operación atómica con todas las modificaciones del sistema de archivos ni garantiza que el archivo permanezca inalterado después de aprobarlo.</w:t>
      </w:r>
    </w:p>
    <w:p>
      <w:pPr>
        <w:pStyle w:val="BodyText"/>
      </w:pPr>
      <w:r>
        <w:t>El protocolo de entrega con confirmación bidireccional, denominado históricamente «exactamente-una-vez» en el proyecto, complementa la cadena superseded. Resuelve un problema distinto: la combinación de garantías at-least-once de Valkey con la posibilidad de crashes en cualquier punto del camino entre agente y backend, que sin controles adicionales llevaría a pérdidas o duplicaciones. Conviene delimitar el sentido de la denominación. Lo que el protocolo garantiza es que cada evento se entrega al menos una vez y se persiste a lo sumo una vez —persistencia deduplicada por identificador—, de modo que el efecto sobre la base de datos es único. No garantiza, en cambio, que el procesamiento asociado a un evento se ejecute exactamente una vez: un consumidor que persista el evento y falle antes de confirmarlo volverá a recibirlo. Por ello, toda acción con efectos laterales fuera de la transacción de persistencia —como la emisión de una notificación— debe ser idempotente o tolerar la repetición. La denominación histórica «exactamente-una-vez» se conserva en el documento como nombre del protocolo, con el alcance recién precisado. La Figura 4 presenta el diagrama de secuencia.</w:t>
      </w:r>
    </w:p>
    <w:p>
      <w:pPr>
        <w:pStyle w:val="BodyText"/>
      </w:pPr>
      <w:r>
        <w:drawing>
          <wp:inline>
            <wp:extent cx="5334000" cy="3333750"/>
            <wp:effectExtent b="0" l="0" r="0" t="0"/>
            <wp:docPr descr="" title="" id="73" name="Picture"/>
            <a:graphic>
              <a:graphicData uri="http://schemas.openxmlformats.org/drawingml/2006/picture">
                <pic:pic>
                  <pic:nvPicPr>
                    <pic:cNvPr descr="./media/image8.png" id="74" name="Picture"/>
                    <pic:cNvPicPr>
                      <a:picLocks noChangeArrowheads="1" noChangeAspect="1"/>
                    </pic:cNvPicPr>
                  </pic:nvPicPr>
                  <pic:blipFill>
                    <a:blip r:embed="rId7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keepNext/>
      </w:pPr>
      <w:r>
        <w:t>Figura 4. Diagrama de secuencia del protocolo de entrega con confirmación bidireccional (denominado históricamente «exactamente-una-vez» en el proyecto)</w:t>
      </w:r>
    </w:p>
    <w:p>
      <w:pPr>
        <w:pStyle w:val="BodyText"/>
      </w:pPr>
      <w:r>
        <w:rPr>
          <w:bCs/>
          <w:b/>
          <w:iCs/>
          <w:i/>
        </w:rPr>
        <w:t xml:space="preserve">Nota.</w:t>
      </w:r>
      <w:r>
        <w:rPr>
          <w:iCs/>
          <w:i/>
        </w:rPr>
        <w:t xml:space="preserve"> La combinación de UUID v4 generado en origen, XACK explícito al consumir, publicación de event_ack y eliminación de la entrada en la cola local del agente produce entrega al-menos-una-vez con persistencia deduplicada —un único registro por evento— sobre una capa de mensajería con garantías at-least-once. No garantiza, sin embargo, ejecución exactamente una vez de los efectos laterales del procesamiento (§4.4).</w:t>
      </w:r>
    </w:p>
    <w:p>
      <w:pPr>
        <w:pStyle w:val="BodyText"/>
      </w:pPr>
      <w:r>
        <w:t xml:space="preserve">El flujo es el siguiente. El agente genera un identificador UUID versión 4 al crear cada evento. El backend consume el stream events mediante un consumer group. Tras persistir el evento en PostgreSQL, el backend ejecuta la confirmación XACK sobre el stream, y a continuación publica un mensaje event_ack en el stream commands con el identificador del evento confirmado. El agente, al recibir el event_ack, elimina la entrada correspondiente de su cola local. Cualquier crash intermedio se recupera mediante reenvío, y cualquier duplicación eventual se descarta por restricción de unicidad sobre el identificador del evento en la tabla events.</w:t>
      </w:r>
    </w:p>
    <w:p>
      <w:pPr>
        <w:pStyle w:val="BodyText"/>
      </w:pPr>
      <w:r>
        <w:t xml:space="preserve">El protocolo descripto garantiza la entrega de los eventos que viajan desde el agente hacia el backend. El sentido inverso —los comandos que el backend emite hacia el agente— presenta un problema distinto, que no resuelve la confirmación bidireccional. Cuando una operación del backend modifica el estado de la base de datos y debe además emitir un comando por la capa de mensajería, ambas acciones pertenecen a sistemas de persistencia diferentes y ninguna transacción las abarca. Si la publicación en el stream se practicara dentro de la transacción, una reversión posterior dejaría al agente ejecutando un comando por un cambio que nunca se consumó; si se practicara después de confirmar, una caída del motor de mensajería dejaría el estado avanzado sin comando entregable.</w:t>
      </w:r>
    </w:p>
    <w:p>
      <w:pPr>
        <w:pStyle w:val="BodyText"/>
      </w:pPr>
      <w:r>
        <w:t xml:space="preserve">La resolución adoptada es el patrón de bandeja de salida transaccional. Para las operaciones de sincronización del conjunto de reglas, la fila que representa el comando —con su payload completo ya firmado— se inserta en la tabla de comandos publicados con estado pendiente, dentro de la misma transacción que avanza la regla y el contador de versión. Una tarea de fondo recorre las filas pendientes, ejecuta la publicación efectiva sobre el stream con reintentos, y marca la fila como publicada al confirmar. De este modo, la atomicidad se preserva sobre el único sistema que la ofrece —la base de datos—, y la entrega se vuelve un problema de reintento antes que de consistencia. El patrón se aplica sin excepción a la totalidad de los comandos, incluidos los originados en la resolución humana de un evento. La fila que representa el comando de actualización de baseline se inserta en la bandeja de salida dentro de la misma transacción que muta el estado del evento, incrementa el contador de versión del conjunto de reglas y registra la acción en auditoría. Si cualquiera de esas operaciones falla, ninguna se consuma y el comando no llega a existir. Confirmada la transacción, el servicio practica un intento inmediato de publicación de las filas pendientes, de modo que el camino feliz no incorpora la latencia del recorrido periódico; si el motor de mensajería se encuentra indisponible, la fila permanece pendiente y la tarea de fondo la reintenta. La uniformidad del tratamiento es deliberada: no existen dos regímenes de entrega según el origen del comando, sino uno solo cuya atomicidad descansa íntegramente sobre la base de datos.</w:t>
      </w:r>
    </w:p>
    <w:p>
      <w:pPr>
        <w:pStyle w:val="BodyText"/>
      </w:pPr>
      <w:r>
        <w:t xml:space="preserve">La misma tabla soporta un segundo eje de estado, ortogonal al anterior y deliberadamente no fusionado con él: el seguimiento de la confirmación de ejecución por parte del agente. Mientras el primer eje responde a la pregunta de si el comando fue publicado, el segundo responde a la pregunta de si el agente lo ejecutó, con valores que distinguen la confirmación exitosa, el fallo reportado y el vencimiento del plazo de espera. La distinción permite al operador discriminar entre un comando que nunca salió del backend y uno que llegó al agente y no pudo aplicarse.</w:t>
      </w:r>
    </w:p>
    <w:bookmarkEnd w:id="75"/>
    <w:bookmarkStart w:id="79" w:name="Xd6ba5580c82d1bb281e4702be960900564fac8e"/>
    <w:p>
      <w:pPr>
        <w:pStyle w:val="Heading2"/>
      </w:pPr>
      <w:r>
        <w:rPr>
          <w:bCs/>
          <w:b/>
        </w:rPr>
        <w:t xml:space="preserve">4.5 Flujo del backend: lifecycle formal, bloqueo optimista y anti-replay</w:t>
      </w:r>
    </w:p>
    <w:p>
      <w:pPr>
        <w:pStyle w:val="FirstParagraph"/>
      </w:pPr>
      <w:r>
        <w:t xml:space="preserve">El backend estructura sus módulos por dominio funcional: autenticación, eventos, reglas, acciones, alertas, agentes, notificaciones, salud del sistema y auditoría. Cada dominio sigue la organización descripta en el apartado 4.9. La inicialización del esquema de base de datos se resuelve en dos etapas separadas por su naturaleza. La creación de las bases y del usuario propietario se practica mediante scripts SQL que el contenedor de PostgreSQL ejecuta durante su primer arranque, aprovechando el punto de extensión que la imagen oficial provee a tal efecto. La evolución posterior del esquema se gobierna mediante un conjunto de migraciones SQL numeradas y versionadas, que se aplican de forma explícita y quedan registradas en el repositorio, de modo que el estado del esquema en cualquier despliegue resulte reconstruible a partir del historial. El arranque del backend queda condicionado, mediante la declaración de dependencias del orquestador, a que los servicios de base de datos y de mensajería reporten estado saludable en sus respectivas verificaciones de salud.</w:t>
      </w:r>
    </w:p>
    <w:p>
      <w:pPr>
        <w:pStyle w:val="BodyText"/>
      </w:pPr>
      <w:r>
        <w:t xml:space="preserve">Tres decisiones de auditoría resultan centrales para el backend. La primera es la máquina de estados explícita del evento, que la Figura 5 representa gráficamente. Cualquier transición no enumerada en el grafo se considera inválida y el servicio la rechaza con código HTTP 409. La implementación se materializa en un validador de transición y se acompaña de pruebas unitarias que cubren cada transición válida e inválida.</w:t>
      </w:r>
    </w:p>
    <w:p>
      <w:pPr>
        <w:pStyle w:val="BodyText"/>
      </w:pPr>
      <w:r>
        <w:drawing>
          <wp:inline>
            <wp:extent cx="5334000" cy="3222625"/>
            <wp:effectExtent b="0" l="0" r="0" t="0"/>
            <wp:docPr descr="" title="" id="77" name="Picture"/>
            <a:graphic>
              <a:graphicData uri="http://schemas.openxmlformats.org/drawingml/2006/picture">
                <pic:pic>
                  <pic:nvPicPr>
                    <pic:cNvPr descr="./media/image4.png" id="78" name="Picture"/>
                    <pic:cNvPicPr>
                      <a:picLocks noChangeArrowheads="1" noChangeAspect="1"/>
                    </pic:cNvPicPr>
                  </pic:nvPicPr>
                  <pic:blipFill>
                    <a:blip r:embed="rId76"/>
                    <a:stretch>
                      <a:fillRect/>
                    </a:stretch>
                  </pic:blipFill>
                  <pic:spPr bwMode="auto">
                    <a:xfrm>
                      <a:off x="0" y="0"/>
                      <a:ext cx="5334000" cy="3222625"/>
                    </a:xfrm>
                    <a:prstGeom prst="rect">
                      <a:avLst/>
                    </a:prstGeom>
                    <a:noFill/>
                    <a:ln w="9525">
                      <a:noFill/>
                      <a:headEnd/>
                      <a:tailEnd/>
                    </a:ln>
                  </pic:spPr>
                </pic:pic>
              </a:graphicData>
            </a:graphic>
          </wp:inline>
        </w:drawing>
      </w:r>
    </w:p>
    <w:p>
      <w:pPr>
        <w:pStyle w:val="BodyText"/>
        <w:keepNext/>
      </w:pPr>
      <w:r>
        <w:t>Figura 5. Máquina de estados explícita del evento (siete estados posibles)</w:t>
      </w:r>
    </w:p>
    <w:p>
      <w:pPr>
        <w:pStyle w:val="BodyText"/>
      </w:pPr>
      <w:r>
        <w:t>Nota. Los estados se escriben en minúsculas snake_case. pending admite las transiciones approved, rejected y superseded. auto_restored, quarantined y alert_only son terminales y se crean directamente por el agente. Cualquier transición no enumerada se rechaza con HTTP 409.</w:t>
      </w:r>
    </w:p>
    <w:p>
      <w:pPr>
        <w:pStyle w:val="BodyText"/>
        <w:keepNext/>
      </w:pPr>
      <w:r>
        <w:rPr>
          <w:bCs/>
          <w:b/>
          <w:iCs/>
          <w:i/>
        </w:rPr>
        <w:t xml:space="preserve">Tabla 8.</w:t>
      </w:r>
      <w:r>
        <w:rPr>
          <w:iCs/>
          <w:i/>
        </w:rPr>
        <w:t xml:space="preserve"> Máquina de estados explícita del evento</w:t>
      </w:r>
    </w:p>
    <w:tbl>
      <w:tblPr>
        <w:tblStyle w:val="Table"/>
        <w:tblW w:type="pct" w:w="4918"/>
        <w:jc w:val="start"/>
        <w:tblLook w:firstRow="1" w:lastRow="0" w:firstColumn="0" w:lastColumn="0" w:noHBand="0" w:noVBand="0" w:val="0020"/>
      </w:tblPr>
      <w:tblGrid>
        <w:gridCol w:w="1363"/>
        <w:gridCol w:w="3830"/>
        <w:gridCol w:w="2596"/>
      </w:tblGrid>
      <w:tr>
        <w:trPr>
          <w:tblHeader w:val="true"/>
          <w:cantSplit/>
        </w:trPr>
        <w:tc>
          <w:tcPr/>
          <w:p>
            <w:pPr>
              <w:pStyle w:val="Compact"/>
              <w:jc w:val="left"/>
            </w:pPr>
            <w:r>
              <w:rPr>
                <w:bCs/>
                <w:b/>
              </w:rPr>
              <w:t xml:space="preserve">Estado destino</w:t>
            </w:r>
          </w:p>
        </w:tc>
        <w:tc>
          <w:tcPr/>
          <w:p>
            <w:pPr>
              <w:pStyle w:val="Compact"/>
              <w:jc w:val="left"/>
            </w:pPr>
            <w:r>
              <w:rPr>
                <w:bCs/>
                <w:b/>
              </w:rPr>
              <w:t xml:space="preserve">Transiciones de entrada permitidas</w:t>
            </w:r>
          </w:p>
        </w:tc>
        <w:tc>
          <w:tcPr/>
          <w:p>
            <w:pPr>
              <w:pStyle w:val="Compact"/>
              <w:jc w:val="left"/>
            </w:pPr>
            <w:r>
              <w:rPr>
                <w:bCs/>
                <w:b/>
              </w:rPr>
              <w:t xml:space="preserve">Transiciones de salida permitidas</w:t>
            </w:r>
          </w:p>
        </w:tc>
      </w:tr>
      <w:tr>
        <w:trPr>
          <w:cantSplit/>
        </w:trPr>
        <w:tc>
          <w:tcPr/>
          <w:p>
            <w:pPr>
              <w:pStyle w:val="Compact"/>
              <w:jc w:val="left"/>
            </w:pPr>
            <w:r>
              <w:t xml:space="preserve">pending</w:t>
            </w:r>
          </w:p>
        </w:tc>
        <w:tc>
          <w:tcPr/>
          <w:p>
            <w:pPr>
              <w:pStyle w:val="Compact"/>
              <w:jc w:val="left"/>
            </w:pPr>
            <w:r>
              <w:t xml:space="preserve">Creación por agente con acción manual_review.</w:t>
            </w:r>
          </w:p>
        </w:tc>
        <w:tc>
          <w:tcPr/>
          <w:p>
            <w:pPr>
              <w:pStyle w:val="Compact"/>
              <w:jc w:val="left"/>
            </w:pPr>
            <w:r>
              <w:t xml:space="preserve">approved, rejected, superseded</w:t>
            </w:r>
          </w:p>
        </w:tc>
      </w:tr>
      <w:tr>
        <w:trPr>
          <w:cantSplit/>
        </w:trPr>
        <w:tc>
          <w:tcPr/>
          <w:p>
            <w:pPr>
              <w:pStyle w:val="Compact"/>
              <w:jc w:val="left"/>
            </w:pPr>
            <w:r>
              <w:t xml:space="preserve">approved</w:t>
            </w:r>
          </w:p>
        </w:tc>
        <w:tc>
          <w:tcPr/>
          <w:p>
            <w:pPr>
              <w:pStyle w:val="Compact"/>
              <w:jc w:val="left"/>
            </w:pPr>
            <w:r>
              <w:t xml:space="preserve">Desde pending, por aprobación del administrador.</w:t>
            </w:r>
          </w:p>
        </w:tc>
        <w:tc>
          <w:tcPr/>
          <w:p>
            <w:pPr>
              <w:pStyle w:val="Compact"/>
              <w:jc w:val="left"/>
            </w:pPr>
            <w:r>
              <w:t xml:space="preserve">(terminal)</w:t>
            </w:r>
          </w:p>
        </w:tc>
      </w:tr>
      <w:tr>
        <w:trPr>
          <w:cantSplit/>
        </w:trPr>
        <w:tc>
          <w:tcPr/>
          <w:p>
            <w:pPr>
              <w:pStyle w:val="Compact"/>
              <w:jc w:val="left"/>
            </w:pPr>
            <w:r>
              <w:t xml:space="preserve">rejected</w:t>
            </w:r>
          </w:p>
        </w:tc>
        <w:tc>
          <w:tcPr/>
          <w:p>
            <w:pPr>
              <w:pStyle w:val="Compact"/>
              <w:jc w:val="left"/>
            </w:pPr>
            <w:r>
              <w:t xml:space="preserve">Desde pending, por rechazo del administrador.</w:t>
            </w:r>
          </w:p>
        </w:tc>
        <w:tc>
          <w:tcPr/>
          <w:p>
            <w:pPr>
              <w:pStyle w:val="Compact"/>
              <w:jc w:val="left"/>
            </w:pPr>
            <w:r>
              <w:t xml:space="preserve">(terminal)</w:t>
            </w:r>
          </w:p>
        </w:tc>
      </w:tr>
      <w:tr>
        <w:trPr>
          <w:cantSplit/>
        </w:trPr>
        <w:tc>
          <w:tcPr/>
          <w:p>
            <w:pPr>
              <w:pStyle w:val="Compact"/>
              <w:jc w:val="left"/>
            </w:pPr>
            <w:r>
              <w:t xml:space="preserve">superseded</w:t>
            </w:r>
          </w:p>
        </w:tc>
        <w:tc>
          <w:tcPr/>
          <w:p>
            <w:pPr>
              <w:pStyle w:val="Compact"/>
              <w:jc w:val="left"/>
            </w:pPr>
            <w:r>
              <w:t xml:space="preserve">Desde pending, por cadena o por re-scan.</w:t>
            </w:r>
          </w:p>
        </w:tc>
        <w:tc>
          <w:tcPr/>
          <w:p>
            <w:pPr>
              <w:pStyle w:val="Compact"/>
              <w:jc w:val="left"/>
            </w:pPr>
            <w:r>
              <w:t xml:space="preserve">(terminal)</w:t>
            </w:r>
          </w:p>
        </w:tc>
      </w:tr>
      <w:tr>
        <w:trPr>
          <w:cantSplit/>
        </w:trPr>
        <w:tc>
          <w:tcPr/>
          <w:p>
            <w:pPr>
              <w:pStyle w:val="Compact"/>
              <w:jc w:val="left"/>
            </w:pPr>
            <w:r>
              <w:t xml:space="preserve">auto_restored</w:t>
            </w:r>
          </w:p>
        </w:tc>
        <w:tc>
          <w:tcPr/>
          <w:p>
            <w:pPr>
              <w:pStyle w:val="Compact"/>
              <w:jc w:val="left"/>
            </w:pPr>
            <w:r>
              <w:t xml:space="preserve">Creación por agente con acción auto_restore.</w:t>
            </w:r>
          </w:p>
        </w:tc>
        <w:tc>
          <w:tcPr/>
          <w:p>
            <w:pPr>
              <w:pStyle w:val="Compact"/>
              <w:jc w:val="left"/>
            </w:pPr>
            <w:r>
              <w:t xml:space="preserve">(terminal)</w:t>
            </w:r>
          </w:p>
        </w:tc>
      </w:tr>
      <w:tr>
        <w:trPr>
          <w:cantSplit/>
        </w:trPr>
        <w:tc>
          <w:tcPr/>
          <w:p>
            <w:pPr>
              <w:pStyle w:val="Compact"/>
              <w:jc w:val="left"/>
            </w:pPr>
            <w:r>
              <w:t xml:space="preserve">quarantined</w:t>
            </w:r>
          </w:p>
        </w:tc>
        <w:tc>
          <w:tcPr/>
          <w:p>
            <w:pPr>
              <w:pStyle w:val="Compact"/>
              <w:jc w:val="left"/>
            </w:pPr>
            <w:r>
              <w:t xml:space="preserve">Creación por agente con acción quarantine.</w:t>
            </w:r>
          </w:p>
        </w:tc>
        <w:tc>
          <w:tcPr/>
          <w:p>
            <w:pPr>
              <w:pStyle w:val="Compact"/>
              <w:jc w:val="left"/>
            </w:pPr>
            <w:r>
              <w:t xml:space="preserve">(terminal)</w:t>
            </w:r>
          </w:p>
        </w:tc>
      </w:tr>
      <w:tr>
        <w:trPr>
          <w:cantSplit/>
        </w:trPr>
        <w:tc>
          <w:tcPr/>
          <w:p>
            <w:pPr>
              <w:pStyle w:val="Compact"/>
              <w:jc w:val="left"/>
            </w:pPr>
            <w:r>
              <w:t xml:space="preserve">alert_only</w:t>
            </w:r>
          </w:p>
        </w:tc>
        <w:tc>
          <w:tcPr/>
          <w:p>
            <w:pPr>
              <w:pStyle w:val="Compact"/>
              <w:jc w:val="left"/>
            </w:pPr>
            <w:r>
              <w:t xml:space="preserve">Creación por agente con acción alert_only o por defecto.</w:t>
            </w:r>
          </w:p>
        </w:tc>
        <w:tc>
          <w:tcPr/>
          <w:p>
            <w:pPr>
              <w:pStyle w:val="Compact"/>
              <w:jc w:val="left"/>
            </w:pPr>
            <w:r>
              <w:t xml:space="preserve">(terminal)</w:t>
            </w:r>
          </w:p>
        </w:tc>
      </w:tr>
    </w:tbl>
    <w:p>
      <w:pPr>
        <w:pStyle w:val="BodyText"/>
      </w:pPr>
      <w:r>
        <w:rPr>
          <w:bCs/>
          <w:b/>
          <w:iCs/>
          <w:i/>
        </w:rPr>
        <w:t xml:space="preserve">Nota.</w:t>
      </w:r>
      <w:r>
        <w:rPr>
          <w:iCs/>
          <w:i/>
        </w:rPr>
        <w:t xml:space="preserve"> Los siete estados se escriben en minúsculas snake_case de forma canónica en todo el sistema: código, mensajes, logs y documentación.</w:t>
      </w:r>
    </w:p>
    <w:p>
      <w:pPr>
        <w:pStyle w:val="BodyText"/>
      </w:pPr>
      <w:r>
        <w:t xml:space="preserve">La segunda decisión es el bloqueo optimista sobre la tabla de eventos. La columna version, entera por defecto con valor inicial cero, se incrementa atómicamente en cada actualización de estado mediante una cláusula SQL con WHERE que verifica simultáneamente el identificador, la versión esperada y el estado previo. Si el UPDATE afecta cero filas, el servicio retorna HTTP 409 con cuerpo que identifica el conflicto como resolución previa o como superseded automático. El frontend traduce esta respuesta en un mensaje al operador y refresca automáticamente la vista. Esta decisión evita condiciones de carrera entre dos administradores aprobando simultáneamente el mismo evento, así como entre la aprobación manual y la cadena superseded activada por un nuevo evento del agente durante la ventana de decisión humana.</w:t>
      </w:r>
    </w:p>
    <w:p>
      <w:pPr>
        <w:pStyle w:val="BodyText"/>
      </w:pPr>
      <w:r>
        <w:t xml:space="preserve">La tercera decisión es el control anti-replay del canal de eventos, resuelto en tres capas complementarias.</w:t>
      </w:r>
    </w:p>
    <w:p>
      <w:pPr>
        <w:pStyle w:val="BodyText"/>
      </w:pPr>
      <w:r>
        <w:t xml:space="preserve">La primera es la firma del evento. El agente sella el mensaje inmediatamente antes de cada transmisión con una marca sent_at, y computa sobre la representación canónica que la incluye una firma HMAC-SHA256. De este modo, la marca de transmisión queda cubierta por la firma y no admite alteración por parte de quien no posea el secreto compartido. Ni la marca ni la firma se persisten en la cola local: el sobre encolado carece de ambas y se computan en el instante de la publicación efectiva. Una retransmisión legítima presenta, en consecuencia, una marca y una firma distintas de las originales, y ambas verifican.</w:t>
      </w:r>
    </w:p>
    <w:p>
      <w:pPr>
        <w:pStyle w:val="BodyText"/>
      </w:pPr>
      <w:r>
        <w:t xml:space="preserve">La segunda es la ventana temporal, evaluada sobre la marca de transmisión y no sobre la de detección. Todo evento porta tres instantes: detected_at, fijado por el agente cuando el subsistema entrega el evento; sent_at, fijado inmediatamente antes de la escritura en el stream; y received_at, agregado por el backend al consumirlo. El backend rechaza con código clock_skew, y persiste en la tabla rejected_events_audit, todo evento cuya diferencia absoluta entre sent_at y received_at supere trescientos segundos. La marca detected_at debe resultar parseable —constituye la verdad forense del evento y se persiste sin transformación— pero no está sujeta a ventana alguna. La distinción es deliberada y constituye la condición de compatibilidad entre este control y la resiliencia offline documentada en el apartado 5.6: una marca de detección de varias horas de antigüedad es precisamente lo que produce una cola local que sobrevivió a un corte prolongado, y debe aceptarse. La ventana acota el tránsito por la capa de mensajería, no la permanencia del evento en la cola del agente.</w:t>
      </w:r>
    </w:p>
    <w:p>
      <w:pPr>
        <w:pStyle w:val="BodyText"/>
      </w:pPr>
      <w:r>
        <w:t xml:space="preserve">La tercera es la deduplicación por identificador de evento. Con anterioridad a la ingesta, el backend verifica la preexistencia del identificador en la tabla de eventos; si el evento ya fue persistido, confirma el mensaje y emite la confirmación firmada correspondiente sin reinsertar el registro ni consumir presupuesto de limitación de tasa.</w:t>
      </w:r>
    </w:p>
    <w:p>
      <w:pPr>
        <w:pStyle w:val="BodyText"/>
      </w:pPr>
      <w:r>
        <w:t xml:space="preserve">Las tres capas componen. Para que una reinyección prospere debería producirse dentro de los trescientos segundos posteriores a la transmisión original, y portar una firma válida sobre una marca de transmisión que el atacante no puede recalcular sin el secreto compartido. Debería presentar, además, un identificador de evento que el backend no hubiera persistido todavía, condición que la propia ingesta del mensaje original vuelve insatisfacible. La ventana atiende, adicionalmente, a la detección de desincronización horaria del anfitrión, problema operativo habitual que constituye su segunda finalidad.</w:t>
      </w:r>
    </w:p>
    <w:p>
      <w:pPr>
        <w:pStyle w:val="BodyText"/>
      </w:pPr>
      <w:r>
        <w:t xml:space="preserve">Por compatibilidad con agentes anteriores a la enmienda que introdujo la marca de transmisión, su ausencia en el mensaje reinstaura la evaluación de la ventana sobre la marca de detección, con el comportamiento previo. Complementariamente, todo mensaje en los streams events y commands incluye una versión de esquema entera; el backend rechaza mensajes con esquema mayor al soportado con código UNSUPPORTED_SCHEMA, mientras que el agente ignora campos desconocidos para habilitar compatibilidad hacia adelante.</w:t>
      </w:r>
    </w:p>
    <w:bookmarkEnd w:id="79"/>
    <w:bookmarkStart w:id="86" w:name="frontend-administrativo-y-hardening-web"/>
    <w:p>
      <w:pPr>
        <w:pStyle w:val="Heading2"/>
      </w:pPr>
      <w:r>
        <w:rPr>
          <w:bCs/>
          <w:b/>
        </w:rPr>
        <w:t xml:space="preserve">4.6 Frontend administrativo y hardening web</w:t>
      </w:r>
    </w:p>
    <w:p>
      <w:pPr>
        <w:pStyle w:val="FirstParagraph"/>
      </w:pPr>
      <w:r>
        <w:t xml:space="preserve">La aplicación frontend se implementa como Single Page Application en React 19 con TypeScript, empaquetada con Vite, con estilos Tailwind CSS 4.0 bajo integración nativa mediante @tailwindcss/vite. Utiliza TanStack Query en su versión 5 para la gestión de estado del servidor, y Zustand para el estado global del cliente. Emplea, además, cliente HTTP Axios con interceptores para la gestión del token JWT, enrutamiento mediante React Router en su versión 7, y el gestor de paquetes pnpm. La organización del código sigue una estructura de cuatro carpetas principales: api con cliente y endpoints agrupados por dominio, stores con tiendas Zustand, pages con componentes de página, y components subdividida en layout y ui.</w:t>
      </w:r>
    </w:p>
    <w:p>
      <w:pPr>
        <w:pStyle w:val="BodyText"/>
      </w:pPr>
      <w:r>
        <w:t xml:space="preserve">El backlog funcional comprende treinta y una historias de usuario, conformadas por veinticuatro originales más siete incorporadas tras la auditoría interna del proyecto. Las funcionalidades cubren autenticación, visualización de eventos con filtrado y paginación, aprobación y rechazo individual o en lote, gestión de reglas, visualización de alertas en tiempo real mediante SSE (Server-Sent Events), gestión de agentes, reintento de notificaciones fallidas, y cambio forzado de contraseña en primer inicio de sesión.</w:t>
      </w:r>
    </w:p>
    <w:p>
      <w:pPr>
        <w:pStyle w:val="BodyText"/>
      </w:pPr>
      <w:r>
        <w:t xml:space="preserve">Cuatro decisiones de hardening resultan especialmente relevantes. La primera es el conjunto de cabeceras HTTP emitidas por nginx al servir el frontend: política de seguridad de contenido restrictiva, transporte seguro estricto, X-Frame-Options con valor DENY y validación de Origin contra una lista blanca. La verificación posterior de US-03 observó la cookie de renovación con HttpOnly, SameSite=Strict y Path=/auth/refresh. Secure=false correspondió exclusivamente al laboratorio HTTP de desarrollo; la configuración de producción prevé Secure=true. Esta evidencia no se extrapola a producción ni acredita inmunidad frente a XSS o CSRF.</w:t>
      </w:r>
    </w:p>
    <w:p>
      <w:pPr>
        <w:pStyle w:val="BodyText"/>
      </w:pPr>
      <w:r>
        <w:t xml:space="preserve">La segunda decisión es mantener el access token en memoria dentro de la store Zustand, sin persistirlo en localStorage ni sessionStorage, y transmitir el refresh token mediante una cookie httpOnly. La tercera es prohibir la inyección HTML sin sanitización mediante ESLint. El visor US-09 renderiza con react-diff-viewer-continued un parche unificado para texto UTF-8 de hasta 1 MiB. En el candidato 7a7ee50 detecta además archivos binarios y muestra la comparación de hashes y un hex dump de hasta 256 bytes por lado. La cuarta decisión es forzar el cambio de contraseña inicial mediante un token de alcance restringido y bloquear las demás rutas hasta completarlo. Ninguno de estos controles acredita inmunidad integral frente a XSS o CSRF.</w:t>
      </w:r>
    </w:p>
    <w:p>
      <w:pPr>
        <w:pStyle w:val="BodyText"/>
      </w:pPr>
      <w:r>
        <w:drawing>
          <wp:inline>
            <wp:extent cx="5334000" cy="2469849"/>
            <wp:effectExtent b="0" l="0" r="0" t="0"/>
            <wp:docPr descr="" title="" id="81" name="Picture"/>
            <a:graphic>
              <a:graphicData uri="http://schemas.openxmlformats.org/drawingml/2006/picture">
                <pic:pic>
                  <pic:nvPicPr>
                    <pic:cNvPr descr="./media/image2.png" id="82" name="Picture"/>
                    <pic:cNvPicPr>
                      <a:picLocks noChangeArrowheads="1" noChangeAspect="1"/>
                    </pic:cNvPicPr>
                  </pic:nvPicPr>
                  <pic:blipFill>
                    <a:blip r:embed="rId80"/>
                    <a:stretch>
                      <a:fillRect/>
                    </a:stretch>
                  </pic:blipFill>
                  <pic:spPr bwMode="auto">
                    <a:xfrm>
                      <a:off x="0" y="0"/>
                      <a:ext cx="5334000" cy="2469849"/>
                    </a:xfrm>
                    <a:prstGeom prst="rect">
                      <a:avLst/>
                    </a:prstGeom>
                    <a:noFill/>
                    <a:ln w="9525">
                      <a:noFill/>
                      <a:headEnd/>
                      <a:tailEnd/>
                    </a:ln>
                  </pic:spPr>
                </pic:pic>
              </a:graphicData>
            </a:graphic>
          </wp:inline>
        </w:drawing>
      </w:r>
    </w:p>
    <w:p>
      <w:pPr>
        <w:pStyle w:val="BodyText"/>
        <w:keepNext/>
      </w:pPr>
      <w:r>
        <w:rPr>
          <w:bCs/>
          <w:b/>
          <w:iCs/>
          <w:i/>
        </w:rPr>
        <w:t xml:space="preserve">Figura 6.</w:t>
      </w:r>
      <w:r>
        <w:rPr>
          <w:iCs/>
          <w:i/>
        </w:rPr>
        <w:t xml:space="preserve"> Vista del panel administrativo — Dashboard con banner de degradación de infraestructura activo (comprobación manual).</w:t>
      </w:r>
    </w:p>
    <w:p>
      <w:pPr>
        <w:pStyle w:val="BodyText"/>
      </w:pPr>
      <w:r>
        <w:rPr>
          <w:bCs/>
          <w:b/>
          <w:iCs/>
          <w:i/>
        </w:rPr>
        <w:t xml:space="preserve">Nota.</w:t>
      </w:r>
      <w:r>
        <w:rPr>
          <w:iCs/>
          <w:i/>
        </w:rPr>
        <w:t xml:space="preserve"> El panel muestra el desglose de eventos por estado, el estado de conectividad de los agentes registrados, y un banner persistente que se activa cuando algún componente de infraestructura (Postgres, Valkey, n8n o los agentes) reporta un estado distinto de ok (US-28).</w:t>
      </w:r>
    </w:p>
    <w:p>
      <w:pPr>
        <w:pStyle w:val="BodyText"/>
      </w:pPr>
      <w:r>
        <w:drawing>
          <wp:inline>
            <wp:extent cx="5334000" cy="2387521"/>
            <wp:effectExtent b="0" l="0" r="0" t="0"/>
            <wp:docPr descr="" title="" id="84" name="Picture"/>
            <a:graphic>
              <a:graphicData uri="http://schemas.openxmlformats.org/drawingml/2006/picture">
                <pic:pic>
                  <pic:nvPicPr>
                    <pic:cNvPr descr="./media/image9.png" id="85" name="Picture"/>
                    <pic:cNvPicPr>
                      <a:picLocks noChangeArrowheads="1" noChangeAspect="1"/>
                    </pic:cNvPicPr>
                  </pic:nvPicPr>
                  <pic:blipFill>
                    <a:blip r:embed="rId83"/>
                    <a:stretch>
                      <a:fillRect/>
                    </a:stretch>
                  </pic:blipFill>
                  <pic:spPr bwMode="auto">
                    <a:xfrm>
                      <a:off x="0" y="0"/>
                      <a:ext cx="5334000" cy="2387521"/>
                    </a:xfrm>
                    <a:prstGeom prst="rect">
                      <a:avLst/>
                    </a:prstGeom>
                    <a:noFill/>
                    <a:ln w="9525">
                      <a:noFill/>
                      <a:headEnd/>
                      <a:tailEnd/>
                    </a:ln>
                  </pic:spPr>
                </pic:pic>
              </a:graphicData>
            </a:graphic>
          </wp:inline>
        </w:drawing>
      </w:r>
    </w:p>
    <w:p>
      <w:pPr>
        <w:pStyle w:val="BodyText"/>
        <w:keepNext/>
      </w:pPr>
      <w:r>
        <w:t>Figura 7. Vista ilustrativa del panel administrativo — controles de filtrado y de inclusión de eventos superseded.</w:t>
      </w:r>
    </w:p>
    <w:p>
      <w:pPr>
        <w:pStyle w:val="BodyText"/>
      </w:pPr>
      <w:r>
        <w:t xml:space="preserve">Nota. La captura muestra la presencia visual de los controles, pero la lista vacía no demuestra su efecto, la cadena de eventos ni la visualización de parent_event_id. La evidencia funcional de US-31 corresponde a la prueba dirigida indicada en el Anexo G; US-07 se clasifica completa por las pruebas dirigidas del candidato 7a7ee50 (Tabla 22), no por esta captura.</w:t>
      </w:r>
    </w:p>
    <w:bookmarkEnd w:id="86"/>
    <w:bookmarkStart w:id="90" w:name="X6192769ee1e0c8f1e3c31dd9af31d89996da12d"/>
    <w:p>
      <w:pPr>
        <w:pStyle w:val="Heading2"/>
      </w:pPr>
      <w:r>
        <w:rPr>
          <w:bCs/>
          <w:b/>
        </w:rPr>
        <w:t xml:space="preserve">4.7 Orquestación de notificaciones con alternativas automáticas</w:t>
      </w:r>
    </w:p>
    <w:p>
      <w:pPr>
        <w:pStyle w:val="FirstParagraph"/>
      </w:pPr>
      <w:r>
        <w:t xml:space="preserve">La integración con el motor de notificaciones se realiza mediante un componente interno denominado NotificationDispatcher, que desacopla al código de negocio del mecanismo concreto de entrega. Este componente opera con un motor principal configurable, por defecto n8n, y una cadena ordenada de alternativas de respaldo que se activan automáticamente ante indisponibilidad del principal. La disponibilidad de n8n se consulta mediante un healthcheck activo con caché de diez segundos para evitar sobrecarga.</w:t>
      </w:r>
    </w:p>
    <w:p>
      <w:pPr>
        <w:pStyle w:val="BodyText"/>
      </w:pPr>
      <w:r>
        <w:t xml:space="preserve">La Figura 8 presenta el diagrama de decisión del componente, incluyendo el camino principal, la cascada de alternativas y la persistencia final del fallo mediante registros de alerts.</w:t>
      </w:r>
    </w:p>
    <w:p>
      <w:pPr>
        <w:pStyle w:val="BodyText"/>
      </w:pPr>
      <w:r>
        <w:drawing>
          <wp:inline>
            <wp:extent cx="5760000" cy="4003200"/>
            <wp:effectExtent b="0" l="0" r="0" t="0"/>
            <wp:docPr descr="" title="" id="88" name="Picture"/>
            <a:graphic>
              <a:graphicData uri="http://schemas.openxmlformats.org/drawingml/2006/picture">
                <pic:pic>
                  <pic:nvPicPr>
                    <pic:cNvPr descr="./media/image3.png" id="89" name="Picture"/>
                    <pic:cNvPicPr>
                      <a:picLocks noChangeArrowheads="1" noChangeAspect="1"/>
                    </pic:cNvPicPr>
                  </pic:nvPicPr>
                  <pic:blipFill>
                    <a:blip r:embed="rId87"/>
                    <a:stretch>
                      <a:fillRect/>
                    </a:stretch>
                  </pic:blipFill>
                  <pic:spPr bwMode="auto">
                    <a:xfrm>
                      <a:off x="0" y="0"/>
                      <a:ext cx="5760000" cy="4003200"/>
                    </a:xfrm>
                    <a:prstGeom prst="rect">
                      <a:avLst/>
                    </a:prstGeom>
                    <a:noFill/>
                    <a:ln w="9525">
                      <a:noFill/>
                      <a:headEnd/>
                      <a:tailEnd/>
                    </a:ln>
                  </pic:spPr>
                </pic:pic>
              </a:graphicData>
            </a:graphic>
          </wp:inline>
        </w:drawing>
      </w:r>
    </w:p>
    <w:p>
      <w:pPr>
        <w:pStyle w:val="BodyText"/>
        <w:keepNext/>
      </w:pPr>
      <w:r>
        <w:rPr>
          <w:bCs/>
          <w:b/>
          <w:iCs/>
          <w:i/>
        </w:rPr>
        <w:t xml:space="preserve">Figura 8.</w:t>
      </w:r>
      <w:r>
        <w:rPr>
          <w:iCs/>
          <w:i/>
        </w:rPr>
        <w:t xml:space="preserve"> NotificationDispatcher: cascada de alternativas automáticas</w:t>
      </w:r>
    </w:p>
    <w:p>
      <w:pPr>
        <w:pStyle w:val="BodyText"/>
      </w:pPr>
      <w:r>
        <w:rPr>
          <w:bCs/>
          <w:b/>
          <w:iCs/>
          <w:i/>
        </w:rPr>
        <w:t xml:space="preserve">Nota. La figura corregida representa las notificaciones fallidas mediante registros de alerts con marca de fallo y sin marca de entrega; no existe una tabla independiente para ese propósito. La figura se amplió al ancho completo de la caja de texto; al no existir fuente editable, su tipografía interna no se regeneró.</w:t>
      </w:r>
    </w:p>
    <w:p>
      <w:pPr>
        <w:pStyle w:val="BodyText"/>
      </w:pPr>
      <w:r>
        <w:t xml:space="preserve">El flujo operativo es el siguiente. Cuando un evento con severidad crítica o alta requiere notificación, el dispatcher primero verifica la salud del motor principal. Si n8n responde saludable, el dispatcher envía el webhook HTTP con payload JSON hacia el endpoint configurado de n8n, que ejecuta el flujo de trabajo y reencamina la notificación hacia los canales configurados por el administrador. Si n8n no responde saludable, o si el envío al endpoint falla, el dispatcher recorre la cadena de alternativas en orden preestablecido. La primera alternativa típica es el envío directo por SMTP mediante la biblioteca aiosmtplib, con las credenciales de un servidor de correo saliente configuradas en variables de entorno. La segunda alternativa es el envío directo de webhook hacia una plataforma de mensajería corporativa con la URL configurada también en entorno. La última alternativa es el logging estructurado con nivel crítico, como último esfuerzo antes de perder la alerta.</w:t>
      </w:r>
    </w:p>
    <w:p>
      <w:pPr>
        <w:pStyle w:val="BodyText"/>
      </w:pPr>
      <w:r>
        <w:t xml:space="preserve">La cola de mensajes fallidos se representa mediante registros de alerts. Según el cierre técnico, la revisión durable conserva notification_id, attempt_count y next_retry_at, recupera los registros pendientes al reiniciar y contempla un intento inicial más tres reintentos antes de la cascada alternativa. La evaluación controlada acreditada utilizó retardos nulos; la configuración nominal conserva las esperas de 5, 30 y 120 segundos.</w:t>
      </w:r>
    </w:p>
    <w:p>
      <w:pPr>
        <w:pStyle w:val="BodyText"/>
      </w:pPr>
      <w:r>
        <w:t xml:space="preserve">La matriz de trazabilidad mantiene parcial la historia US-29. No acredita todas las operaciones de descarte, reintento masivo y auditoría previstas. También registra que el banner aparece ante una alerta fallida, sin demostrar el umbral original de tres reintentos. Por tanto, esas prestaciones no se presentan como cumplidas integralmente.</w:t>
      </w:r>
    </w:p>
    <w:p>
      <w:pPr>
        <w:pStyle w:val="BodyText"/>
      </w:pPr>
      <w:r>
        <w:t>Los flujos exportables permiten configurar notificación por correo electrónico, publicación en una plataforma de mensajería y creación de incidencias. El backend remite al orquestador un payload canónico de alerta que incluye identificadores, ruta, severidad, estado, acción, contexto del proceso y marcas temporales, pero no incluye diff_text ni los hashes del archivo. En consecuencia, la cascada n8n–SMTP–webhook no transmite actualmente el parche textual. La ruta y el contexto del proceso continúan siendo metadatos potencialmente sensibles y requieren reglas explícitas de destinatarios, transporte y retención. La evidencia disponible corresponde a un receptor webhook controlado y no acredita entrega SMTP real ni proveedores comerciales.</w:t>
      </w:r>
    </w:p>
    <w:p>
      <w:pPr>
        <w:pStyle w:val="BodyText"/>
      </w:pPr>
      <w:r>
        <w:t xml:space="preserve">Los flujos del orquestador no se activaron en la batería histórica de notificaciones. El informe técnico de cierre registra, posteriormente, dos unidades de evaluación controlada. La primera recorre backend, n8n 2.17.8 y un receptor de laboratorio con persistencia: informa respuesta 202 tras recepción durable, error 502 cuando falla el receptor y recuperación del servicio. La segunda incorpora persistencia del estado de reintento en alerts y reporta recuperación tras reinicio, cuatro intentos n8n fallidos seguidos por entrega a un webhook controlado, y persistencia de un fallo total sin declarar éxito.</w:t>
      </w:r>
    </w:p>
    <w:p>
      <w:pPr>
        <w:pStyle w:val="BodyText"/>
      </w:pPr>
      <w:r>
        <w:t xml:space="preserve">Estas evaluaciones se identifican mediante los commits f0a2907, e2519eb y 3bec584. Sus evidencias se referencian en n8n/e2e/evidence/20260909-run.json y n8n/e2e/evidence/20260910-durable-fallback.json. Corresponden a un único backend y un receptor controlado, no a SMTP real ni a proveedores comerciales. Los retardos se redujeron a cero durante el ensayo; por ello no validan el desempeño con la política nominal de 5, 30 y 120 segundos. Tampoco constituyen una repetición de la batería histórica de carga. La garantía de entrega es al menos una vez, con deduplicación por notification_id en el receptor.</w:t>
      </w:r>
    </w:p>
    <w:p>
      <w:pPr>
        <w:pStyle w:val="BodyText"/>
        <w:keepNext/>
      </w:pPr>
      <w:r>
        <w:rPr>
          <w:bCs/>
          <w:b/>
          <w:iCs/>
          <w:i/>
        </w:rPr>
        <w:t xml:space="preserve">Tabla 9.</w:t>
      </w:r>
      <w:r>
        <w:rPr>
          <w:iCs/>
          <w:i/>
        </w:rPr>
        <w:t xml:space="preserve"> Orden de precedencia para entrega de notificaciones</w:t>
      </w:r>
    </w:p>
    <w:tbl>
      <w:tblPr>
        <w:tblStyle w:val="Table"/>
        <w:tblW w:type="pct" w:w="4930"/>
        <w:jc w:val="start"/>
        <w:tblLook w:firstRow="1" w:lastRow="0" w:firstColumn="0" w:lastColumn="0" w:noHBand="0" w:noVBand="0" w:val="0020"/>
      </w:tblPr>
      <w:tblGrid>
        <w:gridCol w:w="1171"/>
        <w:gridCol w:w="3736"/>
        <w:gridCol w:w="2900"/>
      </w:tblGrid>
      <w:tr>
        <w:trPr>
          <w:tblHeader w:val="true"/>
          <w:cantSplit/>
        </w:trPr>
        <w:tc>
          <w:tcPr/>
          <w:p>
            <w:pPr>
              <w:pStyle w:val="Compact"/>
              <w:jc w:val="left"/>
            </w:pPr>
            <w:r>
              <w:rPr>
                <w:bCs/>
                <w:b/>
              </w:rPr>
              <w:t xml:space="preserve">Prioridad</w:t>
            </w:r>
          </w:p>
        </w:tc>
        <w:tc>
          <w:tcPr/>
          <w:p>
            <w:pPr>
              <w:pStyle w:val="Compact"/>
              <w:jc w:val="left"/>
            </w:pPr>
            <w:r>
              <w:rPr>
                <w:bCs/>
                <w:b/>
              </w:rPr>
              <w:t xml:space="preserve">Mecanismo</w:t>
            </w:r>
          </w:p>
        </w:tc>
        <w:tc>
          <w:tcPr/>
          <w:p>
            <w:pPr>
              <w:pStyle w:val="Compact"/>
              <w:jc w:val="left"/>
            </w:pPr>
            <w:r>
              <w:rPr>
                <w:bCs/>
                <w:b/>
              </w:rPr>
              <w:t xml:space="preserve">Activación</w:t>
            </w:r>
          </w:p>
        </w:tc>
      </w:tr>
      <w:tr>
        <w:trPr>
          <w:cantSplit/>
        </w:trPr>
        <w:tc>
          <w:tcPr/>
          <w:p>
            <w:pPr>
              <w:pStyle w:val="Compact"/>
              <w:jc w:val="left"/>
            </w:pPr>
            <w:r>
              <w:t xml:space="preserve">Principal</w:t>
            </w:r>
          </w:p>
        </w:tc>
        <w:tc>
          <w:tcPr/>
          <w:p>
            <w:pPr>
              <w:pStyle w:val="Compact"/>
              <w:jc w:val="left"/>
            </w:pPr>
            <w:r>
              <w:t xml:space="preserve">Webhook HTTP hacia n8n</w:t>
            </w:r>
          </w:p>
        </w:tc>
        <w:tc>
          <w:tcPr/>
          <w:p>
            <w:pPr>
              <w:pStyle w:val="Compact"/>
              <w:jc w:val="left"/>
            </w:pPr>
            <w:r>
              <w:t xml:space="preserve">n8n saludable según healthcheck de 10 s.</w:t>
            </w:r>
          </w:p>
        </w:tc>
      </w:tr>
      <w:tr>
        <w:trPr>
          <w:cantSplit/>
        </w:trPr>
        <w:tc>
          <w:tcPr/>
          <w:p>
            <w:pPr>
              <w:pStyle w:val="Compact"/>
              <w:jc w:val="left"/>
            </w:pPr>
            <w:r>
              <w:t xml:space="preserve">Alternativa 1</w:t>
            </w:r>
          </w:p>
        </w:tc>
        <w:tc>
          <w:tcPr/>
          <w:p>
            <w:pPr>
              <w:pStyle w:val="Compact"/>
              <w:jc w:val="left"/>
            </w:pPr>
            <w:r>
              <w:t xml:space="preserve">SMTP directo</w:t>
            </w:r>
          </w:p>
        </w:tc>
        <w:tc>
          <w:tcPr/>
          <w:p>
            <w:pPr>
              <w:pStyle w:val="Compact"/>
              <w:jc w:val="left"/>
            </w:pPr>
            <w:r>
              <w:t xml:space="preserve">n8n indisponible o envío fallido tras reintentos.</w:t>
            </w:r>
          </w:p>
        </w:tc>
      </w:tr>
      <w:tr>
        <w:trPr>
          <w:cantSplit/>
        </w:trPr>
        <w:tc>
          <w:tcPr/>
          <w:p>
            <w:pPr>
              <w:pStyle w:val="Compact"/>
              <w:jc w:val="left"/>
            </w:pPr>
            <w:r>
              <w:t xml:space="preserve">Alternativa 2</w:t>
            </w:r>
          </w:p>
        </w:tc>
        <w:tc>
          <w:tcPr/>
          <w:p>
            <w:pPr>
              <w:pStyle w:val="Compact"/>
              <w:jc w:val="left"/>
            </w:pPr>
            <w:r>
              <w:t xml:space="preserve">Webhook directo a plataforma de mensajería</w:t>
            </w:r>
          </w:p>
        </w:tc>
        <w:tc>
          <w:tcPr/>
          <w:p>
            <w:pPr>
              <w:pStyle w:val="Compact"/>
              <w:jc w:val="left"/>
            </w:pPr>
            <w:r>
              <w:t xml:space="preserve">Alternativa 1 no configurada o fallida.</w:t>
            </w:r>
          </w:p>
        </w:tc>
      </w:tr>
      <w:tr>
        <w:trPr>
          <w:cantSplit/>
        </w:trPr>
        <w:tc>
          <w:tcPr/>
          <w:p>
            <w:pPr>
              <w:pStyle w:val="Compact"/>
              <w:jc w:val="left"/>
            </w:pPr>
            <w:r>
              <w:t xml:space="preserve">Alternativa 3</w:t>
            </w:r>
          </w:p>
        </w:tc>
        <w:tc>
          <w:tcPr/>
          <w:p>
            <w:pPr>
              <w:pStyle w:val="Compact"/>
              <w:jc w:val="left"/>
            </w:pPr>
            <w:r>
              <w:t xml:space="preserve">Log estructurado con nivel crítico</w:t>
            </w:r>
          </w:p>
        </w:tc>
        <w:tc>
          <w:tcPr/>
          <w:p>
            <w:pPr>
              <w:pStyle w:val="Compact"/>
              <w:jc w:val="left"/>
            </w:pPr>
            <w:r>
              <w:t xml:space="preserve">Último esfuerzo previo a persistencia en DLQ.</w:t>
            </w:r>
          </w:p>
        </w:tc>
      </w:tr>
      <w:tr>
        <w:trPr>
          <w:cantSplit/>
        </w:trPr>
        <w:tc>
          <w:tcPr/>
          <w:p>
            <w:pPr>
              <w:pStyle w:val="Compact"/>
              <w:jc w:val="left"/>
            </w:pPr>
            <w:r>
              <w:t xml:space="preserve">Persistencia final</w:t>
            </w:r>
          </w:p>
        </w:tc>
        <w:tc>
          <w:tcPr/>
          <w:p>
            <w:pPr>
              <w:pStyle w:val="Compact"/>
              <w:jc w:val="left"/>
            </w:pPr>
            <w:r>
              <w:t xml:space="preserve">Marca de fallo sobre la tabla alerts (cola de mensajes fallidos)</w:t>
            </w:r>
          </w:p>
        </w:tc>
        <w:tc>
          <w:tcPr/>
          <w:p>
            <w:pPr>
              <w:pStyle w:val="Compact"/>
              <w:jc w:val="left"/>
            </w:pPr>
            <w:r>
              <w:t xml:space="preserve">Todas las alternativas anteriores fallaron.</w:t>
            </w:r>
          </w:p>
        </w:tc>
      </w:tr>
    </w:tbl>
    <w:bookmarkEnd w:id="90"/>
    <w:bookmarkStart w:id="91" w:name="seguridad-criptográfica-del-sistema"/>
    <w:p>
      <w:pPr>
        <w:pStyle w:val="Heading2"/>
      </w:pPr>
      <w:r>
        <w:rPr>
          <w:bCs/>
          <w:b/>
        </w:rPr>
        <w:t xml:space="preserve">4.8 Seguridad criptográfica del sistema</w:t>
      </w:r>
    </w:p>
    <w:p>
      <w:pPr>
        <w:pStyle w:val="FirstParagraph"/>
      </w:pPr>
      <w:r>
        <w:t xml:space="preserve">La arquitectura criptográfica del sistema se articula en cinco capas complementarias, cada una con propósito específico y composición explícita con las demás. La primera capa es la autenticación mutua TLS del agente contra el backend, con autoridad certificadora propia gestionada por el propio backend. El flujo de bootstrap opera de la siguiente manera. El administrador pre-registra desde la interfaz administrativa un identificador de agente y un secreto de bootstrap de treinta y dos bytes aleatorios, que se almacena hasheado en la base de datos. El agente, al arrancar por primera vez, genera su par de claves y envía al endpoint de bootstrap una solicitud de firma de certificado firmada con el secreto compartido mediante HMAC, junto con su identificador. El backend verifica el HMAC, firma el CSR, emite un certificado válido por noventa días y lo retorna. El agente persiste el certificado en su directorio local. La rotación se inicia quince días antes de la expiración mediante una renovación realizada sobre la sesión TLS mutuo existente. El cierre técnico reporta una evaluación local del listener mTLS con TLS 1.3: acepta un certificado confiable y rechaza conexiones sin certificado, con una autoridad no confiable o con certificado vencido. La identidad y la revocación se comprueban al autorizar la renovación; no se acredita una comprobación CRL u OCSP durante cada handshake. La evidencia del canal agente-backend no acredita cifrado del transporte Valkey, que permaneció en claro en las corridas aquí identificadas.</w:t>
      </w:r>
    </w:p>
    <w:p>
      <w:pPr>
        <w:pStyle w:val="BodyText"/>
      </w:pPr>
      <w:r>
        <w:t xml:space="preserve">La segunda capa es la firma HMAC-SHA256 de comandos emitidos por el backend hacia el agente. Cada comando publicado en el stream commands incluye un campo signature que corresponde al HMAC computado sobre una representación JSON canónica del payload, empleando un secreto compartido específico para cada agente que se genera y distribuye durante el bootstrap. El agente rechaza cualquier comando con firma inválida. Esta capa materializa una defensa en profundidad sobre la anterior: incluso si un atacante comprometiera el motor Valkey sin comprometer el certificado mTLS del agente, no podría inyectar comandos válidos que el agente ejecutara.</w:t>
      </w:r>
    </w:p>
    <w:p>
      <w:pPr>
        <w:pStyle w:val="BodyText"/>
      </w:pPr>
      <w:r>
        <w:t xml:space="preserve">La tercera capa es la gestión de tokens JWT para los administradores humanos. El access token tiene expiración de quince minutos y el refresh token de siete días, con rotación en cada uso: el refresh anterior se invalida al emitir uno nuevo. Los identificadores jti de tokens revocados se mantienen en una lista negra en Valkey con tiempo de vida igual al tiempo restante de validez del token; cuando el token expira naturalmente, la entrada en la lista negra se borra automáticamente por el propio TTL, evitando crecimiento indefinido. La firma emplea un esquema multi-clave mediante variables de entorno: se firma con la clave actual y se verifica intentando primero la actual y luego la previa; al rotar, la actual se promueve a previa y se genera una nueva actual. Este esquema permite rotación de clave sin caída del servicio y revocación inmediata de refresh tokens comprometidos.</w:t>
      </w:r>
    </w:p>
    <w:p>
      <w:pPr>
        <w:pStyle w:val="BodyText"/>
      </w:pPr>
      <w:r>
        <w:t xml:space="preserve">La cuarta capa es el hashing de contraseñas de operadores con Argon2id. La configuración se instancia como instancia única en el módulo core de seguridad, con parámetros configurables mediante variables de entorno. Los valores por defecto recomendados son time_cost de tres iteraciones, memory_cost de 65.536 kibibytes equivalentes a sesenta y cuatro mebibytes y parallelism de cuatro hilos, calibrados para hardware de servidor estándar con al menos cuatro núcleos y ocho gibibytes de memoria disponible. Al arrancar, el backend ejecuta un benchmark interno con los parámetros activos y emite un warning si el tiempo observado resulta menor a doscientos cincuenta milisegundos, indicando parámetros demasiado débiles, o mayor a dos segundos, indicando parámetros excesivos que penalizarán la experiencia de login. El rango objetivo es de quinientos milisegundos a un segundo, conforme a las recomendaciones actuales para funciones de hashing de contraseñas.</w:t>
      </w:r>
    </w:p>
    <w:p>
      <w:pPr>
        <w:pStyle w:val="BodyText"/>
      </w:pPr>
      <w:r>
        <w:t xml:space="preserve">La quinta capa es el cifrado autenticado de la baseline en reposo, descripto en los apartados 2.10 y 4.3, cuyo alcance de mitigación se delimita en aquel apartado.</w:t>
      </w:r>
    </w:p>
    <w:p>
      <w:pPr>
        <w:pStyle w:val="BodyText"/>
      </w:pPr>
      <w:r>
        <w:t xml:space="preserve">La adopción de un esquema de custodia externa de la clave se evaluó y se descartó para el alcance actual, y la decisión merece fundamentarse. El sellado contra un módulo de plataforma confiable condicionaría el despliegue a la disponibilidad de ese hardware en cada anfitrión monitoreado, exigencia incompatible con el objetivo de accesibilidad que el apartado 1.3 establece para organizaciones con infraestructura heterogénea y recursos acotados. Un servicio externo de custodia agregaría un componente de infraestructura adicional al despliegue mínimo. La entrega del secreto por la sesión de autenticación mutua al arrancar, sin persistencia en disco, es la alternativa más atractiva de las tres, y la que se recomienda evaluar en primer término. Sin embargo, introduce una dependencia de arranque sobre la disponibilidad del servidor central que colisiona directamente con la resiliencia operativa autónoma que el apartado 5.6 verifica. Un agente que no puede iniciar sin backend deja de sostener el monitoreo durante la indisponibilidad del plano de control, que es precisamente la propiedad que el diseño reivindica. El compromiso entre confidencialidad de la clave y autonomía del agente no admite resolución trivial, y su tratamiento se formula en el apartado 8.9.</w:t>
      </w:r>
    </w:p>
    <w:p>
      <w:pPr>
        <w:pStyle w:val="BodyText"/>
        <w:keepNext/>
      </w:pPr>
      <w:r>
        <w:rPr>
          <w:bCs/>
          <w:b/>
          <w:iCs/>
          <w:i/>
        </w:rPr>
        <w:t xml:space="preserve">Tabla 10.</w:t>
      </w:r>
      <w:r>
        <w:rPr>
          <w:iCs/>
          <w:i/>
        </w:rPr>
        <w:t xml:space="preserve"> Distribución de controles criptográficos</w:t>
      </w:r>
    </w:p>
    <w:tbl>
      <w:tblPr>
        <w:tblStyle w:val="Table"/>
        <w:tblW w:type="pct" w:w="4942"/>
        <w:jc w:val="start"/>
        <w:tblLook w:firstRow="1" w:lastRow="0" w:firstColumn="0" w:lastColumn="0" w:noHBand="0" w:noVBand="0" w:val="0020"/>
      </w:tblPr>
      <w:tblGrid>
        <w:gridCol w:w="1968"/>
        <w:gridCol w:w="3982"/>
        <w:gridCol w:w="1876"/>
      </w:tblGrid>
      <w:tr>
        <w:trPr>
          <w:tblHeader w:val="true"/>
          <w:cantSplit/>
        </w:trPr>
        <w:tc>
          <w:tcPr/>
          <w:p>
            <w:pPr>
              <w:pStyle w:val="Compact"/>
              <w:jc w:val="left"/>
            </w:pPr>
            <w:r>
              <w:rPr>
                <w:bCs/>
                <w:b/>
              </w:rPr>
              <w:t xml:space="preserve">Propósito</w:t>
            </w:r>
          </w:p>
        </w:tc>
        <w:tc>
          <w:tcPr/>
          <w:p>
            <w:pPr>
              <w:pStyle w:val="Compact"/>
              <w:jc w:val="left"/>
            </w:pPr>
            <w:r>
              <w:rPr>
                <w:bCs/>
                <w:b/>
              </w:rPr>
              <w:t xml:space="preserve">Primitiva</w:t>
            </w:r>
          </w:p>
        </w:tc>
        <w:tc>
          <w:tcPr/>
          <w:p>
            <w:pPr>
              <w:pStyle w:val="Compact"/>
              <w:jc w:val="left"/>
            </w:pPr>
            <w:r>
              <w:rPr>
                <w:bCs/>
                <w:b/>
              </w:rPr>
              <w:t xml:space="preserve">Ubicación</w:t>
            </w:r>
          </w:p>
        </w:tc>
      </w:tr>
      <w:tr>
        <w:trPr>
          <w:cantSplit/>
        </w:trPr>
        <w:tc>
          <w:tcPr/>
          <w:p>
            <w:pPr>
              <w:pStyle w:val="Compact"/>
              <w:jc w:val="left"/>
            </w:pPr>
            <w:r>
              <w:t xml:space="preserve">Autenticación del canal agente-backend</w:t>
            </w:r>
          </w:p>
        </w:tc>
        <w:tc>
          <w:tcPr/>
          <w:p>
            <w:pPr>
              <w:pStyle w:val="Compact"/>
              <w:jc w:val="left"/>
            </w:pPr>
            <w:r>
              <w:t xml:space="preserve">mTLS sobre TLS 1.3 con CA propia</w:t>
            </w:r>
          </w:p>
        </w:tc>
        <w:tc>
          <w:tcPr/>
          <w:p>
            <w:pPr>
              <w:pStyle w:val="Compact"/>
              <w:jc w:val="left"/>
            </w:pPr>
            <w:r>
              <w:t xml:space="preserve">Handshake de cada conexión.</w:t>
            </w:r>
          </w:p>
        </w:tc>
      </w:tr>
      <w:tr>
        <w:trPr>
          <w:cantSplit/>
        </w:trPr>
        <w:tc>
          <w:tcPr/>
          <w:p>
            <w:pPr>
              <w:pStyle w:val="Compact"/>
              <w:jc w:val="left"/>
            </w:pPr>
            <w:r>
              <w:t xml:space="preserve">Autenticación del mensaje backend-agente</w:t>
            </w:r>
          </w:p>
        </w:tc>
        <w:tc>
          <w:tcPr/>
          <w:p>
            <w:pPr>
              <w:pStyle w:val="Compact"/>
              <w:jc w:val="left"/>
            </w:pPr>
            <w:r>
              <w:t xml:space="preserve">HMAC-SHA256 con secreto compartido</w:t>
            </w:r>
          </w:p>
        </w:tc>
        <w:tc>
          <w:tcPr/>
          <w:p>
            <w:pPr>
              <w:pStyle w:val="Compact"/>
              <w:jc w:val="left"/>
            </w:pPr>
            <w:r>
              <w:t xml:space="preserve">Campo signature de cada comando.</w:t>
            </w:r>
          </w:p>
        </w:tc>
      </w:tr>
      <w:tr>
        <w:trPr>
          <w:cantSplit/>
        </w:trPr>
        <w:tc>
          <w:tcPr/>
          <w:p>
            <w:pPr>
              <w:pStyle w:val="Compact"/>
              <w:jc w:val="left"/>
            </w:pPr>
            <w:r>
              <w:t xml:space="preserve">Autenticación del usuario administrativo</w:t>
            </w:r>
          </w:p>
        </w:tc>
        <w:tc>
          <w:tcPr/>
          <w:p>
            <w:pPr>
              <w:pStyle w:val="Compact"/>
              <w:jc w:val="left"/>
            </w:pPr>
            <w:r>
              <w:t xml:space="preserve">JWT multi-clave con lista negra jti</w:t>
            </w:r>
          </w:p>
        </w:tc>
        <w:tc>
          <w:tcPr/>
          <w:p>
            <w:pPr>
              <w:pStyle w:val="Compact"/>
              <w:jc w:val="left"/>
            </w:pPr>
            <w:r>
              <w:t xml:space="preserve">Cabecera Authorization Bearer.</w:t>
            </w:r>
          </w:p>
        </w:tc>
      </w:tr>
      <w:tr>
        <w:trPr>
          <w:cantSplit/>
        </w:trPr>
        <w:tc>
          <w:tcPr/>
          <w:p>
            <w:pPr>
              <w:pStyle w:val="Compact"/>
              <w:jc w:val="left"/>
            </w:pPr>
            <w:r>
              <w:t xml:space="preserve">Hashing de contraseñas de operadores</w:t>
            </w:r>
          </w:p>
        </w:tc>
        <w:tc>
          <w:tcPr/>
          <w:p>
            <w:pPr>
              <w:pStyle w:val="Compact"/>
              <w:jc w:val="left"/>
            </w:pPr>
            <w:r>
              <w:t xml:space="preserve">Argon2id parametrizable con benchmark</w:t>
            </w:r>
          </w:p>
        </w:tc>
        <w:tc>
          <w:tcPr/>
          <w:p>
            <w:pPr>
              <w:pStyle w:val="Compact"/>
              <w:jc w:val="left"/>
            </w:pPr>
            <w:r>
              <w:t xml:space="preserve">Columna users.password_hash.</w:t>
            </w:r>
          </w:p>
        </w:tc>
      </w:tr>
      <w:tr>
        <w:trPr>
          <w:cantSplit/>
        </w:trPr>
        <w:tc>
          <w:tcPr/>
          <w:p>
            <w:pPr>
              <w:pStyle w:val="Compact"/>
              <w:jc w:val="left"/>
            </w:pPr>
            <w:r>
              <w:t xml:space="preserve">Cifrado de baseline en reposo</w:t>
            </w:r>
          </w:p>
        </w:tc>
        <w:tc>
          <w:tcPr/>
          <w:p>
            <w:pPr>
              <w:pStyle w:val="Compact"/>
              <w:jc w:val="left"/>
            </w:pPr>
            <w:r>
              <w:t xml:space="preserve">AES-256-GCM con clave HKDF-SHA256</w:t>
            </w:r>
          </w:p>
        </w:tc>
        <w:tc>
          <w:tcPr/>
          <w:p>
            <w:pPr>
              <w:pStyle w:val="Compact"/>
              <w:jc w:val="left"/>
            </w:pPr>
            <w:r>
              <w:t xml:space="preserve">/var/lib/fim-agent/baseline/.</w:t>
            </w:r>
          </w:p>
        </w:tc>
      </w:tr>
      <w:tr>
        <w:trPr>
          <w:cantSplit/>
        </w:trPr>
        <w:tc>
          <w:tcPr/>
          <w:p>
            <w:pPr>
              <w:pStyle w:val="Compact"/>
              <w:jc w:val="left"/>
            </w:pPr>
            <w:r>
              <w:t xml:space="preserve">Autenticidad e integridad de eventos</w:t>
            </w:r>
          </w:p>
        </w:tc>
        <w:tc>
          <w:tcPr/>
          <w:p>
            <w:pPr>
              <w:pStyle w:val="Compact"/>
              <w:jc w:val="left"/>
            </w:pPr>
            <w:r>
              <w:t xml:space="preserve">TLS 1.3 (canal) + HMAC-SHA256 del agente sobre el sobre del evento (mensaje)</w:t>
            </w:r>
          </w:p>
        </w:tc>
        <w:tc>
          <w:tcPr/>
          <w:p>
            <w:pPr>
              <w:pStyle w:val="Compact"/>
              <w:jc w:val="left"/>
            </w:pPr>
            <w:r>
              <w:t xml:space="preserve">Canal agente-backend y sobre del evento; no acredita TLS en el transporte Valkey.</w:t>
            </w:r>
          </w:p>
        </w:tc>
      </w:tr>
      <w:tr>
        <w:trPr>
          <w:cantSplit/>
        </w:trPr>
        <w:tc>
          <w:tcPr/>
          <w:p>
            <w:pPr>
              <w:pStyle w:val="Compact"/>
              <w:jc w:val="left"/>
            </w:pPr>
            <w:r>
              <w:t xml:space="preserve">Confirmación de entrega</w:t>
            </w:r>
          </w:p>
        </w:tc>
        <w:tc>
          <w:tcPr/>
          <w:p>
            <w:pPr>
              <w:pStyle w:val="Compact"/>
              <w:jc w:val="left"/>
            </w:pPr>
            <w:r>
              <w:t xml:space="preserve">XACK del consumidor + event_ack firmado (acreditan recepción y persistencia, no integridad por sí solos)</w:t>
            </w:r>
          </w:p>
        </w:tc>
        <w:tc>
          <w:tcPr/>
          <w:p>
            <w:pPr>
              <w:pStyle w:val="Compact"/>
              <w:jc w:val="left"/>
            </w:pPr>
            <w:r>
              <w:t xml:space="preserve">Streams Valkey.</w:t>
            </w:r>
          </w:p>
        </w:tc>
      </w:tr>
      <w:tr>
        <w:trPr>
          <w:cantSplit/>
        </w:trPr>
        <w:tc>
          <w:tcPr/>
          <w:p>
            <w:pPr>
              <w:pStyle w:val="Compact"/>
              <w:jc w:val="left"/>
            </w:pPr>
            <w:r>
              <w:t xml:space="preserve">Detección de replay</w:t>
            </w:r>
          </w:p>
        </w:tc>
        <w:tc>
          <w:tcPr/>
          <w:p>
            <w:pPr>
              <w:pStyle w:val="Compact"/>
              <w:jc w:val="left"/>
            </w:pPr>
            <w:r>
              <w:t xml:space="preserve">Firma HMAC sobre marca de transmisión, ventana de tránsito y dedup por identificador</w:t>
            </w:r>
          </w:p>
        </w:tc>
        <w:tc>
          <w:tcPr/>
          <w:p>
            <w:pPr>
              <w:pStyle w:val="Compact"/>
              <w:jc w:val="left"/>
            </w:pPr>
            <w:r>
              <w:t xml:space="preserve">Campos sent_at, received_at y event_id.</w:t>
            </w:r>
          </w:p>
        </w:tc>
      </w:tr>
    </w:tbl>
    <w:bookmarkEnd w:id="91"/>
    <w:bookmarkStart w:id="92" w:name="X0e280480a4f88f4ea96755a423f093fff4d09b3"/>
    <w:p>
      <w:pPr>
        <w:pStyle w:val="Heading2"/>
      </w:pPr>
      <w:r>
        <w:rPr>
          <w:bCs/>
          <w:b/>
        </w:rPr>
        <w:t xml:space="preserve">4.9 Organización del código</w:t>
      </w:r>
      <w:r>
        <w:t xml:space="preserve"> y estrategia de verificación</w:t>
      </w:r>
    </w:p>
    <w:p>
      <w:pPr>
        <w:pStyle w:val="FirstParagraph"/>
      </w:pPr>
      <w:r>
        <w:t xml:space="preserve">El backend adopta la organización modular por dominio descripta en el apartado 2.13, con el propósito de que la lógica de negocio resulte localizable, reutilizable desde múltiples puntos de entrada y verificable de forma automatizada. Cada módulo de dominio agrupa el enrutador que expone las operaciones sobre HTTP, el servicio que implementa la lógica, y los modelos que definen las entidades persistidas. Los módulos que participan del flujo asíncrono incorporan, adicionalmente, el consumidor del stream correspondiente. Un módulo central transversal provee la configuración, la conexión a la base de datos, el acceso al motor de mensajería, las primitivas criptográficas, la infraestructura de clave pública, la limitación de tasa, el registro de auditoría y los middlewares de trazabilidad y de sanitización de logs.</w:t>
      </w:r>
    </w:p>
    <w:p>
      <w:pPr>
        <w:pStyle w:val="BodyText"/>
      </w:pPr>
      <w:r>
        <w:t xml:space="preserve">La reutilización de la lógica de negocio desde puntos de entrada distintos constituye un beneficio concreto de esta organización y no una propiedad meramente declarativa. La validación de transición de estado, por ejemplo, es invocada tanto por el consumidor del stream de eventos como por los manejadores HTTP de aprobación y rechazo, sobre la misma función. Una divergencia de comportamiento entre ambas vías queda excluida, por construcción, en cuanto a la lógica compartida; no en cuanto a la lógica propia de cada punto de entrada.</w:t>
      </w:r>
    </w:p>
    <w:p>
      <w:pPr>
        <w:pStyle w:val="BodyText"/>
      </w:pPr>
      <w:r>
        <w:t xml:space="preserve">La disciplina transaccional se apoya en el alcance por solicitud y en el orden explícito de operaciones. La sesión de base de datos se obtiene de un pool con verificación previa de conexión, disposición que evita el fallo silencioso cuando el motor recicló una conexión inactiva, y se confirma o revierte automáticamente al cerrar el gestor de contexto que la envuelve. Los casos de uso que modifican más de una entidad documentan en el propio código la secuencia exigida y su fundamento. El caso de aprobación de un evento, a modo de ilustración, ordena las nueve operaciones que lo componen. La verificación de precondiciones antecede a la actualización optimista, y el registro de auditoría se practica antes de la confirmación. La publicación del comando hacia el agente, por su parte, ocurre necesariamente con posterioridad a ella. Este último punto no es un detalle de estilo: publicar el comando antes de confirmar admitiría la secuencia en la cual el agente restaura un archivo por una aprobación que la base de datos terminó revirtiendo.</w:t>
      </w:r>
    </w:p>
    <w:p>
      <w:pPr>
        <w:pStyle w:val="BodyText"/>
      </w:pPr>
      <w:r>
        <w:t xml:space="preserve">La estrategia de verificación merece exposición detallada, por cuanto constituye una decisión metodológica deliberada antes que una consecuencia accidental del diseño. El sistema se verifica mediante pruebas de integración ejecutadas contra instancias reales de PostgreSQL y de Valkey, levantadas como contenedores efímeros cuya vida se acota a la sesión de pruebas y cuyo estado se reinicializa entre casos. La alternativa habitual —sustituir los servicios de respaldo por dobles de prueba en memoria y verificar la lógica de forma aislada— se descartó por una razón específica del dominio. Las propiedades que este sistema debe garantizar residen mayoritariamente en el comportamiento de esos servicios, y no en la lógica que los invoca. El bloqueo optimista es una propiedad de la sentencia de actualización condicional que el motor relacional ejecuta; la semántica de entrega al-menos-una-vez y el comportamiento de los grupos de consumidores son propiedades del motor de mensajería; la atomicidad de la secuencia de operaciones es una propiedad de la transacción. Un doble de prueba en memoria reproduce la interfaz de esos servicios pero no su semántica concurrente, de modo que una batería construida sobre dobles verificaría que el código llama correctamente a las funciones esperadas sin verificar que el sistema hace lo que debe hacer. Dado que la corrección de este sistema es, en lo esencial, corrección concurrente y transaccional, la verificación se practica sobre los servicios reales.</w:t>
      </w:r>
    </w:p>
    <w:p>
      <w:pPr>
        <w:pStyle w:val="BodyText"/>
      </w:pPr>
      <w:r>
        <w:t xml:space="preserve">El costo de la decisión es explícito: la batería del backend requiere un entorno con Docker disponible y su tiempo de ejecución se mide en minutos antes que en milisegundos. El beneficio es que las propiedades verificadas son las que el sistema efectivamente ofrece en producción. La batería del agente, en cambio, sí opera sin infraestructura: el enlace al subsistema fanotify se sustituye de forma controlada. Esto permite ejercitar el motor de decisión, la gestión de la cola local, la resolución de la cadena de eventos superados, el orden de procesamiento tras la reconexión y el protocolo de confirmación, en cualquier plataforma y sin privilegios de núcleo. Esta asimetría entre ambas baterías es coherente con la naturaleza de lo que cada componente debe garantizar.</w:t>
      </w:r>
    </w:p>
    <w:p>
      <w:pPr>
        <w:pStyle w:val="BodyText"/>
      </w:pPr>
      <w:r>
        <w:t xml:space="preserve">La ejecución histórica comprendió 494 pruebas del backend aprobadas y 418 del agente, de las cuales 417 fueron aprobadas y una omitida. En conjunto, se recolectaron 912 casos, con 911 aprobados y uno omitido. Estos recuentos describen esa ejecución y no la versión final del sistema.</w:t>
      </w:r>
    </w:p>
    <w:p>
      <w:pPr>
        <w:pStyle w:val="BodyText"/>
      </w:pPr>
      <w:r>
        <w:t xml:space="preserve">Una evaluación posterior del backend, identificada como Coverage Run 3, recolectó 572 casos: 570 aprobados, dos omitidos y ninguno fallido. El reporte de coverage.py registra 2.484 sentencias cubiertas sobre 2.780, equivalentes al 89,35 %, con 296 faltantes y tres excluidas; la cobertura de ramas estuvo deshabilitada. Las omisiones corresponden a pruebas optativas que requieren Valkey real. La instantánea se identifica mediante un manifiesto de fuentes y es anterior a las incorporaciones posteriores de US-09, mTLS y n8n; no es una ejecución consolidada de la versión final. Por tanto, el porcentaje no debe atribuirse a la versión final ni utilizarse para resolver retrospectivamente la discrepancia del reporte histórico.</w:t>
      </w:r>
    </w:p>
    <w:p>
      <w:pPr>
        <w:pStyle w:val="BodyText"/>
      </w:pPr>
      <w:r>
        <w:t>El primer intento consolidado, final-consolidated-20260911T214511Z/, queda registrado como histórico fallido y separado: sobre el commit temporal 6e81ccf95f8da644b74b41a499d3414a08248e06, el agente obtuvo 505 aprobadas, dos fallidas y una omitida, mientras el backend obtuvo 590 aprobadas y ocho fallidas. El frontend conservó 128 aprobadas, pero ese intento no aportó cobertura propia. Estos resultados no se mezclan con el candidato corregido.</w:t>
      </w:r>
    </w:p>
    <w:p>
      <w:pPr>
        <w:pStyle w:val="FirstParagraph"/>
      </w:pPr>
      <w:r>
        <w:t xml:space="preserve">El candidato corregido de la versión anterior se congeló en el commit temporal autocontenido 7df4935f769a2e393a5e6a6330df605c77592e52, árbol 95455f919ec602b6cddf1440341652d99b784bd3. El agente obtuvo 507 aprobadas, cero fallidas y una omitida, con cobertura de líneas de 78,93 % (2638/3342), excluidos sus tests. El backend obtuvo 599/599, con 90,69 % de líneas de backend/app (2737/3018). El frontend obtuvo 128/128 en 29 archivos; la comprobación de tipos y la construcción aprobaron, y su cobertura fue 57,97 % para líneas y sentencias (1995/3441), 55,55 % para funciones (105/189) y 76,00 % para ramas (396/521). No se definió un umbral para la cobertura frontend y los tres porcentajes no se promedian.</w:t>
      </w:r>
    </w:p>
    <w:p>
      <w:pPr>
        <w:pStyle w:val="FirstParagraph"/>
      </w:pPr>
      <w:r>
        <w:t xml:space="preserve">Las pruebas E2E dirigidas de US-02/20/31 y US-03/16/17/25 aprobaron en laboratorios locales; registraron respectivamente 17 y 9 ejecuciones entre casos individuales y repeticiones. No se suman a las suites unitarias ni constituyen una validación integral del backlog. La comprobación OpenSpec aprobó 44 especificaciones y 249 requisitos. El parseo de JUnit y cobertura, los controles de privacidad y la limpieza de recursos aprobaron. En dos intentos US-02/20/31, el control main_stack_unchanged fue false. Ese control compara el listado de contenedores del stack principal incluyendo el campo de estado de Docker, que contiene el tiempo de actividad. Los inventarios crudos de aquellos intentos no se conservaron, por lo que la diferencia exacta no puede reconstruirse y la advertencia no se atribuye como fallo del candidato. Una repetición posterior registró los inventarios crudos y obtuvo true (apartado 5.5 y Anexo F).</w:t>
      </w:r>
    </w:p>
    <w:p>
      <w:pPr>
        <w:pStyle w:val="FirstParagraph"/>
      </w:pPr>
      <w:r>
        <w:t xml:space="preserve">Validación consolidada V10. Tras integrar las implementaciones de backlog, privacidad y transporte, se congeló el candidato autocontenido 7a7ee50; su commit y su árbol completos figuran en el Anexo F. Un primer intento sobre el commit d35fb9c falló: el E2E combinado de US-25 recibió 422 por un patrón duplicado creado en la corrida individual. En ese intento, además, cuatro pruebas TLS se omitieron por un conflicto de puerto del arnés. Un segundo intento se abortó antes de las suites porque el árbol de trabajo contenía restos de laboratorio. Ambos se conservan como fallidos y no se mezclan con el candidato vigente.</w:t>
      </w:r>
    </w:p>
    <w:p>
      <w:pPr>
        <w:pStyle w:val="FirstParagraph"/>
      </w:pPr>
      <w:r>
        <w:t xml:space="preserve">El candidato 7a7ee50 sólo agrega a d35fb9c la corrección de la preparación de esa prueba E2E, que reutiliza la regla existente; el conflicto de puerto se corrigió en el arnés de validación. El agente obtuvo 540 aprobadas, cero fallidas y una omitida, con cobertura de líneas de 79,57 % (2726/3426), excluidos sus tests. El backend obtuvo 689/689 sin omisiones, con 91,34 % (2902/3177) de backend/app. El frontend obtuvo 197/197 en 34 archivos; la comprobación de tipos y la construcción aprobaron. Su cobertura fue 73,09 % (2836/3880) para líneas y sentencias, 67,52 % (158/234) para funciones y 80,85 % (587/726) para ramas. Las pruebas de scripts obtuvieron 19/19.</w:t>
      </w:r>
    </w:p>
    <w:p>
      <w:pPr>
        <w:pStyle w:val="FirstParagraph"/>
      </w:pPr>
      <w:r>
        <w:t xml:space="preserve">Los dos laboratorios E2E dirigidos terminaron con código 0 y el inventario del stack principal permaneció sin cambios. La comprobación OpenSpec aprobó 44 especificaciones y 249 requisitos. Las cuatro pruebas de integración TLS del backend se ejecutaron contra un contenedor Valkey 9.0.3 efímero del mismo anfitrión. Verificaron la conexión con certificado de cliente y el rechazo sin certificado, con autoridad desconocida y con nombre no coincidente. Esa verificación de componente no constituye validación del transporte Valkey con TLS en un despliegue ni entre dos anfitriones. Los porcentajes no se comparan con los del candidato anterior, porque el código medido cambió.</w:t>
      </w:r>
    </w:p>
    <w:bookmarkEnd w:id="92"/>
    <w:bookmarkStart w:id="93" w:name="Xd966c5257547c62a9099b40f4876fff36004674"/>
    <w:p>
      <w:pPr>
        <w:pStyle w:val="Heading2"/>
      </w:pPr>
      <w:r>
        <w:rPr>
          <w:bCs/>
          <w:b/>
        </w:rPr>
        <w:t xml:space="preserve">4.10 Contenedorización del servidor central y despliegue del agente</w:t>
      </w:r>
    </w:p>
    <w:p>
      <w:pPr>
        <w:pStyle w:val="FirstParagraph"/>
      </w:pPr>
      <w:r>
        <w:t xml:space="preserve">La contenedorización mediante Docker Compose aplica al servidor central. El archivo de composición define los servicios de base de datos, mensajería, backend, frontend y orquestador de notificaciones, cada uno con sus verificaciones de salud, políticas de reinicio, redes aisladas según ámbito funcional, y volúmenes persistentes donde corresponda. La creación de las bases y del usuario propietario se practica mediante scripts SQL que la imagen oficial de PostgreSQL ejecuta en su primer arranque; la evolución posterior del esquema se gobierna mediante migraciones numeradas y versionadas. El arranque de los servicios de aplicación se condiciona, mediante declaración de dependencias, a que los servicios de respaldo reporten estado saludable.</w:t>
      </w:r>
    </w:p>
    <w:p>
      <w:pPr>
        <w:pStyle w:val="BodyText"/>
      </w:pPr>
      <w:r>
        <w:t xml:space="preserve">Los agentes, en cambio, se despliegan como servicios nativos del sistema operativo en cada anfitrión monitoreado. Esta decisión responde a cuatro razones técnicas convergentes. La primera razón es la necesidad de visibilidad directa sobre el sistema de archivos del anfitrión: desde un contenedor, el agente vería únicamente el sistema de archivos del propio contenedor, que nadie modificaría. La segunda razón es la necesidad de la capacidad CAP_SYS_ADMIN del núcleo para operar fanotify, cuya concesión a un contenedor anula en la práctica el aislamiento que los contenedores pretenden proveer. La tercera razón es que el ciclo de vida del agente está acoplado al del anfitrión y no a un orquestador de contenedores: si el anfitrión reinicia, el agente debe reiniciarse con él, gestionado por systemd. La cuarta razón es que el monitoreo de binarios del sistema requiere ver los binarios reales del anfitrión, no los del contenedor. La instalación del agente se realiza mediante un script que despliega un entorno virtual Python en /opt/fim-agent, crea un usuario del sistema fim-agent con shell deshabilitada, configura los permisos restrictivos sobre el directorio de secretos, registra el unit file de systemd e inicia el servicio. Extractos representativos del unit file se incluyen en el Anexo E.</w:t>
      </w:r>
    </w:p>
    <w:p>
      <w:pPr>
        <w:pStyle w:val="BodyText"/>
      </w:pPr>
      <w:r>
        <w:t xml:space="preserve">Corresponde explicitar una precisión sobre el entorno experimental. El sistema provee, adicionalmente al despliegue nativo descripto, una imagen contenedorizada del agente destinada exclusivamente al laboratorio de evaluación y a la demostración funcional. Su existencia no contradice el argumento precedente, sino que lo confirma. Ese contenedor requiere la concesión explícita de las capacidades de núcleo CAP_SYS_ADMIN y CAP_DAC_READ_SEARCH, lo que anula en la práctica el aislamiento que la contenedorización pretende proveer. Además, monitorea el sistema de archivos del propio contenedor antes que el del anfitrión. Es una configuración adecuada para ejercitar el sistema integrado sobre un único equipo de laboratorio, y expresamente inadecuada para producción. La distinción se documenta aquí porque el entorno experimental descripto en el apartado 3.7 emplea esa configuración —junto con el cifrado de transporte deshabilitado y el orquestador de notificaciones inactivo—. La validez de las mediciones del Capítulo 5 depende, en efecto, de que el lector conozca la diferencia entre el objeto medido y el despliegue recomendado.</w:t>
      </w:r>
    </w:p>
    <w:bookmarkEnd w:id="93"/>
    <w:bookmarkStart w:id="94" w:name="operaciones-y-observabilidad"/>
    <w:p>
      <w:pPr>
        <w:pStyle w:val="Heading2"/>
      </w:pPr>
      <w:r>
        <w:rPr>
          <w:bCs/>
          <w:b/>
        </w:rPr>
        <w:t xml:space="preserve">4.11 Operaciones y observabilidad</w:t>
      </w:r>
    </w:p>
    <w:p>
      <w:pPr>
        <w:pStyle w:val="FirstParagraph"/>
      </w:pPr>
      <w:r>
        <w:t xml:space="preserve">Cinco decisiones operativas complementan el diseño funcional del sistema. La primera decisión es la limitación de tasa multicapa implementada en Valkey mediante contadores con TTL. El endpoint de login permite cinco intentos cada quince minutos por combinación usuario-IP, y la API autenticada permite cien solicitudes por minuto por usuario. El consumo del stream de eventos, a su vez, se limita a cien eventos por minuto por agente. La segunda decisión es el logging estructurado en formato JSON mediante structlog con un middleware de sanitización que filtra los campos sensibles —contraseñas, tokens de acceso, tokens de refresco, secretos de arranque, secreto maestro de baseline y firmas— antes de emitir. El contenido de las diferencias entre versiones de archivos está explícitamente prohibido en los logs; solo se registran los resúmenes anterior y nuevo junto con la diferencia de tamaño.</w:t>
      </w:r>
    </w:p>
    <w:p>
      <w:pPr>
        <w:pStyle w:val="BodyText"/>
      </w:pPr>
      <w:r>
        <w:t xml:space="preserve">La tercera decisión es la provisión de un endpoint de salud por componente que retorna el estado de PostgreSQL, Valkey, n8n y cada agente conocido, con tres valores posibles por componente: ok, degraded o down. El frontend consulta este endpoint cada diez segundos y, ante cualquier componente no ok, muestra un banner persistente en la cabecera. La cuarta decisión es el esquema de latido y estado de agente: el agente publica un latido cada diez segundos. El backend marca un agente como offline si no recibe latido por treinta segundos, y como dead tras cinco minutos sin latido. Esto último dispara, adicionalmente, un webhook n8n para alerta inmediata al equipo operativo.</w:t>
      </w:r>
    </w:p>
    <w:p>
      <w:pPr>
        <w:pStyle w:val="BodyText"/>
      </w:pPr>
      <w:r>
        <w:t xml:space="preserve">La quinta decisión es el registro en la tabla de auditoría de las acciones administrativas sensibles, invocado como efecto lateral de los servicios correspondientes: inicio y cierre de sesión, operaciones de alta, modificación y baja sobre reglas, aprobaciones y rechazos, nuevos escaneos, cambios de configuración y finalización ordenada de agentes. Esta decisión contribuye a las recomendaciones de trazabilidad de la Resolución 47/2018 y constituye el fundamento por el cual los eventos referenciados desde auditoría quedan exceptuados de la depuración: la constancia de una decisión administrativa perdería sentido si el hecho sobre el cual se decidió hubiera sido borrado.</w:t>
      </w:r>
    </w:p>
    <w:p>
      <w:pPr>
        <w:pStyle w:val="BodyText"/>
      </w:pPr>
      <w:r>
        <w:t xml:space="preserve">Corresponde distinguir trazabilidad de auditoría inmutable. La tabla de auditoría provee trazabilidad: permite reconstruir quién hizo qué y cuándo, mientras el registro no haya sido alterado. No provee inmutabilidad ni evidencia de manipulación: es una tabla ordinaria de PostgreSQL, modificable por quien disponga de privilegios sobre la base de datos, sin encadenamiento criptográfico de registros, sin firma ni sellado de tiempo externo y sin soporte de escritura única. Un compromiso del servidor central o del motor de base de datos puede, en consecuencia, alterar o suprimir entradas sin dejar rastro en la propia tabla. El valor probatorio del registro depende de controles externos —copias de seguridad custodiadas, replicación a un destino de solo anexado, correlación con logs remotos— que el presente trabajo no implementa y que se consignan en el apartado 8.8 como recomendaciones operativas.</w:t>
      </w:r>
    </w:p>
    <w:bookmarkEnd w:id="94"/>
    <w:bookmarkStart w:id="95" w:name="Xe4a9727a47c0690050e5725efb458df2bbe0cdd"/>
    <w:p>
      <w:pPr>
        <w:pStyle w:val="Heading2"/>
      </w:pPr>
      <w:r>
        <w:rPr>
          <w:bCs/>
          <w:b/>
        </w:rPr>
        <w:t xml:space="preserve">4.12</w:t>
      </w:r>
      <w:r>
        <w:t xml:space="preserve"> Estado del sistema y auditoría interna de consistencia</w:t>
      </w:r>
    </w:p>
    <w:p>
      <w:pPr>
        <w:pStyle w:val="FirstParagraph"/>
      </w:pPr>
      <w:r>
        <w:t xml:space="preserve">La matriz de cierre registra 23 historias completas, 8 parciales y ninguna sin cobertura funcional. “Parcial” significa que existe implementación o evidencia para una parte de la historia, pero falta al menos un criterio canónico o su verificación. El recuento no equivale a cumplimiento integral del backlog y no modifica retrospectivamente los criterios originales.</w:t>
      </w:r>
    </w:p>
    <w:p>
      <w:pPr>
        <w:pStyle w:val="BodyText"/>
        <w:keepNext/>
      </w:pPr>
      <w:r>
        <w:rPr>
          <w:bCs/>
          <w:b/>
          <w:iCs/>
          <w:i/>
        </w:rPr>
        <w:t xml:space="preserve">Tabla 11.</w:t>
      </w:r>
      <w:r>
        <w:rPr>
          <w:iCs/>
          <w:i/>
        </w:rPr>
        <w:t xml:space="preserve"> Estado actual del proyecto por componente</w:t>
      </w:r>
    </w:p>
    <w:tbl>
      <w:tblPr>
        <w:tblStyle w:val="Table"/>
        <w:tblW w:type="pct" w:w="4929"/>
        <w:jc w:val="start"/>
        <w:tblLook w:firstRow="1" w:lastRow="0" w:firstColumn="0" w:lastColumn="0" w:noHBand="0" w:noVBand="0" w:val="0020"/>
      </w:tblPr>
      <w:tblGrid>
        <w:gridCol w:w="1853"/>
        <w:gridCol w:w="3201"/>
        <w:gridCol w:w="2752"/>
      </w:tblGrid>
      <w:tr>
        <w:trPr>
          <w:tblHeader w:val="true"/>
          <w:cantSplit/>
        </w:trPr>
        <w:tc>
          <w:tcPr/>
          <w:p>
            <w:pPr>
              <w:pStyle w:val="Compact"/>
              <w:jc w:val="left"/>
            </w:pPr>
            <w:r>
              <w:rPr>
                <w:bCs/>
                <w:b/>
              </w:rPr>
              <w:t xml:space="preserve">Componente</w:t>
            </w:r>
          </w:p>
        </w:tc>
        <w:tc>
          <w:tcPr/>
          <w:p>
            <w:pPr>
              <w:pStyle w:val="Compact"/>
              <w:jc w:val="left"/>
            </w:pPr>
            <w:r>
              <w:rPr>
                <w:bCs/>
                <w:b/>
              </w:rPr>
              <w:t xml:space="preserve">Estado</w:t>
            </w:r>
          </w:p>
        </w:tc>
        <w:tc>
          <w:tcPr/>
          <w:p>
            <w:pPr>
              <w:pStyle w:val="Compact"/>
              <w:jc w:val="left"/>
            </w:pPr>
            <w:r>
              <w:rPr>
                <w:bCs/>
                <w:b/>
              </w:rPr>
              <w:t xml:space="preserve">Verificación</w:t>
            </w:r>
          </w:p>
        </w:tc>
      </w:tr>
      <w:tr>
        <w:trPr>
          <w:cantSplit/>
        </w:trPr>
        <w:tc>
          <w:tcPr/>
          <w:p>
            <w:pPr>
              <w:pStyle w:val="Compact"/>
              <w:jc w:val="left"/>
            </w:pPr>
            <w:r>
              <w:t xml:space="preserve">Agente (Python)</w:t>
            </w:r>
          </w:p>
        </w:tc>
        <w:tc>
          <w:tcPr/>
          <w:p>
            <w:pPr>
              <w:pStyle w:val="Compact"/>
              <w:jc w:val="left"/>
            </w:pPr>
            <w:r>
              <w:t xml:space="preserve">Implementado — 13.525 líneas, 26 módulos</w:t>
            </w:r>
          </w:p>
        </w:tc>
        <w:tc>
          <w:tcPr/>
          <w:p>
            <w:pPr>
              <w:pStyle w:val="Compact"/>
              <w:jc w:val="left"/>
            </w:pPr>
            <w:r>
              <w:t xml:space="preserve">Candidato 7a7ee50: 540 aprobadas, 0 fallidas y 1 omitida; cobertura 79,57 % (2726/3426), excluidos tests.</w:t>
            </w:r>
          </w:p>
        </w:tc>
      </w:tr>
      <w:tr>
        <w:trPr>
          <w:cantSplit/>
        </w:trPr>
        <w:tc>
          <w:tcPr/>
          <w:p>
            <w:pPr>
              <w:pStyle w:val="Compact"/>
              <w:jc w:val="left"/>
            </w:pPr>
            <w:r>
              <w:t xml:space="preserve">Backend (FastAPI)</w:t>
            </w:r>
          </w:p>
        </w:tc>
        <w:tc>
          <w:tcPr/>
          <w:p>
            <w:pPr>
              <w:pStyle w:val="Compact"/>
              <w:jc w:val="left"/>
            </w:pPr>
            <w:r>
              <w:t xml:space="preserve">Implementado — 16.439 líneas, 9 módulos de dominio</w:t>
            </w:r>
          </w:p>
        </w:tc>
        <w:tc>
          <w:tcPr/>
          <w:p>
            <w:pPr>
              <w:pStyle w:val="Compact"/>
              <w:jc w:val="left"/>
            </w:pPr>
            <w:r>
              <w:t xml:space="preserve">Candidato 7a7ee50: 689/689 aprobadas; cobertura 91,34 % (2902/3177) sobre backend/app.</w:t>
            </w:r>
          </w:p>
        </w:tc>
      </w:tr>
      <w:tr>
        <w:trPr>
          <w:cantSplit/>
        </w:trPr>
        <w:tc>
          <w:tcPr/>
          <w:p>
            <w:pPr>
              <w:pStyle w:val="Compact"/>
              <w:jc w:val="left"/>
            </w:pPr>
            <w:r>
              <w:t xml:space="preserve">Frontend (React)</w:t>
            </w:r>
          </w:p>
        </w:tc>
        <w:tc>
          <w:tcPr/>
          <w:p>
            <w:pPr>
              <w:pStyle w:val="Compact"/>
              <w:jc w:val="left"/>
            </w:pPr>
            <w:r>
              <w:t xml:space="preserve">Matriz actual: 23 historias completas, 8 parciales y 0 sin cobertura funcional.</w:t>
            </w:r>
          </w:p>
        </w:tc>
        <w:tc>
          <w:tcPr/>
          <w:p>
            <w:pPr>
              <w:pStyle w:val="Compact"/>
              <w:jc w:val="left"/>
            </w:pPr>
            <w:r>
              <w:t xml:space="preserve">Candidato 7a7ee50: 197/197, comprobación de tipos y construcción PASS; cobertura de líneas/statements 73,09 % (2836/3880). E2E dirigido separado.</w:t>
            </w:r>
          </w:p>
        </w:tc>
      </w:tr>
      <w:tr>
        <w:trPr>
          <w:cantSplit/>
        </w:trPr>
        <w:tc>
          <w:tcPr/>
          <w:p>
            <w:pPr>
              <w:pStyle w:val="Compact"/>
              <w:jc w:val="left"/>
            </w:pPr>
            <w:r>
              <w:t xml:space="preserve">Esquema de persistencia</w:t>
            </w:r>
          </w:p>
        </w:tc>
        <w:tc>
          <w:tcPr/>
          <w:p>
            <w:pPr>
              <w:pStyle w:val="Compact"/>
              <w:jc w:val="left"/>
            </w:pPr>
            <w:r>
              <w:t xml:space="preserve">Implementado — 11 tablas y 7 migraciones versionadas</w:t>
            </w:r>
          </w:p>
        </w:tc>
        <w:tc>
          <w:tcPr/>
          <w:p>
            <w:pPr>
              <w:pStyle w:val="Compact"/>
              <w:jc w:val="left"/>
            </w:pPr>
            <w:r>
              <w:t xml:space="preserve">Cubierto por las pruebas de integración</w:t>
            </w:r>
          </w:p>
        </w:tc>
      </w:tr>
      <w:tr>
        <w:trPr>
          <w:cantSplit/>
        </w:trPr>
        <w:tc>
          <w:tcPr/>
          <w:p>
            <w:pPr>
              <w:pStyle w:val="Compact"/>
              <w:jc w:val="left"/>
            </w:pPr>
            <w:r>
              <w:t xml:space="preserve">PKI propia y certificados mTLS</w:t>
            </w:r>
          </w:p>
        </w:tc>
        <w:tc>
          <w:tcPr/>
          <w:p>
            <w:pPr>
              <w:pStyle w:val="Compact"/>
              <w:jc w:val="left"/>
            </w:pPr>
            <w:r>
              <w:t xml:space="preserve">Implementado — emisión, rotación y revocación</w:t>
            </w:r>
          </w:p>
        </w:tc>
        <w:tc>
          <w:tcPr/>
          <w:p>
            <w:pPr>
              <w:pStyle w:val="Compact"/>
              <w:jc w:val="left"/>
            </w:pPr>
            <w:r>
              <w:t xml:space="preserve">Cubierto por pruebas de bootstrap y renovación</w:t>
            </w:r>
          </w:p>
        </w:tc>
      </w:tr>
      <w:tr>
        <w:trPr>
          <w:cantSplit/>
        </w:trPr>
        <w:tc>
          <w:tcPr/>
          <w:p>
            <w:pPr>
              <w:pStyle w:val="Compact"/>
              <w:jc w:val="left"/>
            </w:pPr>
            <w:r>
              <w:t xml:space="preserve">Flujos n8n</w:t>
            </w:r>
          </w:p>
        </w:tc>
        <w:tc>
          <w:tcPr/>
          <w:p>
            <w:pPr>
              <w:pStyle w:val="Compact"/>
              <w:jc w:val="left"/>
            </w:pPr>
            <w:r>
              <w:t xml:space="preserve">Especificados y exportables — 3 flujos</w:t>
            </w:r>
          </w:p>
        </w:tc>
        <w:tc>
          <w:tcPr/>
          <w:p>
            <w:pPr>
              <w:pStyle w:val="Compact"/>
              <w:jc w:val="left"/>
            </w:pPr>
            <w:r>
              <w:t xml:space="preserve">Evaluaciones controladas A/B reportadas en el cierre. No corresponden a B4; SMTP y canales comerciales no acreditados.</w:t>
            </w:r>
          </w:p>
        </w:tc>
      </w:tr>
      <w:tr>
        <w:trPr>
          <w:cantSplit/>
        </w:trPr>
        <w:tc>
          <w:tcPr/>
          <w:p>
            <w:pPr>
              <w:pStyle w:val="Compact"/>
              <w:jc w:val="left"/>
            </w:pPr>
            <w:r>
              <w:t xml:space="preserve">Docker Compose</w:t>
            </w:r>
          </w:p>
        </w:tc>
        <w:tc>
          <w:tcPr/>
          <w:p>
            <w:pPr>
              <w:pStyle w:val="Compact"/>
              <w:jc w:val="left"/>
            </w:pPr>
            <w:r>
              <w:t xml:space="preserve">Implementado — 5 servicios con healthchecks; n8n inactivo en la corrida experimental histórica.</w:t>
            </w:r>
          </w:p>
        </w:tc>
        <w:tc>
          <w:tcPr/>
          <w:p>
            <w:pPr>
              <w:pStyle w:val="Compact"/>
              <w:jc w:val="left"/>
            </w:pPr>
            <w:r>
              <w:t xml:space="preserve">Comprobación manual del despliegue en laboratorio.</w:t>
            </w:r>
          </w:p>
        </w:tc>
      </w:tr>
      <w:tr>
        <w:trPr>
          <w:cantSplit/>
        </w:trPr>
        <w:tc>
          <w:tcPr/>
          <w:p>
            <w:pPr>
              <w:pStyle w:val="Compact"/>
              <w:jc w:val="left"/>
            </w:pPr>
            <w:r>
              <w:t xml:space="preserve">Unidad de systemd del agente</w:t>
            </w:r>
          </w:p>
        </w:tc>
        <w:tc>
          <w:tcPr/>
          <w:p>
            <w:pPr>
              <w:pStyle w:val="Compact"/>
              <w:jc w:val="left"/>
            </w:pPr>
            <w:r>
              <w:t xml:space="preserve">Implementada con endurecimiento</w:t>
            </w:r>
          </w:p>
        </w:tc>
        <w:tc>
          <w:tcPr/>
          <w:p>
            <w:pPr>
              <w:pStyle w:val="Compact"/>
              <w:jc w:val="left"/>
            </w:pPr>
            <w:r>
              <w:t xml:space="preserve">Instalación comprobada manualmente (no empleada en la corrida experimental, que usó el agente contenedorizado)</w:t>
            </w:r>
          </w:p>
        </w:tc>
      </w:tr>
      <w:tr>
        <w:trPr>
          <w:cantSplit/>
        </w:trPr>
        <w:tc>
          <w:tcPr/>
          <w:p>
            <w:pPr>
              <w:pStyle w:val="Compact"/>
              <w:jc w:val="left"/>
            </w:pPr>
            <w:r>
              <w:t xml:space="preserve">Catálogo de reglas de negocio</w:t>
            </w:r>
          </w:p>
        </w:tc>
        <w:tc>
          <w:tcPr/>
          <w:p>
            <w:pPr>
              <w:pStyle w:val="Compact"/>
              <w:jc w:val="left"/>
            </w:pPr>
            <w:r>
              <w:t xml:space="preserve">Completado — 128 reglas trazadas al código</w:t>
            </w:r>
          </w:p>
        </w:tc>
        <w:tc>
          <w:tcPr/>
          <w:p>
            <w:pPr>
              <w:pStyle w:val="Compact"/>
              <w:jc w:val="left"/>
            </w:pPr>
            <w:r>
              <w:t xml:space="preserve">Trazabilidad regla → implementación → prueba</w:t>
            </w:r>
          </w:p>
        </w:tc>
      </w:tr>
      <w:tr>
        <w:trPr>
          <w:cantSplit/>
        </w:trPr>
        <w:tc>
          <w:tcPr/>
          <w:p>
            <w:pPr>
              <w:pStyle w:val="Compact"/>
              <w:jc w:val="left"/>
            </w:pPr>
            <w:r>
              <w:t xml:space="preserve">Auditoría interna de seguridad</w:t>
            </w:r>
          </w:p>
        </w:tc>
        <w:tc>
          <w:tcPr/>
          <w:p>
            <w:pPr>
              <w:pStyle w:val="Compact"/>
              <w:jc w:val="left"/>
            </w:pPr>
            <w:r>
              <w:t xml:space="preserve">Completada (23-jun-2026) — 27 hallazgos: 10 críticos, 8 altos, 9 medios</w:t>
            </w:r>
          </w:p>
        </w:tc>
        <w:tc>
          <w:tcPr/>
          <w:p>
            <w:pPr>
              <w:pStyle w:val="Compact"/>
              <w:jc w:val="left"/>
            </w:pPr>
            <w:r>
              <w:t xml:space="preserve">Baterías de regresión específicas</w:t>
            </w:r>
          </w:p>
        </w:tc>
      </w:tr>
      <w:tr>
        <w:trPr>
          <w:cantSplit/>
        </w:trPr>
        <w:tc>
          <w:tcPr/>
          <w:p>
            <w:pPr>
              <w:pStyle w:val="Compact"/>
              <w:jc w:val="left"/>
            </w:pPr>
            <w:r>
              <w:t xml:space="preserve">Protocolo experimental</w:t>
            </w:r>
          </w:p>
        </w:tc>
        <w:tc>
          <w:tcPr/>
          <w:p>
            <w:pPr>
              <w:pStyle w:val="Compact"/>
              <w:jc w:val="left"/>
            </w:pPr>
            <w:r>
              <w:t xml:space="preserve">Baterías históricas y evaluaciones posteriores sobre versiones diferenciadas. Cierre de validación parcial.</w:t>
            </w:r>
          </w:p>
        </w:tc>
        <w:tc>
          <w:tcPr/>
          <w:p>
            <w:pPr>
              <w:pStyle w:val="Compact"/>
              <w:jc w:val="left"/>
            </w:pPr>
            <w:r>
              <w:t xml:space="preserve">Suite consolidada PASS para el candidato autocontenido 7a7ee50; alcance y exclusiones en §4.9 y Anexo F. Los ensayos de concurrencia, drenaje y latencia de §§5.2.1, 5.3.1 y 5.6.1 corresponden al candidato 7df4935. No acredita el backlog integral ni aptitud productiva.</w:t>
            </w:r>
          </w:p>
        </w:tc>
      </w:tr>
    </w:tbl>
    <w:p>
      <w:pPr>
        <w:pStyle w:val="BodyText"/>
      </w:pPr>
      <w:r>
        <w:t xml:space="preserve">Nota. Los recuentos de implementación describen el inventario documental. Los resultados del candidato vigente 7a7ee50 proceden exclusivamente del paquete final-consolidated-v10-20260912T210903Z/: JUnit y cobertura se informan por componente, y las pruebas E2E dirigidas se mantienen separadas.</w:t>
      </w:r>
    </w:p>
    <w:p>
      <w:r>
        <w:br w:type="page"/>
      </w:r>
    </w:p>
    <w:bookmarkEnd w:id="95"/>
    <w:bookmarkEnd w:id="96"/>
    <w:bookmarkStart w:id="108" w:name="capítulo-5.-resultados"/>
    <w:p>
      <w:pPr>
        <w:pStyle w:val="Heading1"/>
      </w:pPr>
      <w:r>
        <w:rPr>
          <w:bCs/>
          <w:b/>
        </w:rPr>
        <w:t xml:space="preserve">CAPÍTULO 5. RESULTADOS</w:t>
      </w:r>
    </w:p>
    <w:p>
      <w:pPr>
        <w:pStyle w:val="FirstParagraph"/>
      </w:pPr>
      <w:r>
        <w:t xml:space="preserve">En el presente capítulo se presentan los resultados obtenidos de la ejecución del protocolo experimental especificado en el apartado 3.7, con los componentes del sistema desplegados de forma integrada en la configuración de laboratorio allí descripta. Los valores corresponden a la corrida informada y quedan sujetos a actualización si el sistema se vuelve a ejecutar. Los ensayos posteriores de cierre se presentan en apartados propios (5.2.1, 5.3.1 y 5.6.1) y no se agregan a la corrida histórica.</w:t>
      </w:r>
    </w:p>
    <w:bookmarkStart w:id="97" w:name="Xb04dff9c5b798526dd4c75d5e0825c6d4da0bfb"/>
    <w:p>
      <w:pPr>
        <w:pStyle w:val="Heading2"/>
      </w:pPr>
      <w:r>
        <w:rPr>
          <w:bCs/>
          <w:b/>
        </w:rPr>
        <w:t xml:space="preserve">5.1 Consideración metodológica sobre la presentación de resultados</w:t>
      </w:r>
    </w:p>
    <w:p>
      <w:pPr>
        <w:pStyle w:val="FirstParagraph"/>
      </w:pPr>
      <w:r>
        <w:t xml:space="preserve">Los resultados que se presentan en este capítulo se obtuvieron mediante la ejecución del protocolo especificado en el apartado 3.7 sobre el laboratorio allí descripto, con los componentes del sistema desplegados de forma integrada y no como prototipos aislados. Cuatro precisiones metodológicas anteceden a su exposición.</w:t>
      </w:r>
    </w:p>
    <w:p>
      <w:pPr>
        <w:pStyle w:val="BodyText"/>
      </w:pPr>
      <w:r>
        <w:t xml:space="preserve">La primera se refiere a las condiciones de la corrida, que el apartado 3.7 enumera y aquí se reiteran por su incidencia sobre la lectura de cada tabla: topología co-residente sobre un único equipo, agente contenedorizado, orquestador de notificaciones inactivo y cifrado de transporte deshabilitado. Los valores obtenidos no deben generalizarse a una instalación distribuida con cifrado habilitado.</w:t>
      </w:r>
    </w:p>
    <w:p>
      <w:pPr>
        <w:pStyle w:val="BodyText"/>
      </w:pPr>
      <w:r>
        <w:t xml:space="preserve">La segunda se refiere a la anterioridad de los umbrales. Los criterios de aceptación consignados en la Tabla 1 quedaron fijados durante la formulación del problema, con anterioridad a la implementación del sistema, lo que excluye el ajuste retrospectivo del umbral al resultado.</w:t>
      </w:r>
    </w:p>
    <w:p>
      <w:pPr>
        <w:pStyle w:val="BodyText"/>
      </w:pPr>
      <w:r>
        <w:t xml:space="preserve">La tercera se refiere a la verificación cruzada. Las mediciones de tiempo se obtienen mediante instrumentación programática del propio sistema, lo que constituye un sesgo de instrumentación reconocido en el apartado 6.4. Para acotarlo se ejecutó una corrida separada de verificación con captura independiente de tráfico y traza de llamadas al sistema, sobre treinta operaciones. La captura registra 660 paquetes y contiene treinta comandos de publicación en el stream de eventos con sus treinta confirmaciones correspondientes, además de los campos de firma y de marca de emisión; las rutas resultan visibles por cuanto esa corrida se practicó sin cifrado de transporte. La traza registra sesenta y una invocaciones a la llamada de resolución de identificadores de archivo. La verificación acredita la correspondencia entre operación, publicación y confirmación, pero la captura y la traza pertenecen a tramos temporales distintos: no permiten correlacionar llamada al sistema y mensaje uno a uno ni validar el percentil 99 informado en el apartado 5.2. Posteriormente, una corrida independiente de cien modificaciones utilizó strace para fijar el inicio de cada intervalo fuera del reloj del generador (apartado 5.2.1); esa medición no valida retroactivamente el percentil histórico.</w:t>
      </w:r>
    </w:p>
    <w:p>
      <w:pPr>
        <w:pStyle w:val="BodyText"/>
      </w:pPr>
      <w:r>
        <w:t xml:space="preserve">La cuarta se refiere a la replicabilidad. Las planillas de captura se publican completas, junto con el código fuente, los artefactos de configuración y los generadores de carga, conforme al compromiso del Anexo F. La finalidad expresa de esta publicación es habilitar la verificación independiente por parte de terceros: los valores aquí consignados no constituyen una afirmación de autoridad sino una invitación a la refutación.</w:t>
      </w:r>
    </w:p>
    <w:bookmarkEnd w:id="97"/>
    <w:bookmarkStart w:id="98" w:name="X8611555dab514c5f0b58a3464d7ab7183ff4fe0"/>
    <w:p>
      <w:pPr>
        <w:pStyle w:val="Heading2"/>
      </w:pPr>
      <w:r>
        <w:rPr>
          <w:bCs/>
          <w:b/>
        </w:rPr>
        <w:t xml:space="preserve">5.2 Protocolo de medición de latencia de detección</w:t>
      </w:r>
    </w:p>
    <w:p>
      <w:pPr>
        <w:pStyle w:val="FirstParagraph"/>
      </w:pPr>
      <w:r>
        <w:t xml:space="preserve">La tercera batería del protocolo mide la latencia de detección, definida en la Tabla 1 como el intervalo entre el instante en que se completa la modificación de un archivo monitoreado y el instante en que el evento correspondiente es recibido por el backend. El protocolo ejecuta el generador de carga con quinientas modificaciones distribuidas uniformemente sobre una ventana de treinta minutos, con tamaños de archivo aleatorios entre un kilobyte y un megabyte. La distribución de operaciones consiste en setenta por ciento de modificación, veinte por ciento de creación y diez por ciento de eliminación. Cada operación se registra con timestamp de nanosegundos y se correlaciona con el timestamp de recepción en el backend.</w:t>
      </w:r>
    </w:p>
    <w:p>
      <w:pPr>
        <w:pStyle w:val="BodyText"/>
        <w:keepNext/>
      </w:pPr>
      <w:r>
        <w:rPr>
          <w:bCs/>
          <w:b/>
          <w:iCs/>
          <w:i/>
        </w:rPr>
        <w:t xml:space="preserve">Tabla 12.</w:t>
      </w:r>
      <w:r>
        <w:rPr>
          <w:iCs/>
          <w:i/>
        </w:rPr>
        <w:t xml:space="preserve"> Resultados históricos del tramo agente-backend</w:t>
      </w:r>
    </w:p>
    <w:tbl>
      <w:tblPr>
        <w:tblStyle w:val="Table"/>
        <w:tblW w:type="pct" w:w="4910"/>
        <w:jc w:val="start"/>
        <w:tblLook w:firstRow="1" w:lastRow="0" w:firstColumn="0" w:lastColumn="0" w:noHBand="0" w:noVBand="0" w:val="0020"/>
      </w:tblPr>
      <w:tblGrid>
        <w:gridCol w:w="3567"/>
        <w:gridCol w:w="1926"/>
        <w:gridCol w:w="1070"/>
        <w:gridCol w:w="1212"/>
      </w:tblGrid>
      <w:tr>
        <w:trPr>
          <w:tblHeader w:val="true"/>
          <w:cantSplit/>
        </w:trPr>
        <w:tc>
          <w:tcPr/>
          <w:p>
            <w:pPr>
              <w:pStyle w:val="Compact"/>
              <w:jc w:val="left"/>
            </w:pPr>
            <w:r>
              <w:rPr>
                <w:bCs/>
                <w:b/>
              </w:rPr>
              <w:t xml:space="preserve">Estadístico</w:t>
            </w:r>
          </w:p>
        </w:tc>
        <w:tc>
          <w:tcPr/>
          <w:p>
            <w:pPr>
              <w:pStyle w:val="Compact"/>
              <w:jc w:val="left"/>
            </w:pPr>
            <w:r>
              <w:rPr>
                <w:bCs/>
                <w:b/>
              </w:rPr>
              <w:t xml:space="preserve">Valor observado (ms)</w:t>
            </w:r>
          </w:p>
        </w:tc>
        <w:tc>
          <w:tcPr/>
          <w:p>
            <w:pPr>
              <w:pStyle w:val="Compact"/>
              <w:jc w:val="left"/>
            </w:pPr>
            <w:r>
              <w:rPr>
                <w:bCs/>
                <w:b/>
              </w:rPr>
              <w:t xml:space="preserve">Umbral</w:t>
            </w:r>
          </w:p>
        </w:tc>
        <w:tc>
          <w:tcPr/>
          <w:p>
            <w:pPr>
              <w:pStyle w:val="Compact"/>
              <w:jc w:val="left"/>
            </w:pPr>
            <w:r>
              <w:rPr>
                <w:bCs/>
                <w:b/>
              </w:rPr>
              <w:t xml:space="preserve">Cumple</w:t>
            </w:r>
          </w:p>
        </w:tc>
      </w:tr>
      <w:tr>
        <w:trPr>
          <w:cantSplit/>
        </w:trPr>
        <w:tc>
          <w:tcPr/>
          <w:p>
            <w:pPr>
              <w:pStyle w:val="Compact"/>
              <w:jc w:val="left"/>
            </w:pPr>
            <w:r>
              <w:t xml:space="preserve">Media aritmética</w:t>
            </w:r>
          </w:p>
        </w:tc>
        <w:tc>
          <w:tcPr/>
          <w:p>
            <w:pPr>
              <w:pStyle w:val="Compact"/>
              <w:jc w:val="left"/>
            </w:pPr>
            <w:r>
              <w:t xml:space="preserve">10,879</w:t>
            </w:r>
          </w:p>
        </w:tc>
        <w:tc>
          <w:tcPr/>
          <w:p>
            <w:pPr>
              <w:pStyle w:val="Compact"/>
              <w:jc w:val="left"/>
            </w:pPr>
            <w:r>
              <w:t xml:space="preserve">—</w:t>
            </w:r>
          </w:p>
        </w:tc>
        <w:tc>
          <w:tcPr/>
          <w:p>
            <w:pPr>
              <w:pStyle w:val="Compact"/>
            </w:pPr>
          </w:p>
        </w:tc>
      </w:tr>
      <w:tr>
        <w:trPr>
          <w:cantSplit/>
        </w:trPr>
        <w:tc>
          <w:tcPr/>
          <w:p>
            <w:pPr>
              <w:pStyle w:val="Compact"/>
              <w:jc w:val="left"/>
            </w:pPr>
            <w:r>
              <w:t xml:space="preserve">Mediana</w:t>
            </w:r>
          </w:p>
        </w:tc>
        <w:tc>
          <w:tcPr/>
          <w:p>
            <w:pPr>
              <w:pStyle w:val="Compact"/>
              <w:jc w:val="left"/>
            </w:pPr>
            <w:r>
              <w:t xml:space="preserve">12,176</w:t>
            </w:r>
          </w:p>
        </w:tc>
        <w:tc>
          <w:tcPr/>
          <w:p>
            <w:pPr>
              <w:pStyle w:val="Compact"/>
              <w:jc w:val="left"/>
            </w:pPr>
            <w:r>
              <w:t xml:space="preserve">—</w:t>
            </w:r>
          </w:p>
        </w:tc>
        <w:tc>
          <w:tcPr/>
          <w:p>
            <w:pPr>
              <w:pStyle w:val="Compact"/>
            </w:pPr>
          </w:p>
        </w:tc>
      </w:tr>
      <w:tr>
        <w:trPr>
          <w:cantSplit/>
        </w:trPr>
        <w:tc>
          <w:tcPr/>
          <w:p>
            <w:pPr>
              <w:pStyle w:val="Compact"/>
              <w:jc w:val="left"/>
            </w:pPr>
            <w:r>
              <w:t xml:space="preserve">Desvío estándar</w:t>
            </w:r>
          </w:p>
        </w:tc>
        <w:tc>
          <w:tcPr/>
          <w:p>
            <w:pPr>
              <w:pStyle w:val="Compact"/>
              <w:jc w:val="left"/>
            </w:pPr>
            <w:r>
              <w:t xml:space="preserve">3,699</w:t>
            </w:r>
          </w:p>
        </w:tc>
        <w:tc>
          <w:tcPr/>
          <w:p>
            <w:pPr>
              <w:pStyle w:val="Compact"/>
              <w:jc w:val="left"/>
            </w:pPr>
            <w:r>
              <w:t xml:space="preserve">—</w:t>
            </w:r>
          </w:p>
        </w:tc>
        <w:tc>
          <w:tcPr/>
          <w:p>
            <w:pPr>
              <w:pStyle w:val="Compact"/>
            </w:pPr>
          </w:p>
        </w:tc>
      </w:tr>
      <w:tr>
        <w:trPr>
          <w:cantSplit/>
        </w:trPr>
        <w:tc>
          <w:tcPr/>
          <w:p>
            <w:pPr>
              <w:pStyle w:val="Compact"/>
              <w:jc w:val="left"/>
            </w:pPr>
            <w:r>
              <w:t xml:space="preserve">Valor mínimo</w:t>
            </w:r>
          </w:p>
        </w:tc>
        <w:tc>
          <w:tcPr/>
          <w:p>
            <w:pPr>
              <w:pStyle w:val="Compact"/>
              <w:jc w:val="left"/>
            </w:pPr>
            <w:r>
              <w:t xml:space="preserve">3,021</w:t>
            </w:r>
          </w:p>
        </w:tc>
        <w:tc>
          <w:tcPr/>
          <w:p>
            <w:pPr>
              <w:pStyle w:val="Compact"/>
              <w:jc w:val="left"/>
            </w:pPr>
            <w:r>
              <w:t xml:space="preserve">—</w:t>
            </w:r>
          </w:p>
        </w:tc>
        <w:tc>
          <w:tcPr/>
          <w:p>
            <w:pPr>
              <w:pStyle w:val="Compact"/>
            </w:pPr>
          </w:p>
        </w:tc>
      </w:tr>
      <w:tr>
        <w:trPr>
          <w:cantSplit/>
        </w:trPr>
        <w:tc>
          <w:tcPr/>
          <w:p>
            <w:pPr>
              <w:pStyle w:val="Compact"/>
              <w:jc w:val="left"/>
            </w:pPr>
            <w:r>
              <w:t xml:space="preserve">Valor máximo</w:t>
            </w:r>
          </w:p>
        </w:tc>
        <w:tc>
          <w:tcPr/>
          <w:p>
            <w:pPr>
              <w:pStyle w:val="Compact"/>
              <w:jc w:val="left"/>
            </w:pPr>
            <w:r>
              <w:t xml:space="preserve">19,802</w:t>
            </w:r>
          </w:p>
        </w:tc>
        <w:tc>
          <w:tcPr/>
          <w:p>
            <w:pPr>
              <w:pStyle w:val="Compact"/>
              <w:jc w:val="left"/>
            </w:pPr>
            <w:r>
              <w:t xml:space="preserve">—</w:t>
            </w:r>
          </w:p>
        </w:tc>
        <w:tc>
          <w:tcPr/>
          <w:p>
            <w:pPr>
              <w:pStyle w:val="Compact"/>
            </w:pPr>
          </w:p>
        </w:tc>
      </w:tr>
      <w:tr>
        <w:trPr>
          <w:cantSplit/>
        </w:trPr>
        <w:tc>
          <w:tcPr/>
          <w:p>
            <w:pPr>
              <w:pStyle w:val="Compact"/>
              <w:jc w:val="left"/>
            </w:pPr>
            <w:r>
              <w:t xml:space="preserve">Percentil 95</w:t>
            </w:r>
          </w:p>
        </w:tc>
        <w:tc>
          <w:tcPr/>
          <w:p>
            <w:pPr>
              <w:pStyle w:val="Compact"/>
              <w:jc w:val="left"/>
            </w:pPr>
            <w:r>
              <w:t xml:space="preserve">16,319</w:t>
            </w:r>
          </w:p>
        </w:tc>
        <w:tc>
          <w:tcPr/>
          <w:p>
            <w:pPr>
              <w:pStyle w:val="Compact"/>
              <w:jc w:val="left"/>
            </w:pPr>
            <w:r>
              <w:t xml:space="preserve">—</w:t>
            </w:r>
          </w:p>
        </w:tc>
        <w:tc>
          <w:tcPr/>
          <w:p>
            <w:pPr>
              <w:pStyle w:val="Compact"/>
            </w:pPr>
          </w:p>
        </w:tc>
      </w:tr>
      <w:tr>
        <w:trPr>
          <w:cantSplit/>
        </w:trPr>
        <w:tc>
          <w:tcPr/>
          <w:p>
            <w:pPr>
              <w:pStyle w:val="Compact"/>
              <w:jc w:val="left"/>
            </w:pPr>
            <w:r>
              <w:t xml:space="preserve">Percentil 99 (indicador principal)</w:t>
            </w:r>
          </w:p>
        </w:tc>
        <w:tc>
          <w:tcPr/>
          <w:p>
            <w:pPr>
              <w:pStyle w:val="Compact"/>
              <w:jc w:val="left"/>
            </w:pPr>
            <w:r>
              <w:t xml:space="preserve">17,274</w:t>
            </w:r>
          </w:p>
        </w:tc>
        <w:tc>
          <w:tcPr/>
          <w:p>
            <w:pPr>
              <w:pStyle w:val="Compact"/>
              <w:jc w:val="left"/>
            </w:pPr>
            <w:r>
              <w:t xml:space="preserve">&lt; 1.000</w:t>
            </w:r>
          </w:p>
        </w:tc>
        <w:tc>
          <w:tcPr/>
          <w:p>
            <w:pPr>
              <w:pStyle w:val="Compact"/>
              <w:jc w:val="left"/>
            </w:pPr>
            <w:r>
              <w:t>Sí</w:t>
            </w:r>
          </w:p>
        </w:tc>
      </w:tr>
      <w:tr>
        <w:trPr>
          <w:cantSplit/>
        </w:trPr>
        <w:tc>
          <w:tcPr/>
          <w:p>
            <w:pPr>
              <w:pStyle w:val="Compact"/>
              <w:jc w:val="left"/>
            </w:pPr>
            <w:r>
              <w:t xml:space="preserve">Eventos medidos</w:t>
            </w:r>
          </w:p>
        </w:tc>
        <w:tc>
          <w:tcPr/>
          <w:p>
            <w:pPr>
              <w:pStyle w:val="Compact"/>
              <w:jc w:val="left"/>
            </w:pPr>
            <w:r>
              <w:t xml:space="preserve">493</w:t>
            </w:r>
          </w:p>
        </w:tc>
        <w:tc>
          <w:tcPr/>
          <w:p>
            <w:pPr>
              <w:pStyle w:val="Compact"/>
              <w:jc w:val="left"/>
            </w:pPr>
            <w:r>
              <w:t xml:space="preserve">500</w:t>
            </w:r>
          </w:p>
        </w:tc>
        <w:tc>
          <w:tcPr/>
          <w:p>
            <w:pPr>
              <w:pStyle w:val="Compact"/>
            </w:pPr>
          </w:p>
        </w:tc>
      </w:tr>
      <w:tr>
        <w:trPr>
          <w:cantSplit/>
        </w:trPr>
        <w:tc>
          <w:tcPr/>
          <w:p>
            <w:pPr>
              <w:pStyle w:val="Compact"/>
              <w:jc w:val="left"/>
            </w:pPr>
            <w:r>
              <w:t xml:space="preserve">Operaciones sin evento (ejecutadas y verificadas; causa de la supresión indeterminada)</w:t>
            </w:r>
          </w:p>
        </w:tc>
        <w:tc>
          <w:tcPr/>
          <w:p>
            <w:pPr>
              <w:pStyle w:val="Compact"/>
              <w:jc w:val="left"/>
            </w:pPr>
            <w:r>
              <w:t xml:space="preserve">7</w:t>
            </w:r>
          </w:p>
        </w:tc>
        <w:tc>
          <w:tcPr/>
          <w:p>
            <w:pPr>
              <w:pStyle w:val="Compact"/>
              <w:jc w:val="left"/>
            </w:pPr>
            <w:r>
              <w:t xml:space="preserve">0</w:t>
            </w:r>
          </w:p>
        </w:tc>
        <w:tc>
          <w:tcPr/>
          <w:p>
            <w:pPr>
              <w:pStyle w:val="Compact"/>
              <w:jc w:val="left"/>
            </w:pPr>
            <w:r>
              <w:t xml:space="preserve">Indeterminado</w:t>
            </w:r>
          </w:p>
        </w:tc>
      </w:tr>
      <w:tr>
        <w:trPr>
          <w:cantSplit/>
        </w:trPr>
        <w:tc>
          <w:tcPr/>
          <w:p>
            <w:pPr>
              <w:pStyle w:val="Compact"/>
              <w:jc w:val="left"/>
            </w:pPr>
            <w:r>
              <w:t xml:space="preserve">Eventos rechazados por desincronización horaria</w:t>
            </w:r>
          </w:p>
        </w:tc>
        <w:tc>
          <w:tcPr/>
          <w:p>
            <w:pPr>
              <w:pStyle w:val="Compact"/>
              <w:jc w:val="left"/>
            </w:pPr>
            <w:r>
              <w:t xml:space="preserve">0</w:t>
            </w:r>
          </w:p>
        </w:tc>
        <w:tc>
          <w:tcPr/>
          <w:p>
            <w:pPr>
              <w:pStyle w:val="Compact"/>
              <w:jc w:val="left"/>
            </w:pPr>
            <w:r>
              <w:t xml:space="preserve">0</w:t>
            </w:r>
          </w:p>
        </w:tc>
        <w:tc>
          <w:tcPr/>
          <w:p>
            <w:pPr>
              <w:pStyle w:val="Compact"/>
              <w:jc w:val="left"/>
            </w:pPr>
            <w:r>
              <w:t>Sí</w:t>
            </w:r>
          </w:p>
        </w:tc>
      </w:tr>
    </w:tbl>
    <w:p>
      <w:pPr>
        <w:pStyle w:val="BodyText"/>
        <w:keepNext/>
      </w:pPr>
      <w:r>
        <w:rPr>
          <w:bCs/>
          <w:b/>
          <w:iCs/>
          <w:i/>
        </w:rPr>
        <w:t xml:space="preserve">Tabla 12a.</w:t>
      </w:r>
      <w:r>
        <w:rPr>
          <w:iCs/>
          <w:i/>
        </w:rPr>
        <w:t xml:space="preserve"> Reagregación reportada desde la marca posterior a la operación</w:t>
      </w:r>
    </w:p>
    <w:tbl>
      <w:tblPr>
        <w:tblStyle w:val="Table"/>
        <w:tblW w:type="pct" w:w="4910"/>
        <w:jc w:val="start"/>
        <w:tblLook w:firstRow="1" w:lastRow="0" w:firstColumn="0" w:lastColumn="0" w:noHBand="0" w:noVBand="0" w:val="0020"/>
      </w:tblPr>
      <w:tblGrid>
        <w:gridCol w:w="982"/>
        <w:gridCol w:w="982"/>
        <w:gridCol w:w="982"/>
        <w:gridCol w:w="982"/>
        <w:gridCol w:w="982"/>
      </w:tblGrid>
      <w:tr>
        <w:trPr>
          <w:tblHeader w:val="true"/>
          <w:cantSplit/>
        </w:trPr>
        <w:tc>
          <w:tcPr/>
          <w:p>
            <w:pPr>
              <w:pStyle w:val="Compact"/>
              <w:jc w:val="left"/>
            </w:pPr>
            <w:r>
              <w:rPr>
                <w:bCs/>
                <w:b/>
              </w:rPr>
              <w:t xml:space="preserve">n</w:t>
            </w:r>
          </w:p>
        </w:tc>
        <w:tc>
          <w:tcPr/>
          <w:p>
            <w:pPr>
              <w:pStyle w:val="Compact"/>
              <w:jc w:val="left"/>
            </w:pPr>
            <w:r>
              <w:rPr>
                <w:bCs/>
                <w:b/>
              </w:rPr>
              <w:t xml:space="preserve">Media (ms)</w:t>
            </w:r>
          </w:p>
        </w:tc>
        <w:tc>
          <w:tcPr/>
          <w:p>
            <w:pPr>
              <w:pStyle w:val="Compact"/>
              <w:jc w:val="left"/>
            </w:pPr>
            <w:r>
              <w:rPr>
                <w:bCs/>
                <w:b/>
              </w:rPr>
              <w:t xml:space="preserve">P50 (ms)</w:t>
            </w:r>
          </w:p>
        </w:tc>
        <w:tc>
          <w:tcPr/>
          <w:p>
            <w:pPr>
              <w:pStyle w:val="Compact"/>
              <w:jc w:val="left"/>
            </w:pPr>
            <w:r>
              <w:rPr>
                <w:bCs/>
                <w:b/>
              </w:rPr>
              <w:t xml:space="preserve">P95 (ms)</w:t>
            </w:r>
          </w:p>
        </w:tc>
        <w:tc>
          <w:tcPr/>
          <w:p>
            <w:pPr>
              <w:pStyle w:val="Compact"/>
              <w:jc w:val="left"/>
            </w:pPr>
            <w:r>
              <w:rPr>
                <w:bCs/>
                <w:b/>
              </w:rPr>
              <w:t xml:space="preserve">P99 (ms)</w:t>
            </w:r>
          </w:p>
        </w:tc>
      </w:tr>
      <w:tr>
        <w:trPr>
          <w:cantSplit/>
        </w:trPr>
        <w:tc>
          <w:tcPr/>
          <w:p>
            <w:pPr>
              <w:pStyle w:val="Compact"/>
              <w:jc w:val="left"/>
            </w:pPr>
            <w:r>
              <w:t xml:space="preserve">493</w:t>
            </w:r>
          </w:p>
        </w:tc>
        <w:tc>
          <w:tcPr/>
          <w:p>
            <w:pPr>
              <w:pStyle w:val="Compact"/>
              <w:jc w:val="left"/>
            </w:pPr>
            <w:r>
              <w:t xml:space="preserve">11,316</w:t>
            </w:r>
          </w:p>
        </w:tc>
        <w:tc>
          <w:tcPr/>
          <w:p>
            <w:pPr>
              <w:pStyle w:val="Compact"/>
              <w:jc w:val="left"/>
            </w:pPr>
            <w:r>
              <w:t xml:space="preserve">12,639</w:t>
            </w:r>
          </w:p>
        </w:tc>
        <w:tc>
          <w:tcPr/>
          <w:p>
            <w:pPr>
              <w:pStyle w:val="Compact"/>
              <w:jc w:val="left"/>
            </w:pPr>
            <w:r>
              <w:t xml:space="preserve">16,798</w:t>
            </w:r>
          </w:p>
        </w:tc>
        <w:tc>
          <w:tcPr/>
          <w:p>
            <w:pPr>
              <w:pStyle w:val="Compact"/>
              <w:jc w:val="left"/>
            </w:pPr>
            <w:r>
              <w:t xml:space="preserve">17,745</w:t>
            </w:r>
          </w:p>
        </w:tc>
      </w:tr>
    </w:tbl>
    <w:p>
      <w:pPr>
        <w:pStyle w:val="BodyText"/>
      </w:pPr>
      <w:r>
        <w:rPr>
          <w:bCs/>
          <w:b/>
          <w:iCs/>
          <w:i/>
        </w:rPr>
        <w:t xml:space="preserve">Nota.</w:t>
      </w:r>
      <w:r>
        <w:rPr>
          <w:iCs/>
          <w:i/>
        </w:rPr>
        <w:t xml:space="preserve"> Los valores corresponden a la topología co-residente, sin latencia de red ni cifrado de transporte, descripta en los apartados 3.7 y 5.1; se obtuvieron en condiciones favorables y no deben extrapolarse a un despliegue distribuido. El valor histórico de 17,274 ms para el percentil 99 corresponde al intervalo received_at − detected_at, es decir, al tramo entre la recepción del evento por el agente y su recepción por el backend. El informe de cierre reporta una reagregación desde la marca posterior a la operación del generador hasta received_at, sobre las mismas 493 observaciones, con media de 11,316 ms, mediana de 12,639 ms, percentil 95 de 16,798 ms y percentil 99 de 17,745 ms. Se trata de un nuevo análisis de datos históricos, no de una nueva corrida. La marca posterior a la operación es una referencia instrumental y no demuestra el instante físico exacto de modificación. La reagregación debe acompañarse de su script y datos de origen. Los valores se obtuvieron sobre un único anfitrión, sin cifrado de transporte en aquella ejecución, y no se extrapolan a un despliegue distribuido.</w:t>
      </w:r>
    </w:p>
    <w:p>
      <w:pPr>
        <w:pStyle w:val="BodyText"/>
      </w:pPr>
      <w:r>
        <w:t xml:space="preserve">La batería histórica produjo 493 eventos sobre 500 operaciones. El cierre técnico identifica las siete operaciones sin evento como segundas operaciones de pares revertidos y señala que sus manifiestos son compatibles con un retorno al contenido de referencia. Sin embargo, no se conservaron trazas contemporáneas de todas las etapas internas del agente. En consecuencia, su causa no puede demostrarse retrospectivamente y no se clasifican como siete falsos negativos comprobados ni como siete descartes legítimos demostrados.</w:t>
      </w:r>
    </w:p>
    <w:p>
      <w:pPr>
        <w:pStyle w:val="BodyText"/>
      </w:pPr>
      <w:r>
        <w:t xml:space="preserve">Para investigar el mecanismo se ejecutó una nueva corrida causal de sesenta operaciones. Cincuenta operaciones reportables recorrieron la cadena de detección, decisión, encolado, publicación, confirmación y persistencia; diez retornos a la baseline activa fueron descartados con la razón matches_active_baseline. La tabla de correlación contiene sesenta operaciones y el extracto del backend contiene cincuenta registros. No hubo ausencias nuevas inexplicadas en esta corrida. El ensayo se realizó sobre ext4, con fanotify dentro de un contenedor con capacidades y servicios aislados en un único anfitrión. La evidencia demuestra el comportamiento observado en esos casos, pero no reconstruye las siete ausencias históricas ni prueba ausencia general de falsos negativos.</w:t>
      </w:r>
    </w:p>
    <w:p>
      <w:pPr>
        <w:pStyle w:val="Heading3"/>
      </w:pPr>
      <w:r>
        <w:t xml:space="preserve">5.2.1 Medición posterior con inicio observado externamente</w:t>
      </w:r>
    </w:p>
    <w:p>
      <w:pPr>
        <w:pStyle w:val="FirstParagraph"/>
      </w:pPr>
      <w:r>
        <w:t xml:space="preserve">Para atender la falta de triangulación temporal se ejecutó una corrida nueva de cien modificaciones sobre el candidato 7df4935, en un laboratorio Compose aislado. Se crearon cien archivos antes de arrancar el agente y se verificaron cien entradas de baseline. Luego el generador aplicó a cada archivo la secuencia open, write, fsync y close, a diez operaciones por segundo. El inicio de cada intervalo es la finalización de close(2), observada por un proceso strace externo (-ttt -T -yy) como marca de entrada más duración de la llamada. El fin es events.received_at, persistido por el backend. El cruce se realizó por ruta única, y una traza opcional del agente confirmó la cobertura de las cien rutas.</w:t>
      </w:r>
    </w:p>
    <w:p>
      <w:pPr>
        <w:pStyle w:val="BodyText"/>
        <w:keepNext/>
      </w:pPr>
      <w:r>
        <w:rPr>
          <w:bCs/>
          <w:b/>
          <w:iCs/>
          <w:i/>
        </w:rPr>
        <w:t xml:space="preserve">Tabla 12b.</w:t>
      </w:r>
      <w:r>
        <w:rPr>
          <w:iCs/>
          <w:i/>
        </w:rPr>
        <w:t xml:space="preserve"> Latencia con inicio observado externamente (corrida posterior)</w:t>
      </w:r>
    </w:p>
    <w:tbl>
      <w:tblPr>
        <w:tblStyle w:val="Table"/>
        <w:tblW w:type="pct" w:w="4910"/>
        <w:jc w:val="start"/>
        <w:tblLook w:firstRow="1" w:lastRow="0" w:firstColumn="0" w:lastColumn="0" w:noHBand="0" w:noVBand="0" w:val="0020"/>
      </w:tblPr>
      <w:tblGrid>
        <w:gridCol w:w="900"/>
        <w:gridCol w:w="1170"/>
        <w:gridCol w:w="1170"/>
        <w:gridCol w:w="1080"/>
        <w:gridCol w:w="1080"/>
        <w:gridCol w:w="1170"/>
        <w:gridCol w:w="1170"/>
        <w:gridCol w:w="1260"/>
      </w:tblGrid>
      <w:tr>
        <w:trPr>
          <w:tblHeader w:val="true"/>
          <w:cantSplit/>
        </w:trPr>
        <w:tc>
          <w:tcPr>
            <w:tcW w:w="900" w:type="dxa"/>
          </w:tcPr>
          <w:p>
            <w:pPr>
              <w:pStyle w:val="Compact"/>
              <w:jc w:val="left"/>
            </w:pPr>
            <w:r>
              <w:rPr>
                <w:bCs/>
                <w:b/>
              </w:rPr>
              <w:t xml:space="preserve">n</w:t>
            </w:r>
          </w:p>
        </w:tc>
        <w:tc>
          <w:tcPr>
            <w:tcW w:w="1170" w:type="dxa"/>
          </w:tcPr>
          <w:p>
            <w:pPr>
              <w:pStyle w:val="Compact"/>
              <w:jc w:val="left"/>
            </w:pPr>
            <w:r>
              <w:rPr>
                <w:bCs/>
                <w:b/>
              </w:rPr>
              <w:t xml:space="preserve">Media (ms)</w:t>
            </w:r>
          </w:p>
        </w:tc>
        <w:tc>
          <w:tcPr>
            <w:tcW w:w="1170" w:type="dxa"/>
          </w:tcPr>
          <w:p>
            <w:pPr>
              <w:pStyle w:val="Compact"/>
              <w:jc w:val="left"/>
            </w:pPr>
            <w:r>
              <w:rPr>
                <w:bCs/>
                <w:b/>
              </w:rPr>
              <w:t xml:space="preserve">Mediana (ms)</w:t>
            </w:r>
          </w:p>
        </w:tc>
        <w:tc>
          <w:tcPr>
            <w:tcW w:w="1080" w:type="dxa"/>
          </w:tcPr>
          <w:p>
            <w:pPr>
              <w:pStyle w:val="Compact"/>
              <w:jc w:val="left"/>
            </w:pPr>
            <w:r>
              <w:rPr>
                <w:bCs/>
                <w:b/>
              </w:rPr>
              <w:t xml:space="preserve">P95 (ms)</w:t>
            </w:r>
          </w:p>
        </w:tc>
        <w:tc>
          <w:tcPr>
            <w:tcW w:w="1080" w:type="dxa"/>
          </w:tcPr>
          <w:p>
            <w:pPr>
              <w:pStyle w:val="Compact"/>
              <w:jc w:val="left"/>
            </w:pPr>
            <w:r>
              <w:rPr>
                <w:bCs/>
                <w:b/>
              </w:rPr>
              <w:t xml:space="preserve">P99 (ms)</w:t>
            </w:r>
          </w:p>
        </w:tc>
        <w:tc>
          <w:tcPr>
            <w:tcW w:w="1170" w:type="dxa"/>
          </w:tcPr>
          <w:p>
            <w:pPr>
              <w:pStyle w:val="Compact"/>
              <w:jc w:val="left"/>
            </w:pPr>
            <w:r>
              <w:rPr>
                <w:bCs/>
                <w:b/>
              </w:rPr>
              <w:t xml:space="preserve">Máximo (ms)</w:t>
            </w:r>
          </w:p>
        </w:tc>
        <w:tc>
          <w:tcPr>
            <w:tcW w:w="1170" w:type="dxa"/>
          </w:tcPr>
          <w:p>
            <w:pPr>
              <w:pStyle w:val="Compact"/>
              <w:jc w:val="left"/>
            </w:pPr>
            <w:r>
              <w:rPr>
                <w:bCs/>
                <w:b/>
              </w:rPr>
              <w:t xml:space="preserve">Umbral P99</w:t>
            </w:r>
          </w:p>
        </w:tc>
        <w:tc>
          <w:tcPr>
            <w:tcW w:w="1260" w:type="dxa"/>
          </w:tcPr>
          <w:p>
            <w:pPr>
              <w:pStyle w:val="Compact"/>
              <w:jc w:val="left"/>
            </w:pPr>
            <w:r>
              <w:rPr>
                <w:bCs/>
                <w:b/>
              </w:rPr>
              <w:t xml:space="preserve">Cumple</w:t>
            </w:r>
          </w:p>
        </w:tc>
      </w:tr>
      <w:tr>
        <w:trPr>
          <w:cantSplit/>
        </w:trPr>
        <w:tc>
          <w:tcPr>
            <w:tcW w:w="900" w:type="dxa"/>
          </w:tcPr>
          <w:p>
            <w:pPr>
              <w:pStyle w:val="Compact"/>
              <w:jc w:val="left"/>
            </w:pPr>
            <w:r>
              <w:t xml:space="preserve">100</w:t>
            </w:r>
          </w:p>
        </w:tc>
        <w:tc>
          <w:tcPr>
            <w:tcW w:w="1170" w:type="dxa"/>
          </w:tcPr>
          <w:p>
            <w:pPr>
              <w:pStyle w:val="Compact"/>
              <w:jc w:val="left"/>
            </w:pPr>
            <w:r>
              <w:t xml:space="preserve">15,260</w:t>
            </w:r>
          </w:p>
        </w:tc>
        <w:tc>
          <w:tcPr>
            <w:tcW w:w="1170" w:type="dxa"/>
          </w:tcPr>
          <w:p>
            <w:pPr>
              <w:pStyle w:val="Compact"/>
              <w:jc w:val="left"/>
            </w:pPr>
            <w:r>
              <w:t xml:space="preserve">13,331</w:t>
            </w:r>
          </w:p>
        </w:tc>
        <w:tc>
          <w:tcPr>
            <w:tcW w:w="1080" w:type="dxa"/>
          </w:tcPr>
          <w:p>
            <w:pPr>
              <w:pStyle w:val="Compact"/>
              <w:jc w:val="left"/>
            </w:pPr>
            <w:r>
              <w:t xml:space="preserve">26,506</w:t>
            </w:r>
          </w:p>
        </w:tc>
        <w:tc>
          <w:tcPr>
            <w:tcW w:w="1080" w:type="dxa"/>
          </w:tcPr>
          <w:p>
            <w:pPr>
              <w:pStyle w:val="Compact"/>
              <w:jc w:val="left"/>
            </w:pPr>
            <w:r>
              <w:t xml:space="preserve">31,533</w:t>
            </w:r>
          </w:p>
        </w:tc>
        <w:tc>
          <w:tcPr>
            <w:tcW w:w="1170" w:type="dxa"/>
          </w:tcPr>
          <w:p>
            <w:pPr>
              <w:pStyle w:val="Compact"/>
              <w:jc w:val="left"/>
            </w:pPr>
            <w:r>
              <w:t xml:space="preserve">31,897</w:t>
            </w:r>
          </w:p>
        </w:tc>
        <w:tc>
          <w:tcPr>
            <w:tcW w:w="1170" w:type="dxa"/>
          </w:tcPr>
          <w:p>
            <w:pPr>
              <w:pStyle w:val="Compact"/>
              <w:jc w:val="left"/>
            </w:pPr>
            <w:r>
              <w:t xml:space="preserve">&lt; 1.000 ms</w:t>
            </w:r>
          </w:p>
        </w:tc>
        <w:tc>
          <w:tcPr>
            <w:tcW w:w="1260" w:type="dxa"/>
          </w:tcPr>
          <w:p>
            <w:pPr>
              <w:pStyle w:val="Compact"/>
              <w:jc w:val="left"/>
            </w:pPr>
            <w:r>
              <w:t xml:space="preserve">Sí, en esta corrida</w:t>
            </w:r>
          </w:p>
        </w:tc>
      </w:tr>
    </w:tbl>
    <w:p>
      <w:pPr>
        <w:pStyle w:val="BodyText"/>
      </w:pPr>
      <w:r>
        <w:rPr>
          <w:bCs/>
          <w:b/>
          <w:iCs/>
          <w:i/>
        </w:rPr>
        <w:t xml:space="preserve">Nota.</w:t>
      </w:r>
      <w:r>
        <w:rPr>
          <w:iCs/>
          <w:i/>
        </w:rPr>
        <w:t xml:space="preserve"> Corrida nueva, no reagregación de las 500 operaciones históricas. Cien de cien modificaciones quedaron correlacionadas y no hubo intervalos negativos; el desvío muestral fue 6,168 ms. El inicio es independiente del reloj del generador, pero el fin sigue siendo la marca productiva del backend. Anfitrión y contenedores comparten el reloj del núcleo, y Valkey operó sin TLS. El valor no se compara aritméticamente con 17,274 ms (tramo (b)→(c)) ni con 17,745 ms (reagregación desde la marca posterior a la operación): mide otro intervalo sobre otra muestra. Un primer intento, en el que el generador no encontró los nombres de archivo esperados y no ejecutó modificaciones, se conserva como inválido y sin resultados. Fuente: experiments-closure-20260912T004612Z/latency/.</w:t>
      </w:r>
    </w:p>
    <w:bookmarkEnd w:id="98"/>
    <w:bookmarkStart w:id="99" w:name="X62f3008977e695259fddbd2a6e3adc1cbc1033e"/>
    <w:p>
      <w:pPr>
        <w:pStyle w:val="Heading2"/>
      </w:pPr>
      <w:r>
        <w:rPr>
          <w:bCs/>
          <w:b/>
        </w:rPr>
        <w:t xml:space="preserve">5.3 Protocolo de medición de tiempo de notificación</w:t>
      </w:r>
    </w:p>
    <w:p>
      <w:pPr>
        <w:pStyle w:val="FirstParagraph"/>
      </w:pPr>
      <w:r>
        <w:t xml:space="preserve">La cuarta batería histórica midió el intervalo entre la recepción del evento por el backend y la aceptación de un webhook por un receptor HTTP de laboratorio. No atravesó n8n ni un proveedor comercial. Aunque el protocolo preveía mil invocaciones y niveles de concurrencia de 1, 10 y 100, el cierre informa 360 operaciones generadas y 329 muestras: 60/60, 99/100 y 170/200, respectivamente. Los valores 1, 50 y 100 describen tasas de emisión en operaciones por segundo mediante un bucle secuencial temporizado, no concurrencia efectiva de solicitudes. La causa del apartamiento del protocolo no quedó documentada.</w:t>
      </w:r>
    </w:p>
    <w:p>
      <w:pPr>
        <w:pStyle w:val="BodyText"/>
      </w:pPr>
      <w:r>
        <w:t>Los percentiles describen únicamente las muestras registradas. Las 31 operaciones sin webhook medido permanecen sin clasificación causal: los datos disponibles no permiten determinar cuántas requerían notificación ni en qué etapa terminó cada una. Por ello no se computan retrospectivamente como entregas ni como fallos. El ensayo documenta tasas de emisión de 1, 50 y 100 operaciones/s mediante un bucle secuencial; no demuestra el criterio original de cien solicitudes concurrentes ni la recepción en un canal externo.</w:t>
      </w:r>
    </w:p>
    <w:p>
      <w:pPr>
        <w:pStyle w:val="BodyText"/>
        <w:keepNext/>
      </w:pPr>
      <w:r>
        <w:rPr>
          <w:bCs/>
          <w:b/>
          <w:iCs/>
          <w:i/>
        </w:rPr>
        <w:t xml:space="preserve">Tabla 13.</w:t>
      </w:r>
      <w:r>
        <w:rPr>
          <w:iCs/>
          <w:i/>
        </w:rPr>
        <w:t xml:space="preserve"> Resultados — Tiempo de notificación</w:t>
      </w:r>
    </w:p>
    <w:tbl>
      <w:tblPr>
        <w:tblStyle w:val="Table"/>
        <w:tblW w:type="pct" w:w="4913"/>
        <w:jc w:val="start"/>
        <w:tblLook w:firstRow="1" w:lastRow="0" w:firstColumn="0" w:lastColumn="0" w:noHBand="0" w:noVBand="0" w:val="0020"/>
      </w:tblPr>
      <w:tblGrid>
        <w:gridCol w:w="2341"/>
        <w:gridCol w:w="1170"/>
        <w:gridCol w:w="1033"/>
        <w:gridCol w:w="1033"/>
        <w:gridCol w:w="1033"/>
        <w:gridCol w:w="1170"/>
      </w:tblGrid>
      <w:tr>
        <w:trPr>
          <w:tblHeader w:val="true"/>
          <w:cantSplit/>
        </w:trPr>
        <w:tc>
          <w:tcPr/>
          <w:p>
            <w:pPr>
              <w:pStyle w:val="Compact"/>
              <w:jc w:val="left"/>
            </w:pPr>
            <w:r>
              <w:rPr>
                <w:bCs/>
                <w:b/>
              </w:rPr>
              <w:t xml:space="preserve">Escenario</w:t>
            </w:r>
          </w:p>
        </w:tc>
        <w:tc>
          <w:tcPr/>
          <w:p>
            <w:pPr>
              <w:pStyle w:val="Compact"/>
              <w:jc w:val="left"/>
            </w:pPr>
            <w:r>
              <w:rPr>
                <w:bCs/>
                <w:b/>
              </w:rPr>
              <w:t xml:space="preserve">Media (ms)</w:t>
            </w:r>
          </w:p>
        </w:tc>
        <w:tc>
          <w:tcPr/>
          <w:p>
            <w:pPr>
              <w:pStyle w:val="Compact"/>
              <w:jc w:val="left"/>
            </w:pPr>
            <w:r>
              <w:rPr>
                <w:bCs/>
                <w:b/>
              </w:rPr>
              <w:t xml:space="preserve">P50 (ms)</w:t>
            </w:r>
          </w:p>
        </w:tc>
        <w:tc>
          <w:tcPr/>
          <w:p>
            <w:pPr>
              <w:pStyle w:val="Compact"/>
              <w:jc w:val="left"/>
            </w:pPr>
            <w:r>
              <w:rPr>
                <w:bCs/>
                <w:b/>
              </w:rPr>
              <w:t xml:space="preserve">P95 (ms)</w:t>
            </w:r>
          </w:p>
        </w:tc>
        <w:tc>
          <w:tcPr/>
          <w:p>
            <w:pPr>
              <w:pStyle w:val="Compact"/>
              <w:jc w:val="left"/>
            </w:pPr>
            <w:r>
              <w:rPr>
                <w:bCs/>
                <w:b/>
              </w:rPr>
              <w:t xml:space="preserve">P99 (ms)</w:t>
            </w:r>
          </w:p>
        </w:tc>
        <w:tc>
          <w:tcPr/>
          <w:p>
            <w:pPr>
              <w:pStyle w:val="Compact"/>
              <w:jc w:val="left"/>
            </w:pPr>
            <w:r>
              <w:rPr>
                <w:bCs/>
                <w:b/>
              </w:rPr>
              <w:t xml:space="preserve">Cumple</w:t>
            </w:r>
          </w:p>
        </w:tc>
      </w:tr>
      <w:tr>
        <w:trPr>
          <w:cantSplit/>
        </w:trPr>
        <w:tc>
          <w:tcPr/>
          <w:p>
            <w:pPr>
              <w:pStyle w:val="Compact"/>
              <w:jc w:val="left"/>
            </w:pPr>
            <w:r>
              <w:t xml:space="preserve">Secuencial (1 operación/s; n=60)</w:t>
            </w:r>
          </w:p>
        </w:tc>
        <w:tc>
          <w:tcPr/>
          <w:p>
            <w:pPr>
              <w:pStyle w:val="Compact"/>
              <w:jc w:val="left"/>
            </w:pPr>
            <w:r>
              <w:t xml:space="preserve">47,6</w:t>
            </w:r>
          </w:p>
        </w:tc>
        <w:tc>
          <w:tcPr/>
          <w:p>
            <w:pPr>
              <w:pStyle w:val="Compact"/>
              <w:jc w:val="left"/>
            </w:pPr>
            <w:r>
              <w:t xml:space="preserve">49,2</w:t>
            </w:r>
          </w:p>
        </w:tc>
        <w:tc>
          <w:tcPr/>
          <w:p>
            <w:pPr>
              <w:pStyle w:val="Compact"/>
              <w:jc w:val="left"/>
            </w:pPr>
            <w:r>
              <w:t xml:space="preserve">55,8</w:t>
            </w:r>
          </w:p>
        </w:tc>
        <w:tc>
          <w:tcPr/>
          <w:p>
            <w:pPr>
              <w:pStyle w:val="Compact"/>
              <w:jc w:val="left"/>
            </w:pPr>
            <w:r>
              <w:t xml:space="preserve">63,4</w:t>
            </w:r>
          </w:p>
        </w:tc>
        <w:tc>
          <w:tcPr/>
          <w:p>
            <w:pPr>
              <w:pStyle w:val="Compact"/>
              <w:jc w:val="left"/>
            </w:pPr>
            <w:r>
              <w:t xml:space="preserve">Sí, para la muestra</w:t>
            </w:r>
          </w:p>
        </w:tc>
      </w:tr>
      <w:tr>
        <w:trPr>
          <w:cantSplit/>
        </w:trPr>
        <w:tc>
          <w:tcPr/>
          <w:p>
            <w:pPr>
              <w:pStyle w:val="Compact"/>
              <w:jc w:val="left"/>
            </w:pPr>
            <w:r>
              <w:t xml:space="preserve">Tasa moderada (50 operaciones/s; n=99)</w:t>
            </w:r>
          </w:p>
        </w:tc>
        <w:tc>
          <w:tcPr/>
          <w:p>
            <w:pPr>
              <w:pStyle w:val="Compact"/>
              <w:jc w:val="left"/>
            </w:pPr>
            <w:r>
              <w:t xml:space="preserve">50,1</w:t>
            </w:r>
          </w:p>
        </w:tc>
        <w:tc>
          <w:tcPr/>
          <w:p>
            <w:pPr>
              <w:pStyle w:val="Compact"/>
              <w:jc w:val="left"/>
            </w:pPr>
            <w:r>
              <w:t xml:space="preserve">48,7</w:t>
            </w:r>
          </w:p>
        </w:tc>
        <w:tc>
          <w:tcPr/>
          <w:p>
            <w:pPr>
              <w:pStyle w:val="Compact"/>
              <w:jc w:val="left"/>
            </w:pPr>
            <w:r>
              <w:t xml:space="preserve">69,8</w:t>
            </w:r>
          </w:p>
        </w:tc>
        <w:tc>
          <w:tcPr/>
          <w:p>
            <w:pPr>
              <w:pStyle w:val="Compact"/>
              <w:jc w:val="left"/>
            </w:pPr>
            <w:r>
              <w:t xml:space="preserve">80,7</w:t>
            </w:r>
          </w:p>
        </w:tc>
        <w:tc>
          <w:tcPr/>
          <w:p>
            <w:pPr>
              <w:pStyle w:val="Compact"/>
              <w:jc w:val="left"/>
            </w:pPr>
            <w:r>
              <w:t xml:space="preserve">Parcial</w:t>
            </w:r>
          </w:p>
        </w:tc>
      </w:tr>
      <w:tr>
        <w:trPr>
          <w:cantSplit/>
        </w:trPr>
        <w:tc>
          <w:tcPr/>
          <w:p>
            <w:pPr>
              <w:pStyle w:val="Compact"/>
              <w:jc w:val="left"/>
            </w:pPr>
            <w:r>
              <w:t xml:space="preserve">Tasa alta (100 operaciones/s; n=170)</w:t>
            </w:r>
          </w:p>
        </w:tc>
        <w:tc>
          <w:tcPr/>
          <w:p>
            <w:pPr>
              <w:pStyle w:val="Compact"/>
              <w:jc w:val="left"/>
            </w:pPr>
            <w:r>
              <w:t xml:space="preserve">45,6</w:t>
            </w:r>
          </w:p>
        </w:tc>
        <w:tc>
          <w:tcPr/>
          <w:p>
            <w:pPr>
              <w:pStyle w:val="Compact"/>
              <w:jc w:val="left"/>
            </w:pPr>
            <w:r>
              <w:t xml:space="preserve">44,3</w:t>
            </w:r>
          </w:p>
        </w:tc>
        <w:tc>
          <w:tcPr/>
          <w:p>
            <w:pPr>
              <w:pStyle w:val="Compact"/>
              <w:jc w:val="left"/>
            </w:pPr>
            <w:r>
              <w:t xml:space="preserve">66,7</w:t>
            </w:r>
          </w:p>
        </w:tc>
        <w:tc>
          <w:tcPr/>
          <w:p>
            <w:pPr>
              <w:pStyle w:val="Compact"/>
              <w:jc w:val="left"/>
            </w:pPr>
            <w:r>
              <w:t xml:space="preserve">85,5</w:t>
            </w:r>
          </w:p>
        </w:tc>
        <w:tc>
          <w:tcPr/>
          <w:p>
            <w:pPr>
              <w:pStyle w:val="Compact"/>
              <w:jc w:val="left"/>
            </w:pPr>
            <w:r>
              <w:t xml:space="preserve">Parcial</w:t>
            </w:r>
          </w:p>
        </w:tc>
      </w:tr>
    </w:tbl>
    <w:p>
      <w:pPr>
        <w:pStyle w:val="BodyText"/>
      </w:pPr>
      <w:r>
        <w:rPr>
          <w:bCs/>
          <w:b/>
          <w:iCs/>
          <w:i/>
        </w:rPr>
        <w:t xml:space="preserve">Nota.</w:t>
      </w:r>
      <w:r>
        <w:rPr>
          <w:iCs/>
          <w:i/>
        </w:rPr>
        <w:t xml:space="preserve"> Los escenarios corresponden a tasas de emisión de 1, 50 y 100 operaciones por segundo, con 60, 99 y 170 webhooks medidos. La medición termina en la aceptación por el receptor HTTP de laboratorio. No acredita concurrencia de cien solicitudes, ejecución de n8n ni entrega comercial. Los valores son descriptivos de las muestras registradas y no incluyen un análisis causal de las 31 operaciones sin webhook medido.</w:t>
      </w:r>
    </w:p>
    <w:p>
      <w:pPr>
        <w:pStyle w:val="Heading3"/>
      </w:pPr>
      <w:r>
        <w:t xml:space="preserve">5.3.1 Ensayo posterior con cien solicitudes simultáneas</w:t>
      </w:r>
    </w:p>
    <w:p>
      <w:pPr>
        <w:pStyle w:val="FirstParagraph"/>
      </w:pPr>
      <w:r>
        <w:t xml:space="preserve">La batería histórica no ejercitó el criterio de cien solicitudes concurrentes. Un ensayo posterior importó la función productiva de envío send_n8n desde el candidato 7df4935 y lanzó cien corrutinas que esperaron en una barrera común; las cien estaban listas antes de liberarla. Cada corrutina fijó received_at inmediatamente después de la barrera y envió un payload sintético identificable a un receptor HTTP local controlado. El receptor selló la recepción antes de procesar el cuerpo y retuvo cada solicitud 50 ms después del sello, para hacer observable el solapamiento sin alterar esa marca.</w:t>
      </w:r>
    </w:p>
    <w:p>
      <w:pPr>
        <w:pStyle w:val="FirstParagraph"/>
      </w:pPr>
      <w:r>
        <w:t xml:space="preserve">El primer intento registró 88 solicitudes aceptadas y 12 fallidas, con un máximo de 49 solicitudes activas, y no cumplió el requisito de denominador completo. Se conserva como intento fallido. La repetición modificó sólo el receptor de laboratorio: amplió su cola de conexiones pendientes (request_queue_size) de 5, valor predeterminado de la biblioteca estándar de Python, a 256. El criterio, la función evaluada, el payload y el umbral no cambiaron. El intento fallido no se atribuye a un defecto del producto, pero muestra que el resultado depende de la capacidad del receptor.</w:t>
      </w:r>
    </w:p>
    <w:p>
      <w:pPr>
        <w:pStyle w:val="BodyText"/>
        <w:keepNext/>
      </w:pPr>
      <w:r>
        <w:rPr>
          <w:bCs/>
          <w:b/>
          <w:iCs/>
          <w:i/>
        </w:rPr>
        <w:t xml:space="preserve">Tabla 13a.</w:t>
      </w:r>
      <w:r>
        <w:rPr>
          <w:iCs/>
          <w:i/>
        </w:rPr>
        <w:t xml:space="preserve"> Notificación con cien solicitudes simultáneas (ensayo posterior)</w:t>
      </w:r>
    </w:p>
    <w:tbl>
      <w:tblPr>
        <w:tblStyle w:val="Table"/>
        <w:tblW w:type="pct" w:w="4910"/>
        <w:jc w:val="start"/>
        <w:tblLook w:firstRow="1" w:lastRow="0" w:firstColumn="0" w:lastColumn="0" w:noHBand="0" w:noVBand="0" w:val="0020"/>
      </w:tblPr>
      <w:tblGrid>
        <w:gridCol w:w="1189"/>
        <w:gridCol w:w="1104"/>
        <w:gridCol w:w="1019"/>
        <w:gridCol w:w="934"/>
        <w:gridCol w:w="1019"/>
        <w:gridCol w:w="1019"/>
        <w:gridCol w:w="1189"/>
        <w:gridCol w:w="1528"/>
      </w:tblGrid>
      <w:tr>
        <w:trPr>
          <w:tblHeader w:val="true"/>
          <w:cantSplit/>
        </w:trPr>
        <w:tc>
          <w:tcPr>
            <w:tcW w:w="1189" w:type="dxa"/>
          </w:tcPr>
          <w:p>
            <w:pPr>
              <w:pStyle w:val="Compact"/>
              <w:jc w:val="left"/>
            </w:pPr>
            <w:r>
              <w:rPr>
                <w:bCs/>
                <w:b/>
              </w:rPr>
              <w:t xml:space="preserve">Intento</w:t>
            </w:r>
          </w:p>
        </w:tc>
        <w:tc>
          <w:tcPr>
            <w:tcW w:w="1104" w:type="dxa"/>
          </w:tcPr>
          <w:p>
            <w:pPr>
              <w:pStyle w:val="Compact"/>
              <w:jc w:val="left"/>
            </w:pPr>
            <w:r>
              <w:rPr>
                <w:bCs/>
                <w:b/>
              </w:rPr>
              <w:t xml:space="preserve">Listas antes de la barrera</w:t>
            </w:r>
          </w:p>
        </w:tc>
        <w:tc>
          <w:tcPr>
            <w:tcW w:w="1019" w:type="dxa"/>
          </w:tcPr>
          <w:p>
            <w:pPr>
              <w:pStyle w:val="Compact"/>
              <w:jc w:val="left"/>
            </w:pPr>
            <w:r>
              <w:rPr>
                <w:bCs/>
                <w:b/>
              </w:rPr>
              <w:t xml:space="preserve">Aceptadas</w:t>
            </w:r>
          </w:p>
        </w:tc>
        <w:tc>
          <w:tcPr>
            <w:tcW w:w="934" w:type="dxa"/>
          </w:tcPr>
          <w:p>
            <w:pPr>
              <w:pStyle w:val="Compact"/>
              <w:jc w:val="left"/>
            </w:pPr>
            <w:r>
              <w:rPr>
                <w:bCs/>
                <w:b/>
              </w:rPr>
              <w:t xml:space="preserve">Máx. activas</w:t>
            </w:r>
          </w:p>
        </w:tc>
        <w:tc>
          <w:tcPr>
            <w:tcW w:w="1019" w:type="dxa"/>
          </w:tcPr>
          <w:p>
            <w:pPr>
              <w:pStyle w:val="Compact"/>
              <w:jc w:val="left"/>
            </w:pPr>
            <w:r>
              <w:rPr>
                <w:bCs/>
                <w:b/>
              </w:rPr>
              <w:t xml:space="preserve">P50 (ms)</w:t>
            </w:r>
          </w:p>
        </w:tc>
        <w:tc>
          <w:tcPr>
            <w:tcW w:w="1019" w:type="dxa"/>
          </w:tcPr>
          <w:p>
            <w:pPr>
              <w:pStyle w:val="Compact"/>
              <w:jc w:val="left"/>
            </w:pPr>
            <w:r>
              <w:rPr>
                <w:bCs/>
                <w:b/>
              </w:rPr>
              <w:t xml:space="preserve">P95 (ms)</w:t>
            </w:r>
          </w:p>
        </w:tc>
        <w:tc>
          <w:tcPr>
            <w:tcW w:w="1189" w:type="dxa"/>
          </w:tcPr>
          <w:p>
            <w:pPr>
              <w:pStyle w:val="Compact"/>
              <w:jc w:val="left"/>
            </w:pPr>
            <w:r>
              <w:rPr>
                <w:bCs/>
                <w:b/>
              </w:rPr>
              <w:t xml:space="preserve">P99 (ms)</w:t>
            </w:r>
          </w:p>
        </w:tc>
        <w:tc>
          <w:tcPr>
            <w:tcW w:w="1528" w:type="dxa"/>
          </w:tcPr>
          <w:p>
            <w:pPr>
              <w:pStyle w:val="Compact"/>
              <w:jc w:val="left"/>
            </w:pPr>
            <w:r>
              <w:rPr>
                <w:bCs/>
                <w:b/>
              </w:rPr>
              <w:t xml:space="preserve">Cumple</w:t>
            </w:r>
          </w:p>
        </w:tc>
      </w:tr>
      <w:tr>
        <w:trPr>
          <w:cantSplit/>
        </w:trPr>
        <w:tc>
          <w:tcPr>
            <w:tcW w:w="1189" w:type="dxa"/>
          </w:tcPr>
          <w:p>
            <w:pPr>
              <w:pStyle w:val="Compact"/>
              <w:jc w:val="left"/>
            </w:pPr>
            <w:r>
              <w:t xml:space="preserve">1 (fallido, preservado)</w:t>
            </w:r>
          </w:p>
        </w:tc>
        <w:tc>
          <w:tcPr>
            <w:tcW w:w="1104" w:type="dxa"/>
          </w:tcPr>
          <w:p>
            <w:pPr>
              <w:pStyle w:val="Compact"/>
              <w:jc w:val="left"/>
            </w:pPr>
            <w:r>
              <w:t xml:space="preserve">100</w:t>
            </w:r>
          </w:p>
        </w:tc>
        <w:tc>
          <w:tcPr>
            <w:tcW w:w="1019" w:type="dxa"/>
          </w:tcPr>
          <w:p>
            <w:pPr>
              <w:pStyle w:val="Compact"/>
              <w:jc w:val="left"/>
            </w:pPr>
            <w:r>
              <w:t xml:space="preserve">88/100</w:t>
            </w:r>
          </w:p>
        </w:tc>
        <w:tc>
          <w:tcPr>
            <w:tcW w:w="934" w:type="dxa"/>
          </w:tcPr>
          <w:p>
            <w:pPr>
              <w:pStyle w:val="Compact"/>
              <w:jc w:val="left"/>
            </w:pPr>
            <w:r>
              <w:t xml:space="preserve">49</w:t>
            </w:r>
          </w:p>
        </w:tc>
        <w:tc>
          <w:tcPr>
            <w:tcW w:w="1019" w:type="dxa"/>
          </w:tcPr>
          <w:p>
            <w:pPr>
              <w:pStyle w:val="Compact"/>
              <w:jc w:val="left"/>
            </w:pPr>
            <w:r>
              <w:t xml:space="preserve">609,933</w:t>
            </w:r>
          </w:p>
        </w:tc>
        <w:tc>
          <w:tcPr>
            <w:tcW w:w="1019" w:type="dxa"/>
          </w:tcPr>
          <w:p>
            <w:pPr>
              <w:pStyle w:val="Compact"/>
              <w:jc w:val="left"/>
            </w:pPr>
            <w:r>
              <w:t xml:space="preserve">1.496,556</w:t>
            </w:r>
          </w:p>
        </w:tc>
        <w:tc>
          <w:tcPr>
            <w:tcW w:w="1189" w:type="dxa"/>
          </w:tcPr>
          <w:p>
            <w:pPr>
              <w:pStyle w:val="Compact"/>
              <w:jc w:val="left"/>
            </w:pPr>
            <w:r>
              <w:t xml:space="preserve">1.615,443 (n = 88)</w:t>
            </w:r>
          </w:p>
        </w:tc>
        <w:tc>
          <w:tcPr>
            <w:tcW w:w="1528" w:type="dxa"/>
          </w:tcPr>
          <w:p>
            <w:pPr>
              <w:pStyle w:val="Compact"/>
              <w:jc w:val="left"/>
            </w:pPr>
            <w:r>
              <w:t xml:space="preserve">No: denominador incompleto</w:t>
            </w:r>
          </w:p>
        </w:tc>
      </w:tr>
      <w:tr>
        <w:trPr>
          <w:cantSplit/>
        </w:trPr>
        <w:tc>
          <w:tcPr>
            <w:tcW w:w="1189" w:type="dxa"/>
          </w:tcPr>
          <w:p>
            <w:pPr>
              <w:pStyle w:val="Compact"/>
              <w:jc w:val="left"/>
            </w:pPr>
            <w:r>
              <w:t xml:space="preserve">2 (repetición)</w:t>
            </w:r>
          </w:p>
        </w:tc>
        <w:tc>
          <w:tcPr>
            <w:tcW w:w="1104" w:type="dxa"/>
          </w:tcPr>
          <w:p>
            <w:pPr>
              <w:pStyle w:val="Compact"/>
              <w:jc w:val="left"/>
            </w:pPr>
            <w:r>
              <w:t xml:space="preserve">100</w:t>
            </w:r>
          </w:p>
        </w:tc>
        <w:tc>
          <w:tcPr>
            <w:tcW w:w="1019" w:type="dxa"/>
          </w:tcPr>
          <w:p>
            <w:pPr>
              <w:pStyle w:val="Compact"/>
              <w:jc w:val="left"/>
            </w:pPr>
            <w:r>
              <w:t xml:space="preserve">100/100</w:t>
            </w:r>
          </w:p>
        </w:tc>
        <w:tc>
          <w:tcPr>
            <w:tcW w:w="934" w:type="dxa"/>
          </w:tcPr>
          <w:p>
            <w:pPr>
              <w:pStyle w:val="Compact"/>
              <w:jc w:val="left"/>
            </w:pPr>
            <w:r>
              <w:t xml:space="preserve">100</w:t>
            </w:r>
          </w:p>
        </w:tc>
        <w:tc>
          <w:tcPr>
            <w:tcW w:w="1019" w:type="dxa"/>
          </w:tcPr>
          <w:p>
            <w:pPr>
              <w:pStyle w:val="Compact"/>
              <w:jc w:val="left"/>
            </w:pPr>
            <w:r>
              <w:t xml:space="preserve">354,850</w:t>
            </w:r>
          </w:p>
        </w:tc>
        <w:tc>
          <w:tcPr>
            <w:tcW w:w="1019" w:type="dxa"/>
          </w:tcPr>
          <w:p>
            <w:pPr>
              <w:pStyle w:val="Compact"/>
              <w:jc w:val="left"/>
            </w:pPr>
            <w:r>
              <w:t xml:space="preserve">595,037</w:t>
            </w:r>
          </w:p>
        </w:tc>
        <w:tc>
          <w:tcPr>
            <w:tcW w:w="1189" w:type="dxa"/>
          </w:tcPr>
          <w:p>
            <w:pPr>
              <w:pStyle w:val="Compact"/>
              <w:jc w:val="left"/>
            </w:pPr>
            <w:r>
              <w:t xml:space="preserve">616,626</w:t>
            </w:r>
          </w:p>
        </w:tc>
        <w:tc>
          <w:tcPr>
            <w:tcW w:w="1528" w:type="dxa"/>
          </w:tcPr>
          <w:p>
            <w:pPr>
              <w:pStyle w:val="Compact"/>
              <w:jc w:val="left"/>
            </w:pPr>
            <w:r>
              <w:t xml:space="preserve">Sí, en el tramo ensayado</w:t>
            </w:r>
          </w:p>
        </w:tc>
      </w:tr>
    </w:tbl>
    <w:p>
      <w:pPr>
        <w:pStyle w:val="BodyText"/>
      </w:pPr>
      <w:r>
        <w:rPr>
          <w:bCs/>
          <w:b/>
          <w:iCs/>
          <w:i/>
        </w:rPr>
        <w:t xml:space="preserve">Nota.</w:t>
      </w:r>
      <w:r>
        <w:rPr>
          <w:iCs/>
          <w:i/>
        </w:rPr>
        <w:t xml:space="preserve"> Intervalo: received_at fijado tras la barrera → aceptación del receptor controlado, medido sobre la función productiva send_n8n. El inicio es simulado y no incluye ingesta ni persistencia del evento. En la repetición, el tiempo de ida y vuelta del cliente tuvo P99 de 712,668 ms. La clase del receptor también declara daemon_threads=True, igual al valor predeterminado de ThreadingHTTPServer. El ensayo no atraviesa n8n, SMTP, proveedores comerciales, reintentos ni un segundo anfitrión; no constituye validación integral ni evidencia de comportamiento productivo. Fuente: experiments-closure-20260912T004612Z/concurrency/.</w:t>
      </w:r>
    </w:p>
    <w:bookmarkEnd w:id="99"/>
    <w:bookmarkStart w:id="100" w:name="X7e8287fd035df99a9837cd1e3f21b22c3bc3a71"/>
    <w:p>
      <w:pPr>
        <w:pStyle w:val="Heading2"/>
      </w:pPr>
      <w:r>
        <w:rPr>
          <w:bCs/>
          <w:b/>
        </w:rPr>
        <w:t xml:space="preserve">5.4 Protocolo de cobertura de automatización del triage</w:t>
      </w:r>
    </w:p>
    <w:p>
      <w:pPr>
        <w:pStyle w:val="FirstParagraph"/>
      </w:pPr>
      <w:r>
        <w:t xml:space="preserve">La sexta batería del protocolo evalúa la cobertura de automatización mediante análisis contra la checklist derivada de la revisión 2 de NIST SP 800-61, texto retirado en abril de 2025 conforme se explica en el apartado 2.7; la numeración de secciones de la Tabla 14 corresponde a esa revisión. Cada tarea se clasifica como automatizada, automatizable pero manual por diseño, o necesariamente manual por requerir juicio experto.</w:t>
      </w:r>
    </w:p>
    <w:p>
      <w:pPr>
        <w:pStyle w:val="BodyText"/>
        <w:keepNext/>
      </w:pPr>
      <w:r>
        <w:rPr>
          <w:bCs/>
          <w:b/>
          <w:iCs/>
          <w:i/>
        </w:rPr>
        <w:t xml:space="preserve">Tabla 14.</w:t>
      </w:r>
      <w:r>
        <w:rPr>
          <w:iCs/>
          <w:i/>
        </w:rPr>
        <w:t xml:space="preserve"> Resultados — Cobertura de automatización del triage</w:t>
      </w:r>
    </w:p>
    <w:tbl>
      <w:tblPr>
        <w:tblStyle w:val="Table"/>
        <w:tblW w:type="pct" w:w="4964"/>
        <w:jc w:val="start"/>
        <w:tblLook w:firstRow="1" w:lastRow="0" w:firstColumn="0" w:lastColumn="0" w:noHBand="0" w:noVBand="0" w:val="0020"/>
      </w:tblPr>
      <w:tblGrid>
        <w:gridCol w:w="173"/>
        <w:gridCol w:w="1464"/>
        <w:gridCol w:w="1175"/>
        <w:gridCol w:w="366"/>
        <w:gridCol w:w="4682"/>
      </w:tblGrid>
      <w:tr>
        <w:trPr>
          <w:tblHeader w:val="true"/>
          <w:cantSplit/>
        </w:trPr>
        <w:tc>
          <w:tcPr/>
          <w:p>
            <w:pPr>
              <w:pStyle w:val="Compact"/>
              <w:jc w:val="left"/>
            </w:pPr>
            <w:r>
              <w:rPr>
                <w:bCs/>
                <w:b/>
              </w:rPr>
              <w:t xml:space="preserve">N.</w:t>
            </w:r>
          </w:p>
        </w:tc>
        <w:tc>
          <w:tcPr/>
          <w:p>
            <w:pPr>
              <w:pStyle w:val="Compact"/>
              <w:jc w:val="left"/>
            </w:pPr>
            <w:r>
              <w:rPr>
                <w:bCs/>
                <w:b/>
              </w:rPr>
              <w:t xml:space="preserve">Tarea NIST SP 800-61r2</w:t>
            </w:r>
          </w:p>
        </w:tc>
        <w:tc>
          <w:tcPr/>
          <w:p>
            <w:pPr>
              <w:pStyle w:val="Compact"/>
              <w:jc w:val="left"/>
            </w:pPr>
            <w:r>
              <w:rPr>
                <w:bCs/>
                <w:b/>
              </w:rPr>
              <w:t xml:space="preserve">Sección del marco</w:t>
            </w:r>
          </w:p>
        </w:tc>
        <w:tc>
          <w:tcPr/>
          <w:p>
            <w:pPr>
              <w:pStyle w:val="Compact"/>
              <w:jc w:val="left"/>
            </w:pPr>
            <w:r>
              <w:rPr>
                <w:bCs/>
                <w:b/>
              </w:rPr>
              <w:t xml:space="preserve">Automatizada</w:t>
            </w:r>
          </w:p>
        </w:tc>
        <w:tc>
          <w:tcPr/>
          <w:p>
            <w:pPr>
              <w:pStyle w:val="Compact"/>
              <w:jc w:val="left"/>
            </w:pPr>
            <w:r>
              <w:rPr>
                <w:bCs/>
                <w:b/>
              </w:rPr>
              <w:t xml:space="preserve">Componente que la ejecuta</w:t>
            </w:r>
          </w:p>
        </w:tc>
      </w:tr>
      <w:tr>
        <w:trPr>
          <w:cantSplit/>
        </w:trPr>
        <w:tc>
          <w:tcPr/>
          <w:p>
            <w:pPr>
              <w:pStyle w:val="Compact"/>
              <w:jc w:val="left"/>
            </w:pPr>
            <w:r>
              <w:t xml:space="preserve">1</w:t>
            </w:r>
          </w:p>
        </w:tc>
        <w:tc>
          <w:tcPr/>
          <w:p>
            <w:pPr>
              <w:pStyle w:val="Compact"/>
              <w:jc w:val="left"/>
            </w:pPr>
            <w:r>
              <w:t xml:space="preserve">Recepción del evento inicial con metadatos.</w:t>
            </w:r>
          </w:p>
        </w:tc>
        <w:tc>
          <w:tcPr/>
          <w:p>
            <w:pPr>
              <w:pStyle w:val="Compact"/>
              <w:jc w:val="left"/>
            </w:pPr>
            <w:r>
              <w:t xml:space="preserve">3.2.3, y Apéndice B sobre elementos de datos del incidente</w:t>
            </w:r>
          </w:p>
        </w:tc>
        <w:tc>
          <w:tcPr/>
          <w:p>
            <w:pPr>
              <w:pStyle w:val="Compact"/>
              <w:jc w:val="left"/>
            </w:pPr>
            <w:r>
              <w:t>Sí</w:t>
            </w:r>
          </w:p>
        </w:tc>
        <w:tc>
          <w:tcPr/>
          <w:p>
            <w:pPr>
              <w:pStyle w:val="Compact"/>
              <w:jc w:val="left"/>
            </w:pPr>
            <w: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trPr>
        <w:tc>
          <w:tcPr/>
          <w:p>
            <w:pPr>
              <w:pStyle w:val="Compact"/>
              <w:jc w:val="left"/>
            </w:pPr>
            <w:r>
              <w:t xml:space="preserve">2</w:t>
            </w:r>
          </w:p>
        </w:tc>
        <w:tc>
          <w:tcPr/>
          <w:p>
            <w:pPr>
              <w:pStyle w:val="Compact"/>
              <w:jc w:val="left"/>
            </w:pPr>
            <w:r>
              <w:t xml:space="preserve">Cálculo del hash actualizado del archivo.</w:t>
            </w:r>
          </w:p>
        </w:tc>
        <w:tc>
          <w:tcPr/>
          <w:p>
            <w:pPr>
              <w:pStyle w:val="Compact"/>
              <w:jc w:val="left"/>
            </w:pPr>
            <w:r>
              <w:t xml:space="preserve">3.2.4</w:t>
            </w:r>
          </w:p>
        </w:tc>
        <w:tc>
          <w:tcPr/>
          <w:p>
            <w:pPr>
              <w:pStyle w:val="Compact"/>
              <w:jc w:val="left"/>
            </w:pPr>
            <w:r>
              <w:t>Sí</w:t>
            </w:r>
          </w:p>
        </w:tc>
        <w:tc>
          <w:tcPr/>
          <w:p>
            <w:pPr>
              <w:pStyle w:val="Compact"/>
              <w:jc w:val="left"/>
            </w:pPr>
            <w:r>
              <w:t xml:space="preserve">Detector del agente</w:t>
            </w:r>
          </w:p>
        </w:tc>
      </w:tr>
      <w:tr>
        <w:trPr>
          <w:cantSplit/>
        </w:trPr>
        <w:tc>
          <w:tcPr/>
          <w:p>
            <w:pPr>
              <w:pStyle w:val="Compact"/>
              <w:jc w:val="left"/>
            </w:pPr>
            <w:r>
              <w:t xml:space="preserve">3</w:t>
            </w:r>
          </w:p>
        </w:tc>
        <w:tc>
          <w:tcPr/>
          <w:p>
            <w:pPr>
              <w:pStyle w:val="Compact"/>
              <w:jc w:val="left"/>
            </w:pPr>
            <w:r>
              <w:t xml:space="preserve">Comparación contra la baseline vigente.</w:t>
            </w:r>
          </w:p>
        </w:tc>
        <w:tc>
          <w:tcPr/>
          <w:p>
            <w:pPr>
              <w:pStyle w:val="Compact"/>
              <w:jc w:val="left"/>
            </w:pPr>
            <w:r>
              <w:t xml:space="preserve">3.2.4</w:t>
            </w:r>
          </w:p>
        </w:tc>
        <w:tc>
          <w:tcPr/>
          <w:p>
            <w:pPr>
              <w:pStyle w:val="Compact"/>
              <w:jc w:val="left"/>
            </w:pPr>
            <w:r>
              <w:t>Sí</w:t>
            </w:r>
          </w:p>
        </w:tc>
        <w:tc>
          <w:tcPr/>
          <w:p>
            <w:pPr>
              <w:pStyle w:val="Compact"/>
              <w:jc w:val="left"/>
            </w:pPr>
            <w:r>
              <w:t xml:space="preserve">Detector del agente</w:t>
            </w:r>
          </w:p>
        </w:tc>
      </w:tr>
      <w:tr>
        <w:trPr>
          <w:cantSplit/>
        </w:trPr>
        <w:tc>
          <w:tcPr/>
          <w:p>
            <w:pPr>
              <w:pStyle w:val="Compact"/>
              <w:jc w:val="left"/>
            </w:pPr>
            <w:r>
              <w:t xml:space="preserve">4</w:t>
            </w:r>
          </w:p>
        </w:tc>
        <w:tc>
          <w:tcPr/>
          <w:p>
            <w:pPr>
              <w:pStyle w:val="Compact"/>
              <w:jc w:val="left"/>
            </w:pPr>
            <w:r>
              <w:t xml:space="preserve">Identificación del tipo de cambio.</w:t>
            </w:r>
          </w:p>
        </w:tc>
        <w:tc>
          <w:tcPr/>
          <w:p>
            <w:pPr>
              <w:pStyle w:val="Compact"/>
              <w:jc w:val="left"/>
            </w:pPr>
            <w:r>
              <w:t xml:space="preserve">3.2.2</w:t>
            </w:r>
          </w:p>
        </w:tc>
        <w:tc>
          <w:tcPr/>
          <w:p>
            <w:pPr>
              <w:pStyle w:val="Compact"/>
              <w:jc w:val="left"/>
            </w:pPr>
            <w:r>
              <w:t>Sí</w:t>
            </w:r>
          </w:p>
        </w:tc>
        <w:tc>
          <w:tcPr/>
          <w:p>
            <w:pPr>
              <w:pStyle w:val="Compact"/>
              <w:jc w:val="left"/>
            </w:pPr>
            <w:r>
              <w:t xml:space="preserve">Detector del agente</w:t>
            </w:r>
          </w:p>
        </w:tc>
      </w:tr>
      <w:tr>
        <w:trPr>
          <w:cantSplit/>
        </w:trPr>
        <w:tc>
          <w:tcPr/>
          <w:p>
            <w:pPr>
              <w:pStyle w:val="Compact"/>
              <w:jc w:val="left"/>
            </w:pPr>
            <w:r>
              <w:t xml:space="preserve">5</w:t>
            </w:r>
          </w:p>
        </w:tc>
        <w:tc>
          <w:tcPr/>
          <w:p>
            <w:pPr>
              <w:pStyle w:val="Compact"/>
              <w:jc w:val="left"/>
            </w:pPr>
            <w:r>
              <w:t xml:space="preserve">Consulta de reglas aplicables al path.</w:t>
            </w:r>
          </w:p>
        </w:tc>
        <w:tc>
          <w:tcPr/>
          <w:p>
            <w:pPr>
              <w:pStyle w:val="Compact"/>
              <w:jc w:val="left"/>
            </w:pPr>
            <w:r>
              <w:t xml:space="preserve">3.2.4</w:t>
            </w:r>
          </w:p>
        </w:tc>
        <w:tc>
          <w:tcPr/>
          <w:p>
            <w:pPr>
              <w:pStyle w:val="Compact"/>
              <w:jc w:val="left"/>
            </w:pPr>
            <w:r>
              <w:t>Sí</w:t>
            </w:r>
          </w:p>
        </w:tc>
        <w:tc>
          <w:tcPr/>
          <w:p>
            <w:pPr>
              <w:pStyle w:val="Compact"/>
              <w:jc w:val="left"/>
            </w:pPr>
            <w:r>
              <w:t xml:space="preserve">Motor de reglas del agente</w:t>
            </w:r>
          </w:p>
        </w:tc>
      </w:tr>
      <w:tr>
        <w:trPr>
          <w:cantSplit/>
        </w:trPr>
        <w:tc>
          <w:tcPr/>
          <w:p>
            <w:pPr>
              <w:pStyle w:val="Compact"/>
              <w:jc w:val="left"/>
            </w:pPr>
            <w:r>
              <w:t xml:space="preserve">6</w:t>
            </w:r>
          </w:p>
        </w:tc>
        <w:tc>
          <w:tcPr/>
          <w:p>
            <w:pPr>
              <w:pStyle w:val="Compact"/>
              <w:jc w:val="left"/>
            </w:pPr>
            <w:r>
              <w:t xml:space="preserve">Asignación de severidad según regla.</w:t>
            </w:r>
          </w:p>
        </w:tc>
        <w:tc>
          <w:tcPr/>
          <w:p>
            <w:pPr>
              <w:pStyle w:val="Compact"/>
              <w:jc w:val="left"/>
            </w:pPr>
            <w:r>
              <w:t xml:space="preserve">3.2.6</w:t>
            </w:r>
          </w:p>
        </w:tc>
        <w:tc>
          <w:tcPr/>
          <w:p>
            <w:pPr>
              <w:pStyle w:val="Compact"/>
              <w:jc w:val="left"/>
            </w:pPr>
            <w:r>
              <w:t>Sí</w:t>
            </w:r>
          </w:p>
        </w:tc>
        <w:tc>
          <w:tcPr/>
          <w:p>
            <w:pPr>
              <w:pStyle w:val="Compact"/>
              <w:jc w:val="left"/>
            </w:pPr>
            <w:r>
              <w:t xml:space="preserve">Servicio de alertas del backend</w:t>
            </w:r>
          </w:p>
        </w:tc>
      </w:tr>
      <w:tr>
        <w:trPr>
          <w:cantSplit/>
        </w:trPr>
        <w:tc>
          <w:tcPr/>
          <w:p>
            <w:pPr>
              <w:pStyle w:val="Compact"/>
              <w:jc w:val="left"/>
            </w:pPr>
            <w:r>
              <w:t xml:space="preserve">7</w:t>
            </w:r>
          </w:p>
        </w:tc>
        <w:tc>
          <w:tcPr/>
          <w:p>
            <w:pPr>
              <w:pStyle w:val="Compact"/>
              <w:jc w:val="left"/>
            </w:pPr>
            <w:r>
              <w:t xml:space="preserve">Registro del evento y auditoría.</w:t>
            </w:r>
          </w:p>
        </w:tc>
        <w:tc>
          <w:tcPr/>
          <w:p>
            <w:pPr>
              <w:pStyle w:val="Compact"/>
              <w:jc w:val="left"/>
            </w:pPr>
            <w:r>
              <w:t xml:space="preserve">3.2.5</w:t>
            </w:r>
          </w:p>
        </w:tc>
        <w:tc>
          <w:tcPr/>
          <w:p>
            <w:pPr>
              <w:pStyle w:val="Compact"/>
              <w:jc w:val="left"/>
            </w:pPr>
            <w:r>
              <w:t>Sí</w:t>
            </w:r>
          </w:p>
        </w:tc>
        <w:tc>
          <w:tcPr/>
          <w:p>
            <w:pPr>
              <w:pStyle w:val="Compact"/>
              <w:jc w:val="left"/>
            </w:pPr>
            <w:r>
              <w:t xml:space="preserve">Ingesta del backend y auditoría de rechazos</w:t>
            </w:r>
          </w:p>
        </w:tc>
      </w:tr>
      <w:tr>
        <w:trPr>
          <w:cantSplit/>
        </w:trPr>
        <w:tc>
          <w:tcPr/>
          <w:p>
            <w:pPr>
              <w:pStyle w:val="Compact"/>
              <w:jc w:val="left"/>
            </w:pPr>
            <w:r>
              <w:t xml:space="preserve">8</w:t>
            </w:r>
          </w:p>
        </w:tc>
        <w:tc>
          <w:tcPr/>
          <w:p>
            <w:pPr>
              <w:pStyle w:val="Compact"/>
              <w:jc w:val="left"/>
            </w:pPr>
            <w:r>
              <w:t xml:space="preserve">Actualización de eventos previos (superseded).</w:t>
            </w:r>
          </w:p>
        </w:tc>
        <w:tc>
          <w:tcPr/>
          <w:p>
            <w:pPr>
              <w:pStyle w:val="Compact"/>
              <w:jc w:val="left"/>
            </w:pPr>
            <w:r>
              <w:t xml:space="preserve">3.2.5</w:t>
            </w:r>
          </w:p>
        </w:tc>
        <w:tc>
          <w:tcPr/>
          <w:p>
            <w:pPr>
              <w:pStyle w:val="Compact"/>
              <w:jc w:val="left"/>
            </w:pPr>
            <w:r>
              <w:t>Sí</w:t>
            </w:r>
          </w:p>
        </w:tc>
        <w:tc>
          <w:tcPr/>
          <w:p>
            <w:pPr>
              <w:pStyle w:val="Compact"/>
              <w:jc w:val="left"/>
            </w:pPr>
            <w:r>
              <w:t xml:space="preserve">Encadenamiento por referencia al evento padre</w:t>
            </w:r>
          </w:p>
        </w:tc>
      </w:tr>
      <w:tr>
        <w:trPr>
          <w:cantSplit/>
        </w:trPr>
        <w:tc>
          <w:tcPr/>
          <w:p>
            <w:pPr>
              <w:pStyle w:val="Compact"/>
              <w:jc w:val="left"/>
            </w:pPr>
            <w:r>
              <w:t xml:space="preserve">9</w:t>
            </w:r>
          </w:p>
        </w:tc>
        <w:tc>
          <w:tcPr/>
          <w:p>
            <w:pPr>
              <w:pStyle w:val="Compact"/>
              <w:jc w:val="left"/>
            </w:pPr>
            <w:r>
              <w:t xml:space="preserve">Notificación según severidad.</w:t>
            </w:r>
          </w:p>
        </w:tc>
        <w:tc>
          <w:tcPr/>
          <w:p>
            <w:pPr>
              <w:pStyle w:val="Compact"/>
              <w:jc w:val="left"/>
            </w:pPr>
            <w:r>
              <w:t xml:space="preserve">3.2.7</w:t>
            </w:r>
          </w:p>
        </w:tc>
        <w:tc>
          <w:tcPr/>
          <w:p>
            <w:pPr>
              <w:pStyle w:val="Compact"/>
              <w:jc w:val="left"/>
            </w:pPr>
            <w:r>
              <w:t>Sí</w:t>
            </w:r>
          </w:p>
        </w:tc>
        <w:tc>
          <w:tcPr/>
          <w:p>
            <w:pPr>
              <w:pStyle w:val="Compact"/>
              <w:jc w:val="left"/>
            </w:pPr>
            <w:r>
              <w:t xml:space="preserve">Servicio de alertas y cascada de alternativas automáticas</w:t>
            </w:r>
          </w:p>
        </w:tc>
      </w:tr>
      <w:tr>
        <w:trPr>
          <w:cantSplit/>
        </w:trPr>
        <w:tc>
          <w:tcPr/>
          <w:p>
            <w:pPr>
              <w:pStyle w:val="Compact"/>
              <w:jc w:val="left"/>
            </w:pPr>
            <w:r>
              <w:t xml:space="preserve">10</w:t>
            </w:r>
          </w:p>
        </w:tc>
        <w:tc>
          <w:tcPr/>
          <w:p>
            <w:pPr>
              <w:pStyle w:val="Compact"/>
              <w:jc w:val="left"/>
            </w:pPr>
            <w:r>
              <w:t xml:space="preserve">Discriminación entre cambio autorizado no registrado y cambio sospechoso.</w:t>
            </w:r>
          </w:p>
        </w:tc>
        <w:tc>
          <w:tcPr/>
          <w:p>
            <w:pPr>
              <w:pStyle w:val="Compact"/>
              <w:jc w:val="left"/>
            </w:pPr>
            <w:r>
              <w:t xml:space="preserve">3.2.4</w:t>
            </w:r>
          </w:p>
        </w:tc>
        <w:tc>
          <w:tcPr/>
          <w:p>
            <w:pPr>
              <w:pStyle w:val="Compact"/>
              <w:jc w:val="left"/>
            </w:pPr>
            <w:r>
              <w:t xml:space="preserve">Humano</w:t>
            </w:r>
          </w:p>
        </w:tc>
        <w:tc>
          <w:tcPr/>
          <w:p>
            <w:pPr>
              <w:pStyle w:val="Compact"/>
              <w:jc w:val="left"/>
            </w:pPr>
            <w:r>
              <w:t xml:space="preserve">Flujo de aprobación y rechazo humano</w:t>
            </w:r>
          </w:p>
        </w:tc>
      </w:tr>
      <w:tr>
        <w:trPr>
          <w:cantSplit/>
        </w:trPr>
        <w:tc>
          <w:tcPr/>
          <w:p>
            <w:pPr>
              <w:pStyle w:val="Compact"/>
              <w:jc w:val="left"/>
            </w:pPr>
            <w:r>
              <w:t xml:space="preserve">11</w:t>
            </w:r>
          </w:p>
        </w:tc>
        <w:tc>
          <w:tcPr/>
          <w:p>
            <w:pPr>
              <w:pStyle w:val="Compact"/>
              <w:jc w:val="left"/>
            </w:pPr>
            <w:r>
              <w:t xml:space="preserve">Decisión sobre escalamiento.</w:t>
            </w:r>
          </w:p>
        </w:tc>
        <w:tc>
          <w:tcPr/>
          <w:p>
            <w:pPr>
              <w:pStyle w:val="Compact"/>
              <w:jc w:val="left"/>
            </w:pPr>
            <w:r>
              <w:t xml:space="preserve">3.2.6</w:t>
            </w:r>
          </w:p>
        </w:tc>
        <w:tc>
          <w:tcPr/>
          <w:p>
            <w:pPr>
              <w:pStyle w:val="Compact"/>
              <w:jc w:val="left"/>
            </w:pPr>
            <w:r>
              <w:t xml:space="preserve">Humano</w:t>
            </w:r>
          </w:p>
        </w:tc>
        <w:tc>
          <w:tcPr/>
          <w:p>
            <w:pPr>
              <w:pStyle w:val="Compact"/>
              <w:jc w:val="left"/>
            </w:pPr>
            <w:r>
              <w:t xml:space="preserve">Criterio del operador</w:t>
            </w:r>
          </w:p>
        </w:tc>
      </w:tr>
      <w:tr>
        <w:trPr>
          <w:cantSplit/>
        </w:trPr>
        <w:tc>
          <w:tcPr/>
          <w:p>
            <w:pPr>
              <w:pStyle w:val="Compact"/>
            </w:pPr>
          </w:p>
        </w:tc>
        <w:tc>
          <w:tcPr/>
          <w:p>
            <w:pPr>
              <w:pStyle w:val="Compact"/>
              <w:jc w:val="left"/>
            </w:pPr>
            <w:r>
              <w:t xml:space="preserve">Cobertura resultante</w:t>
            </w:r>
          </w:p>
        </w:tc>
        <w:tc>
          <w:tcPr/>
          <w:p>
            <w:pPr>
              <w:pStyle w:val="Compact"/>
            </w:pPr>
          </w:p>
        </w:tc>
        <w:tc>
          <w:tcPr/>
          <w:p>
            <w:pPr>
              <w:pStyle w:val="Compact"/>
              <w:jc w:val="left"/>
            </w:pPr>
            <w:r>
              <w:t xml:space="preserve">9/11 = 81,8 %</w:t>
            </w:r>
          </w:p>
        </w:tc>
        <w:tc>
          <w:tcPr/>
          <w:p>
            <w:pPr>
              <w:jc w:val="left"/>
            </w:pPr>
            <w:r>
              <w:t xml:space="preserve">Umbral ≥ 80 %: cumple.</w:t>
            </w:r>
          </w:p>
          <w:p>
            <w:pPr>
              <w:jc w:val="left"/>
            </w:pPr>
            <w:r>
              <w:t xml:space="preserve"/>
            </w:r>
          </w:p>
        </w:tc>
      </w:tr>
    </w:tbl>
    <w:p>
      <w:pPr>
        <w:pStyle w:val="BodyText"/>
      </w:pPr>
      <w:r>
        <w:t xml:space="preserve">Nota. El indicador 9/11 = 81,8 % es descriptivo y se conserva para reproducir el criterio histórico. El universo fue derivado por los autores de la fase de detección y análisis de NIST SP 800-61r2 antes de evaluar el artefacto; esa revisión fue retirada en abril de 2025. No se realizó un mapeo completo a la revisión 3 ni una evaluación independiente, y no se estimó confiabilidad entre observadores. Las tareas 10 y 11 requieren juicio experto humano por diseño. Las dos tareas adicionales de contención y recuperación se excluyen del denominador porque pertenecen a otra fase. En esta versión se contrastó la columna de secciones con el texto oficial de SP 800-61r2 (Cichonski et al., 2012): 3.2.2 corresponde a signos de un incidente, 3.2.3 a fuentes de precursores e indicadores, 3.2.4 a análisis, 3.2.5 a documentación, 3.2.6 a priorización, 3.2.7 a notificación y el Apéndice B a elementos de datos del incidente. La correspondencia de numeración es exacta; ese contraste no valida la clasificación de cada tarea.</w:t>
      </w:r>
    </w:p>
    <w:p>
      <w:pPr>
        <w:pStyle w:val="BodyText"/>
      </w:pPr>
      <w:r>
        <w:t xml:space="preserve">El valor histórico 9/11 = 81,8 % supera el umbral autoral en 1,8 puntos porcentuales, pero no constituye una evaluación de NIST SP 800-61r3 ni una medición psicométrica. Describe la aplicación del checklist construido por los autores sobre la revisión 2; las tareas 10 y 11 se mantienen humanas por diseño y la ausencia de un segundo evaluador impide estimar acuerdo entre observadores. No se sustituyó la referencia por la revisión 3, porque esta reorganiza las recomendaciones según el Cybersecurity Framework 2.0 y cambiaría el universo de tareas evaluado.</w:t>
      </w:r>
    </w:p>
    <w:bookmarkEnd w:id="100"/>
    <w:bookmarkStart w:id="102" w:name="Xed1ea925d7dfa6621dd633474843534366d3b2c"/>
    <w:p>
      <w:pPr>
        <w:pStyle w:val="Heading2"/>
      </w:pPr>
      <w:r>
        <w:rPr>
          <w:bCs/>
          <w:b/>
        </w:rPr>
        <w:t xml:space="preserve">5.5 Validación funcional mediante casos de prueba</w:t>
      </w:r>
    </w:p>
    <w:p>
      <w:pPr>
        <w:pStyle w:val="FirstParagraph"/>
      </w:pPr>
      <w:r>
        <w:t xml:space="preserve">La validación funcional —segunda batería del protocolo— se practica mediante la batería automatizada de pruebas que acompaña al sistema. La ejecución informada comprende 912 casos, distribuidos entre la verificación del agente y la verificación de integración del backend. Se contrasta contra las treinta y una historias de usuario del backlog consolidado —las veinticuatro originales más las siete incorporadas tras la auditoría interna— y contra las reglas de negocio del catálogo descripto en el apartado 3.8. El criterio de aceptación exige la verificación automatizada completa de la totalidad de las historias. El recuento que sigue corresponde a esa ejecución y queda sujeto a actualización en ejecuciones posteriores.</w:t>
      </w:r>
    </w:p>
    <w:p>
      <w:pPr>
        <w:pStyle w:val="BodyText"/>
      </w:pPr>
      <w:r>
        <w:t xml:space="preserve">La ejecución de la batería del agente no requiere infraestructura de respaldo, dado que el enlace al subsistema fanotify se sustituye de forma controlada según se describe en el apartado 4.9. La ejecución de la batería del backend requiere instancias efímeras de PostgreSQL y de Valkey, levantadas mediante contenedores de vida acotada a la sesión de pruebas.</w:t>
      </w:r>
    </w:p>
    <w:p>
      <w:pPr>
        <w:pStyle w:val="BodyText"/>
        <w:keepNext/>
      </w:pPr>
      <w:r>
        <w:rPr>
          <w:bCs/>
          <w:b/>
          <w:iCs/>
          <w:i/>
        </w:rPr>
        <w:t xml:space="preserve">Tabla 15.</w:t>
      </w:r>
      <w:r>
        <w:rPr>
          <w:iCs/>
          <w:i/>
        </w:rPr>
        <w:t xml:space="preserve"> Resultado informado de la batería automatizada</w:t>
      </w:r>
    </w:p>
    <w:tbl>
      <w:tblPr>
        <w:tblStyle w:val="Table"/>
        <w:tblW w:type="pct" w:w="4899"/>
        <w:jc w:val="start"/>
        <w:tblLook w:firstRow="1" w:lastRow="0" w:firstColumn="0" w:lastColumn="0" w:noHBand="0" w:noVBand="0" w:val="0020"/>
      </w:tblPr>
      <w:tblGrid>
        <w:gridCol w:w="2240"/>
        <w:gridCol w:w="1840"/>
        <w:gridCol w:w="1280"/>
        <w:gridCol w:w="1200"/>
        <w:gridCol w:w="1200"/>
      </w:tblGrid>
      <w:tr>
        <w:trPr>
          <w:tblHeader w:val="true"/>
          <w:cantSplit/>
        </w:trPr>
        <w:tc>
          <w:tcPr/>
          <w:p>
            <w:pPr>
              <w:pStyle w:val="Compact"/>
              <w:jc w:val="left"/>
            </w:pPr>
            <w:r>
              <w:rPr>
                <w:bCs/>
                <w:b/>
              </w:rPr>
              <w:t xml:space="preserve">Batería</w:t>
            </w:r>
          </w:p>
        </w:tc>
        <w:tc>
          <w:tcPr/>
          <w:p>
            <w:pPr>
              <w:pStyle w:val="Compact"/>
              <w:jc w:val="left"/>
            </w:pPr>
            <w:r>
              <w:rPr>
                <w:bCs/>
                <w:b/>
              </w:rPr>
              <w:t xml:space="preserve">Casos ejecutados</w:t>
            </w:r>
          </w:p>
        </w:tc>
        <w:tc>
          <w:tcPr/>
          <w:p>
            <w:pPr>
              <w:pStyle w:val="Compact"/>
              <w:jc w:val="left"/>
            </w:pPr>
            <w:r>
              <w:rPr>
                <w:bCs/>
                <w:b/>
              </w:rPr>
              <w:t xml:space="preserve">Aprobados</w:t>
            </w:r>
          </w:p>
        </w:tc>
        <w:tc>
          <w:tcPr/>
          <w:p>
            <w:pPr>
              <w:pStyle w:val="Compact"/>
              <w:jc w:val="left"/>
            </w:pPr>
            <w:r>
              <w:rPr>
                <w:bCs/>
                <w:b/>
              </w:rPr>
              <w:t xml:space="preserve">Omitidos</w:t>
            </w:r>
          </w:p>
        </w:tc>
        <w:tc>
          <w:tcPr/>
          <w:p>
            <w:pPr>
              <w:pStyle w:val="Compact"/>
              <w:jc w:val="left"/>
            </w:pPr>
            <w:r>
              <w:rPr>
                <w:bCs/>
                <w:b/>
              </w:rPr>
              <w:t xml:space="preserve">Fallidos</w:t>
            </w:r>
          </w:p>
        </w:tc>
      </w:tr>
      <w:tr>
        <w:trPr>
          <w:cantSplit/>
        </w:trPr>
        <w:tc>
          <w:tcPr/>
          <w:p>
            <w:pPr>
              <w:pStyle w:val="Compact"/>
              <w:jc w:val="left"/>
            </w:pPr>
            <w:r>
              <w:rPr>
                <w:bCs/>
                <w:b/>
              </w:rPr>
              <w:t xml:space="preserve">Agente</w:t>
            </w:r>
          </w:p>
        </w:tc>
        <w:tc>
          <w:tcPr/>
          <w:p>
            <w:pPr>
              <w:pStyle w:val="Compact"/>
              <w:jc w:val="left"/>
            </w:pPr>
            <w:r>
              <w:t xml:space="preserve">418</w:t>
            </w:r>
          </w:p>
        </w:tc>
        <w:tc>
          <w:tcPr/>
          <w:p>
            <w:pPr>
              <w:pStyle w:val="Compact"/>
              <w:jc w:val="left"/>
            </w:pPr>
            <w:r>
              <w:t xml:space="preserve">417</w:t>
            </w:r>
          </w:p>
        </w:tc>
        <w:tc>
          <w:tcPr/>
          <w:p>
            <w:pPr>
              <w:pStyle w:val="Compact"/>
              <w:jc w:val="left"/>
            </w:pPr>
            <w:r>
              <w:t xml:space="preserve">1</w:t>
            </w:r>
          </w:p>
        </w:tc>
        <w:tc>
          <w:tcPr/>
          <w:p>
            <w:pPr>
              <w:pStyle w:val="Compact"/>
              <w:jc w:val="left"/>
            </w:pPr>
            <w:r>
              <w:t xml:space="preserve">0</w:t>
            </w:r>
          </w:p>
        </w:tc>
      </w:tr>
      <w:tr>
        <w:trPr>
          <w:cantSplit/>
        </w:trPr>
        <w:tc>
          <w:tcPr/>
          <w:p>
            <w:pPr>
              <w:pStyle w:val="Compact"/>
              <w:jc w:val="left"/>
            </w:pPr>
            <w:r>
              <w:rPr>
                <w:bCs/>
                <w:b/>
              </w:rPr>
              <w:t xml:space="preserve">Backend (integración)</w:t>
            </w:r>
          </w:p>
        </w:tc>
        <w:tc>
          <w:tcPr/>
          <w:p>
            <w:pPr>
              <w:pStyle w:val="Compact"/>
              <w:jc w:val="left"/>
            </w:pPr>
            <w:r>
              <w:t xml:space="preserve">494</w:t>
            </w:r>
          </w:p>
        </w:tc>
        <w:tc>
          <w:tcPr/>
          <w:p>
            <w:pPr>
              <w:pStyle w:val="Compact"/>
              <w:jc w:val="left"/>
            </w:pPr>
            <w:r>
              <w:t xml:space="preserve">494</w:t>
            </w:r>
          </w:p>
        </w:tc>
        <w:tc>
          <w:tcPr/>
          <w:p>
            <w:pPr>
              <w:pStyle w:val="Compact"/>
              <w:jc w:val="left"/>
            </w:pPr>
            <w:r>
              <w:t xml:space="preserve">0</w:t>
            </w:r>
          </w:p>
        </w:tc>
        <w:tc>
          <w:tcPr/>
          <w:p>
            <w:pPr>
              <w:pStyle w:val="Compact"/>
              <w:jc w:val="left"/>
            </w:pPr>
            <w:r>
              <w:t xml:space="preserve">0</w:t>
            </w:r>
          </w:p>
        </w:tc>
      </w:tr>
      <w:tr>
        <w:trPr>
          <w:cantSplit/>
        </w:trPr>
        <w:tc>
          <w:tcPr/>
          <w:p>
            <w:pPr>
              <w:pStyle w:val="Compact"/>
              <w:jc w:val="left"/>
            </w:pPr>
            <w:r>
              <w:rPr>
                <w:bCs/>
                <w:b/>
              </w:rPr>
              <w:t xml:space="preserve">Total</w:t>
            </w:r>
          </w:p>
        </w:tc>
        <w:tc>
          <w:tcPr/>
          <w:p>
            <w:pPr>
              <w:pStyle w:val="Compact"/>
              <w:jc w:val="left"/>
            </w:pPr>
            <w:r>
              <w:t xml:space="preserve">912</w:t>
            </w:r>
          </w:p>
        </w:tc>
        <w:tc>
          <w:tcPr/>
          <w:p>
            <w:pPr>
              <w:pStyle w:val="Compact"/>
              <w:jc w:val="left"/>
            </w:pPr>
            <w:r>
              <w:t xml:space="preserve">911</w:t>
            </w:r>
          </w:p>
        </w:tc>
        <w:tc>
          <w:tcPr/>
          <w:p>
            <w:pPr>
              <w:pStyle w:val="Compact"/>
              <w:jc w:val="left"/>
            </w:pPr>
            <w:r>
              <w:t xml:space="preserve">1</w:t>
            </w:r>
          </w:p>
        </w:tc>
        <w:tc>
          <w:tcPr/>
          <w:p>
            <w:pPr>
              <w:pStyle w:val="Compact"/>
              <w:jc w:val="left"/>
            </w:pPr>
            <w:r>
              <w:t xml:space="preserve">0</w:t>
            </w:r>
          </w:p>
        </w:tc>
      </w:tr>
    </w:tbl>
    <w:p>
      <w:pPr>
        <w:pStyle w:val="BodyText"/>
      </w:pPr>
      <w:r>
        <w:rPr>
          <w:iCs/>
          <w:i/>
        </w:rPr>
        <w:t xml:space="preserve">Nota. El único caso omitido corresponde a una verificación del agente que solo resulta aplicable cuando el subsistema fanotify no se encuentra disponible; su condición se declara explícitamente en la salida del ejecutor y no se contabiliza como aprobación.</w:t>
      </w:r>
    </w:p>
    <w:p>
      <w:pPr>
        <w:pStyle w:val="FirstParagraph"/>
      </w:pPr>
      <w:r>
        <w:t xml:space="preserve">Validación consolidada vigente. El candidato 7a7ee50 registró 540 pruebas del agente aprobadas, ninguna fallida y una omitida; 689/689 del backend; 197/197 del frontend; y 19/19 de scripts. La comprobación de tipos y la construcción del frontend aprobaron. Las coberturas propias fueron 79,57 % (2726/3426) del agente, excluidos tests, y 91,34 % (2902/3177) de backend/app. En frontend fueron 73,09 % (2836/3880) de líneas/statements, 67,52 % (158/234) de funciones y 80,85 % (587/726) de ramas. Estos porcentajes se informan por separado. No se promedian con el 89,35 % histórico de Coverage Run 3 ni con el candidato 7df4935, que registró 507 pruebas del agente, 599 del backend y 128 del frontend.</w:t>
      </w:r>
    </w:p>
    <w:p>
      <w:pPr>
        <w:pStyle w:val="FirstParagraph"/>
      </w:pPr>
      <w:r>
        <w:t xml:space="preserve">El alcance consolidado incluyó además los laboratorios E2E dirigidos US-02/20/31 y US-03/16/17/25, y la integridad OpenSpec de 44 especificaciones y 249 requisitos. Su aprobación no transforma las ejecuciones repetidas en casos unitarios adicionales. En el candidato 7df4935, el control ambiental main_stack_unchanged=false apareció en dos intentos US-02/20/31, sin inventarios crudos que permitieran reconstruir su causa. La repetición con inventarios crudos registró true: US-02 1/1, US-20 2/2 en dos corridas, US-31 2/2 y el conjunto combinado 5/5 en dos corridas. El candidato 7a7ee50 también conservó sin cambios el inventario del stack principal. Su primer intento, sobre el commit d35fb9c, falló en el E2E de US-25 y se conserva separado (apartado 4.9 y Anexo F).</w:t>
      </w:r>
    </w:p>
    <w:bookmarkStart w:id="101" w:name="X9709bbd0d6eeae0f3762febceb178cdb1abcf3b"/>
    <w:p>
      <w:pPr>
        <w:pStyle w:val="Heading3"/>
      </w:pPr>
      <w:r>
        <w:t xml:space="preserve">5.5.1 Sobre la cobertura de las historias de usuario</w:t>
      </w:r>
    </w:p>
    <w:p>
      <w:pPr>
        <w:pStyle w:val="FirstParagraph"/>
      </w:pPr>
      <w:r>
        <w:t xml:space="preserve">Los recuentos de la Tabla 15 miden casos de prueba, no historias de usuario, y el criterio de aceptación de la Tabla 1 se formuló sobre estas últimas. La distinción no es formal: la evidencia disponible no sustenta la afirmación de que las treinta y una historias se encuentren cubiertas, y corresponde exponer con precisión qué sí sustenta.</w:t>
      </w:r>
    </w:p>
    <w:p>
      <w:pPr>
        <w:pStyle w:val="BodyText"/>
      </w:pPr>
      <w:r>
        <w:t xml:space="preserve">La matriz reconciliada de cierre clasifica veintitrés historias como completas, ocho como parciales y ninguna como carente de cobertura funcional. La línea base histórica documentada era 3/27/1; un corte anterior a la incorporación de US-09 era 10/20/1, y el cierre del candidato 7df4935 era 10/21/0. Estos recuentos se conservan sólo como estados históricos. La reclasificación de trece historias procede de implementación nueva y de pruebas asociadas a cada criterio canónico, integradas en el candidato 7a7ee50. No se modificó ningún criterio. Las parciales comprenden criterios sin evidencia suficiente y divergencias entre la implementación y el texto canónico; por ello 23/8/0 no significa que las treinta y una historias estén completas.</w:t>
      </w:r>
    </w:p>
    <w:p>
      <w:pPr>
        <w:pStyle w:val="BodyText"/>
      </w:pPr>
      <w:r>
        <w:t xml:space="preserve">La historia US-09, correspondiente al visor de diferencias, no estaba implementada en la evaluación inicial. El informe técnico de cierre registra su incorporación mediante un diff textual real en formato de parche unificado, con validación de contenido y límites de tamaño; los archivos binarios quedan fuera de su contrato. La implementación y su corrección se identifican mediante los commits 8039624 y f08626a y se describen como verificadas sobre una instantánea limpia. Esta incorporación es posterior a la batería histórica y no altera sus resultados. En el candidato 7a7ee50 se agregaron el modo binario, con comparación de hashes y hex dump de hasta 256 bytes por lado, la detección automática del modo y react-diff-viewer-continued. Las pruebas de inspección de logs cubren la detección del agente y la ingesta del backend.</w:t>
      </w:r>
    </w:p>
    <w:p>
      <w:pPr>
        <w:pStyle w:val="BodyText"/>
      </w:pPr>
      <w:r>
        <w:t xml:space="preserve">Las pruebas dirigidas conservaron la evidencia de US-02, US-20 y US-31, y las de US-03/16/17/25 aprobaron en su laboratorio aislado. Estos E2E integran el paquete del candidato 7a7ee50, pero no se suman a las unitarias. Las ocho historias parciales son US-01, US-05, US-11, US-12, US-21, US-23, US-27 y US-29. En US-01, US-21 y US-23 la brecha se limita a una divergencia: la ruta del cambio forzado de contraseña, la representación de queue_pressure y la tabla failed_notifications con payload_json. Esas divergencias no se reinterpretan como cumplimiento (Tabla 22).</w:t>
      </w:r>
    </w:p>
    <w:bookmarkEnd w:id="101"/>
    <w:bookmarkEnd w:id="102"/>
    <w:bookmarkStart w:id="104" w:name="protocolo-de-resiliencia-offline"/>
    <w:p>
      <w:pPr>
        <w:pStyle w:val="Heading2"/>
      </w:pPr>
      <w:r>
        <w:rPr>
          <w:bCs/>
          <w:b/>
        </w:rPr>
        <w:t xml:space="preserve">5.6 Protocolo de resiliencia offline</w:t>
      </w:r>
    </w:p>
    <w:p>
      <w:pPr>
        <w:pStyle w:val="FirstParagraph"/>
      </w:pPr>
      <w:r>
        <w:t xml:space="preserve">La quinta batería del protocolo evalúa la capacidad del agente de preservar eventos ante desconexiones del backend. Se detiene manualmente el servicio backend durante cinco minutos, durante los cuales el generador produce operaciones a una tasa constante de diez por segundo, totalizando tres mil operaciones. Tras el reinicio se verifica la preservación de los eventos encolados (hasta el límite de cien megabytes con política drop-oldest), la entrega en orden FIFO estricto tras procesamiento previo de comandos pendientes, y la ausencia de duplicaciones mediante el protocolo con identificador único por evento. La Tabla 16 distingue las operaciones generadas por el instrumento de los eventos que el agente encoló y de los que el backend recibió, por cuanto son recuentos distintos.</w:t>
      </w:r>
    </w:p>
    <w:p>
      <w:pPr>
        <w:pStyle w:val="BodyText"/>
        <w:keepNext/>
      </w:pPr>
      <w:r>
        <w:rPr>
          <w:bCs/>
          <w:b/>
          <w:iCs/>
          <w:i/>
        </w:rPr>
        <w:t xml:space="preserve">Tabla 16.</w:t>
      </w:r>
      <w:r>
        <w:rPr>
          <w:iCs/>
          <w:i/>
        </w:rPr>
        <w:t xml:space="preserve"> Resultados — Resiliencia offline</w:t>
      </w:r>
    </w:p>
    <w:tbl>
      <w:tblPr>
        <w:tblStyle w:val="Table"/>
        <w:tblW w:type="pct" w:w="4918"/>
        <w:jc w:val="start"/>
        <w:tblLook w:firstRow="1" w:lastRow="0" w:firstColumn="0" w:lastColumn="0" w:noHBand="0" w:noVBand="0" w:val="0020"/>
      </w:tblPr>
      <w:tblGrid>
        <w:gridCol w:w="3245"/>
        <w:gridCol w:w="2077"/>
        <w:gridCol w:w="1428"/>
        <w:gridCol w:w="1038"/>
      </w:tblGrid>
      <w:tr>
        <w:trPr>
          <w:tblHeader w:val="true"/>
          <w:cantSplit/>
        </w:trPr>
        <w:tc>
          <w:tcPr/>
          <w:p>
            <w:pPr>
              <w:pStyle w:val="Compact"/>
              <w:jc w:val="left"/>
            </w:pPr>
            <w:r>
              <w:rPr>
                <w:bCs/>
                <w:b/>
              </w:rPr>
              <w:t xml:space="preserve">Indicador</w:t>
            </w:r>
          </w:p>
        </w:tc>
        <w:tc>
          <w:tcPr/>
          <w:p>
            <w:pPr>
              <w:pStyle w:val="Compact"/>
              <w:jc w:val="left"/>
            </w:pPr>
            <w:r>
              <w:rPr>
                <w:bCs/>
                <w:b/>
              </w:rPr>
              <w:t xml:space="preserve">Valor observado</w:t>
            </w:r>
          </w:p>
        </w:tc>
        <w:tc>
          <w:tcPr/>
          <w:p>
            <w:pPr>
              <w:pStyle w:val="Compact"/>
              <w:jc w:val="left"/>
            </w:pPr>
            <w:r>
              <w:rPr>
                <w:bCs/>
                <w:b/>
              </w:rPr>
              <w:t xml:space="preserve">Umbral</w:t>
            </w:r>
          </w:p>
        </w:tc>
        <w:tc>
          <w:tcPr/>
          <w:p>
            <w:pPr>
              <w:pStyle w:val="Compact"/>
              <w:jc w:val="left"/>
            </w:pPr>
            <w:r>
              <w:rPr>
                <w:bCs/>
                <w:b/>
              </w:rPr>
              <w:t xml:space="preserve">Cumple</w:t>
            </w:r>
          </w:p>
        </w:tc>
      </w:tr>
      <w:tr>
        <w:trPr>
          <w:cantSplit/>
        </w:trPr>
        <w:tc>
          <w:tcPr/>
          <w:p>
            <w:pPr>
              <w:pStyle w:val="Compact"/>
              <w:jc w:val="left"/>
            </w:pPr>
            <w:r>
              <w:t xml:space="preserve">Duración de la desconexión</w:t>
            </w:r>
          </w:p>
        </w:tc>
        <w:tc>
          <w:tcPr/>
          <w:p>
            <w:pPr>
              <w:pStyle w:val="Compact"/>
              <w:jc w:val="left"/>
            </w:pPr>
            <w:r>
              <w:t xml:space="preserve">326 s</w:t>
            </w:r>
          </w:p>
        </w:tc>
        <w:tc>
          <w:tcPr/>
          <w:p>
            <w:pPr>
              <w:pStyle w:val="Compact"/>
              <w:jc w:val="left"/>
            </w:pPr>
            <w:r>
              <w:t xml:space="preserve">300 s</w:t>
            </w:r>
          </w:p>
        </w:tc>
        <w:tc>
          <w:tcPr/>
          <w:p>
            <w:pPr>
              <w:pStyle w:val="Compact"/>
              <w:jc w:val="left"/>
            </w:pPr>
            <w:r>
              <w:t xml:space="preserve">-</w:t>
            </w:r>
          </w:p>
        </w:tc>
      </w:tr>
      <w:tr>
        <w:trPr>
          <w:cantSplit/>
        </w:trPr>
        <w:tc>
          <w:tcPr/>
          <w:p>
            <w:pPr>
              <w:pStyle w:val="Compact"/>
              <w:jc w:val="left"/>
            </w:pPr>
            <w:r>
              <w:t xml:space="preserve">Operaciones generadas durante la desconexión</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w:t>
            </w:r>
          </w:p>
        </w:tc>
      </w:tr>
      <w:tr>
        <w:trPr>
          <w:cantSplit/>
        </w:trPr>
        <w:tc>
          <w:tcPr/>
          <w:p>
            <w:pPr>
              <w:pStyle w:val="Compact"/>
              <w:jc w:val="left"/>
            </w:pPr>
            <w:r>
              <w:t xml:space="preserve">Eventos encolados en la cola local</w:t>
            </w:r>
          </w:p>
        </w:tc>
        <w:tc>
          <w:tcPr/>
          <w:p>
            <w:pPr>
              <w:pStyle w:val="Compact"/>
              <w:jc w:val="left"/>
            </w:pPr>
            <w:r>
              <w:t xml:space="preserve">2.988</w:t>
            </w:r>
          </w:p>
        </w:tc>
        <w:tc>
          <w:tcPr/>
          <w:p>
            <w:pPr>
              <w:pStyle w:val="Compact"/>
              <w:jc w:val="left"/>
            </w:pPr>
            <w:r>
              <w:t xml:space="preserve">Igual a generados</w:t>
            </w:r>
          </w:p>
        </w:tc>
        <w:tc>
          <w:tcPr/>
          <w:p>
            <w:pPr>
              <w:pStyle w:val="Compact"/>
              <w:jc w:val="left"/>
            </w:pPr>
            <w:r>
              <w:t xml:space="preserve">No (12 operaciones sin evento; causa indeterminada)</w:t>
            </w:r>
          </w:p>
        </w:tc>
      </w:tr>
      <w:tr>
        <w:trPr>
          <w:cantSplit/>
        </w:trPr>
        <w:tc>
          <w:tcPr/>
          <w:p>
            <w:pPr>
              <w:pStyle w:val="Compact"/>
              <w:jc w:val="left"/>
            </w:pPr>
            <w:r>
              <w:t xml:space="preserve">Eventos entregados tras reconexión</w:t>
            </w:r>
          </w:p>
        </w:tc>
        <w:tc>
          <w:tcPr/>
          <w:p>
            <w:pPr>
              <w:pStyle w:val="Compact"/>
              <w:jc w:val="left"/>
            </w:pPr>
            <w:r>
              <w:t xml:space="preserve">2.988</w:t>
            </w:r>
          </w:p>
        </w:tc>
        <w:tc>
          <w:tcPr/>
          <w:p>
            <w:pPr>
              <w:pStyle w:val="Compact"/>
              <w:jc w:val="left"/>
            </w:pPr>
            <w:r>
              <w:t xml:space="preserve">Igual a encolados</w:t>
            </w:r>
          </w:p>
        </w:tc>
        <w:tc>
          <w:tcPr/>
          <w:p>
            <w:pPr>
              <w:pStyle w:val="Compact"/>
              <w:jc w:val="left"/>
            </w:pPr>
            <w:r>
              <w:t xml:space="preserve">Sí (2.988 de 2.988)</w:t>
            </w:r>
          </w:p>
        </w:tc>
      </w:tr>
      <w:tr>
        <w:trPr>
          <w:cantSplit/>
        </w:trPr>
        <w:tc>
          <w:tcPr/>
          <w:p>
            <w:pPr>
              <w:pStyle w:val="Compact"/>
              <w:jc w:val="left"/>
            </w:pPr>
            <w:r>
              <w:t xml:space="preserve">Orden FIFO preservado</w:t>
            </w:r>
          </w:p>
        </w:tc>
        <w:tc>
          <w:tcPr/>
          <w:p>
            <w:pPr>
              <w:pStyle w:val="Compact"/>
              <w:jc w:val="left"/>
            </w:pPr>
            <w:r>
              <w:t xml:space="preserve">Sí — 0 de 2.988 fuera de orden</w:t>
            </w:r>
          </w:p>
        </w:tc>
        <w:tc>
          <w:tcPr/>
          <w:p>
            <w:pPr>
              <w:pStyle w:val="Compact"/>
              <w:jc w:val="left"/>
            </w:pPr>
            <w:r>
              <w:t xml:space="preserve">Sí</w:t>
            </w:r>
          </w:p>
        </w:tc>
        <w:tc>
          <w:tcPr/>
          <w:p>
            <w:pPr>
              <w:pStyle w:val="Compact"/>
              <w:jc w:val="left"/>
            </w:pPr>
            <w:r>
              <w:t xml:space="preserve">Sí</w:t>
            </w:r>
          </w:p>
        </w:tc>
      </w:tr>
      <w:tr>
        <w:trPr>
          <w:cantSplit/>
        </w:trPr>
        <w:tc>
          <w:tcPr/>
          <w:p>
            <w:pPr>
              <w:pStyle w:val="Compact"/>
              <w:jc w:val="left"/>
            </w:pPr>
            <w:r>
              <w:t xml:space="preserve">Duplicaciones detectadas</w:t>
            </w:r>
          </w:p>
        </w:tc>
        <w:tc>
          <w:tcPr/>
          <w:p>
            <w:pPr>
              <w:pStyle w:val="Compact"/>
              <w:jc w:val="left"/>
            </w:pPr>
            <w:r>
              <w:t xml:space="preserve">0</w:t>
            </w:r>
          </w:p>
        </w:tc>
        <w:tc>
          <w:tcPr/>
          <w:p>
            <w:pPr>
              <w:pStyle w:val="Compact"/>
              <w:jc w:val="left"/>
            </w:pPr>
            <w:r>
              <w:t xml:space="preserve">0</w:t>
            </w:r>
          </w:p>
        </w:tc>
        <w:tc>
          <w:tcPr/>
          <w:p>
            <w:pPr>
              <w:pStyle w:val="Compact"/>
              <w:jc w:val="left"/>
            </w:pPr>
            <w:r>
              <w:t>Sí</w:t>
            </w:r>
          </w:p>
        </w:tc>
      </w:tr>
      <w:tr>
        <w:trPr>
          <w:cantSplit/>
        </w:trPr>
        <w:tc>
          <w:tcPr/>
          <w:p>
            <w:pPr>
              <w:pStyle w:val="Compact"/>
              <w:jc w:val="left"/>
            </w:pPr>
            <w:r>
              <w:t xml:space="preserve">Comandos procesados antes que eventos encolados</w:t>
            </w:r>
          </w:p>
        </w:tc>
        <w:tc>
          <w:tcPr/>
          <w:p>
            <w:pPr>
              <w:pStyle w:val="Compact"/>
              <w:jc w:val="left"/>
            </w:pPr>
            <w:r>
              <w:t xml:space="preserve">Parcial; sin cuantificación</w:t>
            </w:r>
          </w:p>
        </w:tc>
        <w:tc>
          <w:tcPr/>
          <w:p>
            <w:pPr>
              <w:pStyle w:val="Compact"/>
              <w:jc w:val="left"/>
            </w:pPr>
            <w:r>
              <w:t xml:space="preserve">Sí</w:t>
            </w:r>
          </w:p>
        </w:tc>
        <w:tc>
          <w:tcPr/>
          <w:p>
            <w:pPr>
              <w:pStyle w:val="Compact"/>
              <w:jc w:val="left"/>
            </w:pPr>
            <w:r>
              <w:t xml:space="preserve">Funcional; no cuantificado</w:t>
            </w:r>
          </w:p>
        </w:tc>
      </w:tr>
      <w:tr>
        <w:trPr>
          <w:cantSplit/>
        </w:trPr>
        <w:tc>
          <w:tcPr/>
          <w:p>
            <w:pPr>
              <w:pStyle w:val="Compact"/>
              <w:jc w:val="left"/>
            </w:pPr>
            <w:r>
              <w:t xml:space="preserve">Tiempo de recuperación total</w:t>
            </w:r>
          </w:p>
        </w:tc>
        <w:tc>
          <w:tcPr/>
          <w:p>
            <w:pPr>
              <w:pStyle w:val="Compact"/>
              <w:jc w:val="left"/>
            </w:pPr>
            <w:r>
              <w:t xml:space="preserve">153 s</w:t>
            </w:r>
          </w:p>
        </w:tc>
        <w:tc>
          <w:tcPr/>
          <w:p>
            <w:pPr>
              <w:pStyle w:val="Compact"/>
              <w:jc w:val="left"/>
            </w:pPr>
            <w:r>
              <w:t xml:space="preserve">&lt; 30 s</w:t>
            </w:r>
          </w:p>
        </w:tc>
        <w:tc>
          <w:tcPr/>
          <w:p>
            <w:pPr>
              <w:pStyle w:val="Compact"/>
              <w:jc w:val="left"/>
            </w:pPr>
            <w:r>
              <w:t xml:space="preserve">No</w:t>
            </w:r>
          </w:p>
        </w:tc>
      </w:tr>
    </w:tbl>
    <w:p>
      <w:pPr>
        <w:pStyle w:val="BodyText"/>
      </w:pPr>
      <w:r>
        <w:rPr>
          <w:iCs/>
          <w:i/>
        </w:rPr>
        <w:t xml:space="preserve">Nota. La cota de cien megabytes de la cola local no se alcanzó en ningún momento de la corrida, de modo que la política de descarte del más antiguo no llegó a ejercitarse.</w:t>
      </w:r>
    </w:p>
    <w:p>
      <w:pPr>
        <w:pStyle w:val="BodyText"/>
      </w:pPr>
      <w:r>
        <w:t xml:space="preserve">La preservación y la entrega resultan íntegras respecto de los eventos efectivamente encolados: los 2.988 eventos encolados se entregaron en su totalidad, en orden estricto y sin duplicación alguna. Ese resultado sustenta la propiedad de no pérdida entre la cola local y el backend; no sustenta, por sí mismo, la preservación completa de las tres mil operaciones generadas, por cuanto doce de ellas no llegaron a producir evento encolado. El indicador de preservación de la Tabla 1, definido en el apartado 3.4 sobre los eventos encolados, se alcanza con ese alcance y no con otro. El orden de precedencia entre comandos y eventos tras la reconexión se comprobó en su ciclo funcional: se creó un comando de actualización de baseline, el agente lo ejecutó, emitió su confirmación y los eventos encolados fueron drenados. La implementación invoca el vaciado de comandos antes del drenaje de la cola de eventos, de modo que la precedencia está respaldada por el código. La corrida, sin embargo, no preservó un registro de reconexión con marcas temporales suficientes para determinar cuántos comandos se procesaron antes y cuántos después del primer evento drenado, por lo que la propiedad no quedó cuantificada experimentalmente. La ausencia de descartes locales confirma que la cota de la cola no se alcanzó. La ausencia de rechazos del backend, por su parte, no constituye un hallazgo, sino la verificación del comportamiento que el control anti-replay descripto en el apartado 4.5 prescribe. La ventana temporal, acotada al tránsito entre transmisión e ingesta, permaneció por debajo de la tolerancia, pese a que la permanencia en cola de los eventos más antiguos superó los trescientos veintiséis segundos. La deduplicación por identificador, además, no registró coincidencias, lo que confirma la ausencia de reentregas. La batería verifica, en consecuencia, que la resiliencia offline y el control anti-replay son propiedades simultáneamente satisfacibles en el diseño adoptado.</w:t>
      </w:r>
    </w:p>
    <w:p>
      <w:pPr>
        <w:pStyle w:val="BodyText"/>
      </w:pPr>
      <w:r>
        <w:t xml:space="preserve">La evaluación histórica registró 3.000 operaciones y 2.988 eventos encolados. El cierre técnico caracteriza las doce diferencias como compatibles con retornos a la baseline, pero no permite reconstruir su recorrido interno en aquella ejecución. Los 2.988 eventos encolados se entregaron íntegramente; esto no acredita por sí mismo detección de las 3.000 operaciones. La nueva corrida causal del apartado 5.2 demuestra descartes legítimos en sus propios diez casos, sin resolver retrospectivamente las doce diferencias de la batería histórica.</w:t>
      </w:r>
    </w:p>
    <w:bookmarkStart w:id="103" w:name="Xf761b08e6aa7494fbc2eefd649f4a2ef398bf1e"/>
    <w:p>
      <w:pPr>
        <w:pStyle w:val="Heading3"/>
      </w:pPr>
      <w:r>
        <w:t xml:space="preserve">5.6.1 El tiempo de recuperación no alcanza el umbral</w:t>
      </w:r>
    </w:p>
    <w:p>
      <w:pPr>
        <w:pStyle w:val="FirstParagraph"/>
      </w:pPr>
      <w:r>
        <w:t xml:space="preserve">El indicador de tiempo de recuperación total registra 153 segundos frente a un umbral de treinta, y no cumple. El resultado se reporta como tal, sin atenuación, y merece análisis.</w:t>
      </w:r>
    </w:p>
    <w:p>
      <w:pPr>
        <w:pStyle w:val="BodyText"/>
      </w:pPr>
      <w:r>
        <w:t xml:space="preserve">Como descripción complementaria, y sin sustituir el criterio, el drenaje de los 2.988 eventos encolados se sostuvo a una tasa efectiva de 19,5 eventos por segundo. Alcanzar el umbral de treinta segundos habría exigido sostener 99,6 eventos por segundo, esto es, un caudal cinco veces superior. La medición se practicó con la limitación de tasa del consumo de eventos ya elevada a cien mil por minuto. Este valor se declara porque la configuración por defecto descripta en el apartado 4.11 —cien eventos por minuto por agente— habría producido un tiempo de drenaje órdenes de magnitud mayor. El cuello de botella no reside, en consecuencia, en la limitación de tasa sino en el caudal de ingesta del backend.</w:t>
      </w:r>
    </w:p>
    <w:p>
      <w:pPr>
        <w:pStyle w:val="BodyText"/>
      </w:pPr>
      <w:r>
        <w:t xml:space="preserve">Corresponde señalar que el umbral de treinta segundos, fijado a priori conforme al apartado 1.6, se formuló como resiliencia operativa mínima aceptable sin especificar el volumen acumulado sobre el cual debía medirse. El tiempo de drenaje es función del volumen encolado, de modo que el criterio resulta más exigente cuanto más prolongada es la desconexión ensayada. Una formulación futura podría expresar el criterio como caudal de drenaje —eventos por segundo— en lugar de tiempo absoluto, o fijar el tiempo para un volumen determinado.</w:t>
      </w:r>
    </w:p>
    <w:p>
      <w:pPr>
        <w:pStyle w:val="BodyText"/>
      </w:pPr>
      <w:r>
        <w:t xml:space="preserve">Esta observación no convierte el resultado en un cumplimiento. El criterio se fijó como se fijó, se midió como se prometió y no se alcanzó; reformularlo ahora para que el resultado lo satisfaga sería la práctica que el apartado 5.1 declara excluida. Se consigna el incumplimiento, se identifica la limitación de la formulación, y la reformulación se propone para un estudio posterior en el apartado 8.1, sin aplicarla retroactivamente. Con independencia de la formulación del criterio, el resultado señala una limitación real del caudal de ingesta del backend en las condiciones ensayadas.</w:t>
      </w:r>
    </w:p>
    <w:p>
      <w:pPr>
        <w:pStyle w:val="BodyText"/>
      </w:pPr>
      <w:r>
        <w:t xml:space="preserve">Evaluaciones complementarias del drenaje. Tras modificaciones de la cola y de la ingesta se efectuaron ensayos específicos del trayecto de transporte y persistencia. Run 3 drenó 3.000 eventos en 51,773 segundos y no alcanzó el umbral de 30 segundos. Run 4, ejecutado sobre una copia limpia del commit 965dcacc5c189f4a9808b063e32085d89e636803, drenó 3.000 eventos en 29,146 segundos, con un caudal de 102,929 eventos por segundo, sin rechazos ni publicaciones duplicadas y con la cola local vacía al finalizar.</w:t>
      </w:r>
    </w:p>
    <w:p>
      <w:pPr>
        <w:pStyle w:val="BodyText"/>
      </w:pPr>
      <w:r>
        <w:t xml:space="preserve">Run 4 empleó 3.000 eventos preencolados con rutas únicas y acción manual_review. Permanecieron activos HMAC, persistencia PostgreSQL, consumer group de Valkey, confirmaciones y eliminación durable de la cola. El límite de ingesta experimental fue de 100.000 eventos por minuto, frente al valor predeterminado de 100. El transporte Valkey del ensayo utilizó una conexión local sin TLS. La preparación de la cola se excluyó del tiempo de drenaje; el reloj de medición fue monotónico.</w:t>
      </w:r>
    </w:p>
    <w:p>
      <w:pPr>
        <w:pStyle w:val="BodyText"/>
      </w:pPr>
      <w:r>
        <w:t xml:space="preserve">La corrida original de Run 4 registró 29,146 s, es decir, un margen descriptivo de 0,854 s respecto del umbral de 30 s, exclusivamente bajo las condiciones de ese ensayo. Esa corrida, por sí sola, no permitía estimar variabilidad, robustez ni probabilidad de cumplimiento; tampoco se reproduce la desconexión completa de cinco minutos ni se valida la detección durante ella. No evalúa el límite de tasa predeterminado, la supersesión sobre una misma ruta ni un despliegue multianfitrión. Se conservan por separado el resultado histórico de 153 segundos y Run 3 de 51,773 segundos. Dos intentos inválidos del arnés están identificados y excluidos de Run 4.</w:t>
      </w:r>
    </w:p>
    <w:p>
      <w:pPr>
        <w:pStyle w:val="FirstParagraph"/>
      </w:pPr>
      <w:r>
        <w:t xml:space="preserve">Repetición posterior de Run 4. Sobre el candidato 7df4935 se repitió el arnés de Run 4 sin modificarlo: el mismo run_profile.py, con idéntico SHA-256 en las cinco corridas. PostgreSQL 18.3 y Valkey 9.0.3 funcionaron en contenedores aislados. Cada corrida reinició la base, Valkey y el directorio de cola, preencoló 3.000 eventos y aplicó los mismos parámetros: timeout de 300 s, límite experimental de 100.000 eventos por 60 s y reloj monotónico. El intervalo empieza al iniciar el publicador y termina cuando PostgreSQL contiene los 3.000 eventos y la cola local queda vacía. Se informan las cinco corridas válidas; no se seleccionó la mejor. Una invocación interrumpida por el transporte de ejecución, sin resumen ni código de salida, se conserva como inválida y no se cuenta.</w:t>
      </w:r>
    </w:p>
    <w:p>
      <w:pPr>
        <w:pStyle w:val="BodyText"/>
        <w:keepNext/>
      </w:pPr>
      <w:r>
        <w:rPr>
          <w:bCs/>
          <w:b/>
          <w:iCs/>
          <w:i/>
        </w:rPr>
        <w:t xml:space="preserve">Tabla 16a.</w:t>
      </w:r>
      <w:r>
        <w:rPr>
          <w:iCs/>
          <w:i/>
        </w:rPr>
        <w:t xml:space="preserve"> Repetición del drenaje de Run 4 sobre el candidato 7df4935</w:t>
      </w:r>
    </w:p>
    <w:tbl>
      <w:tblPr>
        <w:tblStyle w:val="Table"/>
        <w:tblW w:type="pct" w:w="4910"/>
        <w:jc w:val="start"/>
        <w:tblLook w:firstRow="1" w:lastRow="0" w:firstColumn="0" w:lastColumn="0" w:noHBand="0" w:noVBand="0" w:val="0020"/>
      </w:tblPr>
      <w:tblGrid>
        <w:gridCol w:w="1200"/>
        <w:gridCol w:w="2400"/>
        <w:gridCol w:w="1400"/>
        <w:gridCol w:w="1300"/>
        <w:gridCol w:w="1900"/>
        <w:gridCol w:w="800"/>
      </w:tblGrid>
      <w:tr>
        <w:trPr>
          <w:tblHeader w:val="true"/>
          <w:cantSplit/>
        </w:trPr>
        <w:tc>
          <w:tcPr>
            <w:tcW w:w="1200" w:type="dxa"/>
          </w:tcPr>
          <w:p>
            <w:pPr>
              <w:pStyle w:val="Compact"/>
              <w:jc w:val="left"/>
            </w:pPr>
            <w:r>
              <w:rPr>
                <w:bCs/>
                <w:b/>
              </w:rPr>
              <w:t xml:space="preserve">Corrida</w:t>
            </w:r>
          </w:p>
        </w:tc>
        <w:tc>
          <w:tcPr>
            <w:tcW w:w="2400" w:type="dxa"/>
          </w:tcPr>
          <w:p>
            <w:pPr>
              <w:pStyle w:val="Compact"/>
              <w:jc w:val="left"/>
            </w:pPr>
            <w:r>
              <w:rPr>
                <w:bCs/>
                <w:b/>
              </w:rPr>
              <w:t xml:space="preserve">Tiempo (s)</w:t>
            </w:r>
          </w:p>
        </w:tc>
        <w:tc>
          <w:tcPr>
            <w:tcW w:w="1400" w:type="dxa"/>
          </w:tcPr>
          <w:p>
            <w:pPr>
              <w:pStyle w:val="Compact"/>
              <w:jc w:val="left"/>
            </w:pPr>
            <w:r>
              <w:rPr>
                <w:bCs/>
                <w:b/>
              </w:rPr>
              <w:t xml:space="preserve">Eventos persistidos</w:t>
            </w:r>
          </w:p>
        </w:tc>
        <w:tc>
          <w:tcPr>
            <w:tcW w:w="1300" w:type="dxa"/>
          </w:tcPr>
          <w:p>
            <w:pPr>
              <w:pStyle w:val="Compact"/>
              <w:jc w:val="left"/>
            </w:pPr>
            <w:r>
              <w:rPr>
                <w:bCs/>
                <w:b/>
              </w:rPr>
              <w:t xml:space="preserve">Caudal (eventos/s)</w:t>
            </w:r>
          </w:p>
        </w:tc>
        <w:tc>
          <w:tcPr>
            <w:tcW w:w="1900" w:type="dxa"/>
          </w:tcPr>
          <w:p>
            <w:pPr>
              <w:pStyle w:val="Compact"/>
              <w:jc w:val="left"/>
            </w:pPr>
            <w:r>
              <w:rPr>
                <w:bCs/>
                <w:b/>
              </w:rPr>
              <w:t xml:space="preserve">Duplicados / rechazos / cola residual</w:t>
            </w:r>
          </w:p>
        </w:tc>
        <w:tc>
          <w:tcPr>
            <w:tcW w:w="800" w:type="dxa"/>
          </w:tcPr>
          <w:p>
            <w:pPr>
              <w:pStyle w:val="Compact"/>
              <w:jc w:val="left"/>
            </w:pPr>
            <w:r>
              <w:rPr>
                <w:bCs/>
                <w:b/>
              </w:rPr>
              <w:t xml:space="preserve">&lt; 30 s</w:t>
            </w:r>
          </w:p>
        </w:tc>
      </w:tr>
      <w:tr>
        <w:trPr>
          <w:cantSplit/>
        </w:trPr>
        <w:tc>
          <w:tcPr>
            <w:tcW w:w="1200" w:type="dxa"/>
          </w:tcPr>
          <w:p>
            <w:pPr>
              <w:pStyle w:val="Compact"/>
              <w:jc w:val="left"/>
            </w:pPr>
            <w:r>
              <w:t xml:space="preserve">run-01</w:t>
            </w:r>
          </w:p>
        </w:tc>
        <w:tc>
          <w:tcPr>
            <w:tcW w:w="2400" w:type="dxa"/>
          </w:tcPr>
          <w:p>
            <w:pPr>
              <w:pStyle w:val="Compact"/>
              <w:jc w:val="left"/>
            </w:pPr>
            <w:r>
              <w:t xml:space="preserve">27,784</w:t>
            </w:r>
          </w:p>
        </w:tc>
        <w:tc>
          <w:tcPr>
            <w:tcW w:w="1400" w:type="dxa"/>
          </w:tcPr>
          <w:p>
            <w:pPr>
              <w:pStyle w:val="Compact"/>
              <w:jc w:val="left"/>
            </w:pPr>
            <w:r>
              <w:t xml:space="preserve">3.000/3.000</w:t>
            </w:r>
          </w:p>
        </w:tc>
        <w:tc>
          <w:tcPr>
            <w:tcW w:w="1300" w:type="dxa"/>
          </w:tcPr>
          <w:p>
            <w:pPr>
              <w:pStyle w:val="Compact"/>
              <w:jc w:val="left"/>
            </w:pPr>
            <w:r>
              <w:t xml:space="preserve">107,97</w:t>
            </w:r>
          </w:p>
        </w:tc>
        <w:tc>
          <w:tcPr>
            <w:tcW w:w="1900" w:type="dxa"/>
          </w:tcPr>
          <w:p>
            <w:pPr>
              <w:pStyle w:val="Compact"/>
              <w:jc w:val="left"/>
            </w:pPr>
            <w:r>
              <w:t xml:space="preserve">0 / 0 / 0</w:t>
            </w:r>
          </w:p>
        </w:tc>
        <w:tc>
          <w:tcPr>
            <w:tcW w:w="800" w:type="dxa"/>
          </w:tcPr>
          <w:p>
            <w:pPr>
              <w:pStyle w:val="Compact"/>
              <w:jc w:val="left"/>
            </w:pPr>
            <w:r>
              <w:t xml:space="preserve">Sí</w:t>
            </w:r>
          </w:p>
        </w:tc>
      </w:tr>
      <w:tr>
        <w:trPr>
          <w:cantSplit/>
        </w:trPr>
        <w:tc>
          <w:tcPr>
            <w:tcW w:w="1200" w:type="dxa"/>
          </w:tcPr>
          <w:p>
            <w:pPr>
              <w:pStyle w:val="Compact"/>
              <w:jc w:val="left"/>
            </w:pPr>
            <w:r>
              <w:t xml:space="preserve">run-02</w:t>
            </w:r>
          </w:p>
        </w:tc>
        <w:tc>
          <w:tcPr>
            <w:tcW w:w="2400" w:type="dxa"/>
          </w:tcPr>
          <w:p>
            <w:pPr>
              <w:pStyle w:val="Compact"/>
              <w:jc w:val="left"/>
            </w:pPr>
            <w:r>
              <w:t xml:space="preserve">29,043</w:t>
            </w:r>
          </w:p>
        </w:tc>
        <w:tc>
          <w:tcPr>
            <w:tcW w:w="1400" w:type="dxa"/>
          </w:tcPr>
          <w:p>
            <w:pPr>
              <w:pStyle w:val="Compact"/>
              <w:jc w:val="left"/>
            </w:pPr>
            <w:r>
              <w:t xml:space="preserve">3.000/3.000</w:t>
            </w:r>
          </w:p>
        </w:tc>
        <w:tc>
          <w:tcPr>
            <w:tcW w:w="1300" w:type="dxa"/>
          </w:tcPr>
          <w:p>
            <w:pPr>
              <w:pStyle w:val="Compact"/>
              <w:jc w:val="left"/>
            </w:pPr>
            <w:r>
              <w:t xml:space="preserve">103,30</w:t>
            </w:r>
          </w:p>
        </w:tc>
        <w:tc>
          <w:tcPr>
            <w:tcW w:w="1900" w:type="dxa"/>
          </w:tcPr>
          <w:p>
            <w:pPr>
              <w:pStyle w:val="Compact"/>
              <w:jc w:val="left"/>
            </w:pPr>
            <w:r>
              <w:t xml:space="preserve">0 / 0 / 0</w:t>
            </w:r>
          </w:p>
        </w:tc>
        <w:tc>
          <w:tcPr>
            <w:tcW w:w="800" w:type="dxa"/>
          </w:tcPr>
          <w:p>
            <w:pPr>
              <w:pStyle w:val="Compact"/>
              <w:jc w:val="left"/>
            </w:pPr>
            <w:r>
              <w:t xml:space="preserve">Sí</w:t>
            </w:r>
          </w:p>
        </w:tc>
      </w:tr>
      <w:tr>
        <w:trPr>
          <w:cantSplit/>
        </w:trPr>
        <w:tc>
          <w:tcPr>
            <w:tcW w:w="1200" w:type="dxa"/>
          </w:tcPr>
          <w:p>
            <w:pPr>
              <w:pStyle w:val="Compact"/>
              <w:jc w:val="left"/>
            </w:pPr>
            <w:r>
              <w:t xml:space="preserve">run-03</w:t>
            </w:r>
          </w:p>
        </w:tc>
        <w:tc>
          <w:tcPr>
            <w:tcW w:w="2400" w:type="dxa"/>
          </w:tcPr>
          <w:p>
            <w:pPr>
              <w:pStyle w:val="Compact"/>
              <w:jc w:val="left"/>
            </w:pPr>
            <w:r>
              <w:t xml:space="preserve">28,109</w:t>
            </w:r>
          </w:p>
        </w:tc>
        <w:tc>
          <w:tcPr>
            <w:tcW w:w="1400" w:type="dxa"/>
          </w:tcPr>
          <w:p>
            <w:pPr>
              <w:pStyle w:val="Compact"/>
              <w:jc w:val="left"/>
            </w:pPr>
            <w:r>
              <w:t xml:space="preserve">3.000/3.000</w:t>
            </w:r>
          </w:p>
        </w:tc>
        <w:tc>
          <w:tcPr>
            <w:tcW w:w="1300" w:type="dxa"/>
          </w:tcPr>
          <w:p>
            <w:pPr>
              <w:pStyle w:val="Compact"/>
              <w:jc w:val="left"/>
            </w:pPr>
            <w:r>
              <w:t xml:space="preserve">106,73</w:t>
            </w:r>
          </w:p>
        </w:tc>
        <w:tc>
          <w:tcPr>
            <w:tcW w:w="1900" w:type="dxa"/>
          </w:tcPr>
          <w:p>
            <w:pPr>
              <w:pStyle w:val="Compact"/>
              <w:jc w:val="left"/>
            </w:pPr>
            <w:r>
              <w:t xml:space="preserve">0 / 0 / 0</w:t>
            </w:r>
          </w:p>
        </w:tc>
        <w:tc>
          <w:tcPr>
            <w:tcW w:w="800" w:type="dxa"/>
          </w:tcPr>
          <w:p>
            <w:pPr>
              <w:pStyle w:val="Compact"/>
              <w:jc w:val="left"/>
            </w:pPr>
            <w:r>
              <w:t xml:space="preserve">Sí</w:t>
            </w:r>
          </w:p>
        </w:tc>
      </w:tr>
      <w:tr>
        <w:trPr>
          <w:cantSplit/>
        </w:trPr>
        <w:tc>
          <w:tcPr>
            <w:tcW w:w="1200" w:type="dxa"/>
          </w:tcPr>
          <w:p>
            <w:pPr>
              <w:pStyle w:val="Compact"/>
              <w:jc w:val="left"/>
            </w:pPr>
            <w:r>
              <w:t xml:space="preserve">run-04</w:t>
            </w:r>
          </w:p>
        </w:tc>
        <w:tc>
          <w:tcPr>
            <w:tcW w:w="2400" w:type="dxa"/>
          </w:tcPr>
          <w:p>
            <w:pPr>
              <w:pStyle w:val="Compact"/>
              <w:jc w:val="left"/>
            </w:pPr>
            <w:r>
              <w:t xml:space="preserve">29,188</w:t>
            </w:r>
          </w:p>
        </w:tc>
        <w:tc>
          <w:tcPr>
            <w:tcW w:w="1400" w:type="dxa"/>
          </w:tcPr>
          <w:p>
            <w:pPr>
              <w:pStyle w:val="Compact"/>
              <w:jc w:val="left"/>
            </w:pPr>
            <w:r>
              <w:t xml:space="preserve">3.000/3.000</w:t>
            </w:r>
          </w:p>
        </w:tc>
        <w:tc>
          <w:tcPr>
            <w:tcW w:w="1300" w:type="dxa"/>
          </w:tcPr>
          <w:p>
            <w:pPr>
              <w:pStyle w:val="Compact"/>
              <w:jc w:val="left"/>
            </w:pPr>
            <w:r>
              <w:t xml:space="preserve">102,78</w:t>
            </w:r>
          </w:p>
        </w:tc>
        <w:tc>
          <w:tcPr>
            <w:tcW w:w="1900" w:type="dxa"/>
          </w:tcPr>
          <w:p>
            <w:pPr>
              <w:pStyle w:val="Compact"/>
              <w:jc w:val="left"/>
            </w:pPr>
            <w:r>
              <w:t xml:space="preserve">0 / 0 / 0</w:t>
            </w:r>
          </w:p>
        </w:tc>
        <w:tc>
          <w:tcPr>
            <w:tcW w:w="800" w:type="dxa"/>
          </w:tcPr>
          <w:p>
            <w:pPr>
              <w:pStyle w:val="Compact"/>
              <w:jc w:val="left"/>
            </w:pPr>
            <w:r>
              <w:t xml:space="preserve">Sí</w:t>
            </w:r>
          </w:p>
        </w:tc>
      </w:tr>
      <w:tr>
        <w:trPr>
          <w:cantSplit/>
        </w:trPr>
        <w:tc>
          <w:tcPr>
            <w:tcW w:w="1200" w:type="dxa"/>
          </w:tcPr>
          <w:p>
            <w:pPr>
              <w:pStyle w:val="Compact"/>
              <w:jc w:val="left"/>
            </w:pPr>
            <w:r>
              <w:t xml:space="preserve">run-05</w:t>
            </w:r>
          </w:p>
        </w:tc>
        <w:tc>
          <w:tcPr>
            <w:tcW w:w="2400" w:type="dxa"/>
          </w:tcPr>
          <w:p>
            <w:pPr>
              <w:pStyle w:val="Compact"/>
              <w:jc w:val="left"/>
            </w:pPr>
            <w:r>
              <w:t xml:space="preserve">27,997</w:t>
            </w:r>
          </w:p>
        </w:tc>
        <w:tc>
          <w:tcPr>
            <w:tcW w:w="1400" w:type="dxa"/>
          </w:tcPr>
          <w:p>
            <w:pPr>
              <w:pStyle w:val="Compact"/>
              <w:jc w:val="left"/>
            </w:pPr>
            <w:r>
              <w:t xml:space="preserve">3.000/3.000</w:t>
            </w:r>
          </w:p>
        </w:tc>
        <w:tc>
          <w:tcPr>
            <w:tcW w:w="1300" w:type="dxa"/>
          </w:tcPr>
          <w:p>
            <w:pPr>
              <w:pStyle w:val="Compact"/>
              <w:jc w:val="left"/>
            </w:pPr>
            <w:r>
              <w:t xml:space="preserve">107,15</w:t>
            </w:r>
          </w:p>
        </w:tc>
        <w:tc>
          <w:tcPr>
            <w:tcW w:w="1900" w:type="dxa"/>
          </w:tcPr>
          <w:p>
            <w:pPr>
              <w:pStyle w:val="Compact"/>
              <w:jc w:val="left"/>
            </w:pPr>
            <w:r>
              <w:t xml:space="preserve">0 / 0 / 0</w:t>
            </w:r>
          </w:p>
        </w:tc>
        <w:tc>
          <w:tcPr>
            <w:tcW w:w="800" w:type="dxa"/>
          </w:tcPr>
          <w:p>
            <w:pPr>
              <w:pStyle w:val="Compact"/>
              <w:jc w:val="left"/>
            </w:pPr>
            <w:r>
              <w:t xml:space="preserve">Sí</w:t>
            </w:r>
          </w:p>
        </w:tc>
      </w:tr>
      <w:tr>
        <w:trPr>
          <w:cantSplit/>
        </w:trPr>
        <w:tc>
          <w:tcPr>
            <w:tcW w:w="1200" w:type="dxa"/>
          </w:tcPr>
          <w:p>
            <w:pPr>
              <w:pStyle w:val="Compact"/>
              <w:jc w:val="left"/>
            </w:pPr>
            <w:r>
              <w:t xml:space="preserve">Serie (n = 5)</w:t>
            </w:r>
          </w:p>
        </w:tc>
        <w:tc>
          <w:tcPr>
            <w:tcW w:w="2400" w:type="dxa"/>
          </w:tcPr>
          <w:p>
            <w:pPr>
              <w:pStyle w:val="Compact"/>
              <w:jc w:val="left"/>
            </w:pPr>
            <w:r>
              <w:t xml:space="preserve">media 28,424; mediana 28,109; desvío muestral 0,644; mín. 27,784; máx. 29,188</w:t>
            </w:r>
          </w:p>
        </w:tc>
        <w:tc>
          <w:tcPr>
            <w:tcW w:w="1400" w:type="dxa"/>
          </w:tcPr>
          <w:p>
            <w:pPr>
              <w:pStyle w:val="Compact"/>
              <w:jc w:val="left"/>
            </w:pPr>
            <w:r>
              <w:t xml:space="preserve">3.000/3.000 en cada corrida</w:t>
            </w:r>
          </w:p>
        </w:tc>
        <w:tc>
          <w:tcPr>
            <w:tcW w:w="1300" w:type="dxa"/>
          </w:tcPr>
          <w:p>
            <w:pPr>
              <w:pStyle w:val="Compact"/>
              <w:jc w:val="left"/>
            </w:pPr>
            <w:r>
              <w:t xml:space="preserve">—</w:t>
            </w:r>
          </w:p>
        </w:tc>
        <w:tc>
          <w:tcPr>
            <w:tcW w:w="1900" w:type="dxa"/>
          </w:tcPr>
          <w:p>
            <w:pPr>
              <w:pStyle w:val="Compact"/>
              <w:jc w:val="left"/>
            </w:pPr>
            <w:r>
              <w:t xml:space="preserve">0 / 0 / 0 en cada corrida</w:t>
            </w:r>
          </w:p>
        </w:tc>
        <w:tc>
          <w:tcPr>
            <w:tcW w:w="800" w:type="dxa"/>
          </w:tcPr>
          <w:p>
            <w:pPr>
              <w:pStyle w:val="Compact"/>
              <w:jc w:val="left"/>
            </w:pPr>
            <w:r>
              <w:t xml:space="preserve">5 de 5</w:t>
            </w:r>
          </w:p>
        </w:tc>
      </w:tr>
    </w:tbl>
    <w:p>
      <w:pPr>
        <w:pStyle w:val="BodyText"/>
      </w:pPr>
      <w:r>
        <w:rPr>
          <w:bCs/>
          <w:b/>
          <w:iCs/>
          <w:i/>
        </w:rPr>
        <w:t xml:space="preserve">Nota.</w:t>
      </w:r>
      <w:r>
        <w:rPr>
          <w:iCs/>
          <w:i/>
        </w:rPr>
        <w:t xml:space="preserve"> Corridas nuevas sobre el candidato 7df4935; no reinterpretan el resultado histórico de 153 s, Run 3 de 51,773 s ni la corrida original de Run 4 (29,146 s, commit 965dcac), que se conservan por separado. Condiciones: anfitrión único, eventos preencolados, tasa experimental distinta del valor productivo de 100 eventos por minuto y sin reproducir la desconexión completa de cinco minutos. La serie describe variabilidad bajo esas condiciones; cinco repeticiones no habilitan inferencia poblacional. Fuente: experiments-closure-20260912T004612Z/drain/.</w:t>
      </w:r>
    </w:p>
    <w:bookmarkEnd w:id="103"/>
    <w:bookmarkEnd w:id="104"/>
    <w:bookmarkStart w:id="105" w:name="comparación-con-grupo-de-control"/>
    <w:p>
      <w:pPr>
        <w:pStyle w:val="Heading2"/>
      </w:pPr>
      <w:r>
        <w:rPr>
          <w:bCs/>
          <w:b/>
        </w:rPr>
        <w:t xml:space="preserve">5.7 Comparación con grupo de control</w:t>
      </w:r>
    </w:p>
    <w:p>
      <w:pPr>
        <w:pStyle w:val="FirstParagraph"/>
      </w:pPr>
      <w:r>
        <w:t xml:space="preserve">El componente comparativo de la tercera batería contrasta el grupo experimental contra el grupo de control. Ambos se ejecutan simultáneamente sobre la misma carga de trabajo y sobre los mismos directorios monitoreados. La ejecución simultánea elimina la variabilidad proveniente de condiciones de sistema distintas y permite comparar ambos paradigmas bajo una carga común; conforme al apartado 3.1, no habilita la atribución causal de la diferencia a decisiones arquitectónicas particulares.</w:t>
      </w:r>
    </w:p>
    <w:p>
      <w:pPr>
        <w:pStyle w:val="BodyText"/>
        <w:keepNext/>
      </w:pPr>
      <w:r>
        <w:rPr>
          <w:bCs/>
          <w:b/>
          <w:iCs/>
          <w:i/>
        </w:rPr>
        <w:t xml:space="preserve">Tabla 17.</w:t>
      </w:r>
      <w:r>
        <w:rPr>
          <w:iCs/>
          <w:i/>
        </w:rPr>
        <w:t xml:space="preserve"> Resultados — Comparación experimental vs. control</w:t>
      </w:r>
    </w:p>
    <w:tbl>
      <w:tblPr>
        <w:tblStyle w:val="Table"/>
        <w:tblW w:type="pct" w:w="4911"/>
        <w:jc w:val="start"/>
        <w:tblLook w:firstRow="1" w:lastRow="0" w:firstColumn="0" w:lastColumn="0" w:noHBand="0" w:noVBand="0" w:val="0020"/>
      </w:tblPr>
      <w:tblGrid>
        <w:gridCol w:w="2828"/>
        <w:gridCol w:w="1485"/>
        <w:gridCol w:w="1838"/>
        <w:gridCol w:w="1626"/>
      </w:tblGrid>
      <w:tr>
        <w:trPr>
          <w:tblHeader w:val="true"/>
          <w:cantSplit/>
        </w:trPr>
        <w:tc>
          <w:tcPr/>
          <w:p>
            <w:pPr>
              <w:pStyle w:val="Compact"/>
              <w:jc w:val="left"/>
            </w:pPr>
            <w:r>
              <w:rPr>
                <w:bCs/>
                <w:b/>
              </w:rPr>
              <w:t xml:space="preserve">Indicador</w:t>
            </w:r>
          </w:p>
        </w:tc>
        <w:tc>
          <w:tcPr/>
          <w:p>
            <w:pPr>
              <w:pStyle w:val="Compact"/>
              <w:jc w:val="left"/>
            </w:pPr>
            <w:r>
              <w:rPr>
                <w:bCs/>
                <w:b/>
              </w:rPr>
              <w:t xml:space="preserve">Plataforma FIM</w:t>
            </w:r>
          </w:p>
        </w:tc>
        <w:tc>
          <w:tcPr/>
          <w:p>
            <w:pPr>
              <w:pStyle w:val="Compact"/>
              <w:jc w:val="left"/>
            </w:pPr>
            <w:r>
              <w:rPr>
                <w:bCs/>
                <w:b/>
              </w:rPr>
              <w:t xml:space="preserve">Script cron (900 s)</w:t>
            </w:r>
          </w:p>
        </w:tc>
        <w:tc>
          <w:tcPr/>
          <w:p>
            <w:pPr>
              <w:pStyle w:val="Compact"/>
              <w:jc w:val="left"/>
            </w:pPr>
            <w:r>
              <w:rPr>
                <w:bCs/>
                <w:b/>
              </w:rPr>
              <w:t xml:space="preserve">Factor de mejora</w:t>
            </w:r>
          </w:p>
        </w:tc>
      </w:tr>
      <w:tr>
        <w:trPr>
          <w:cantSplit/>
        </w:trPr>
        <w:tc>
          <w:tcPr/>
          <w:p>
            <w:pPr>
              <w:pStyle w:val="Compact"/>
              <w:jc w:val="left"/>
            </w:pPr>
            <w:r>
              <w:t xml:space="preserve">Mediana de latencia</w:t>
            </w:r>
          </w:p>
        </w:tc>
        <w:tc>
          <w:tcPr/>
          <w:p>
            <w:pPr>
              <w:pStyle w:val="Compact"/>
              <w:jc w:val="left"/>
            </w:pPr>
            <w:r>
              <w:t xml:space="preserve">12,176 ms</w:t>
            </w:r>
          </w:p>
        </w:tc>
        <w:tc>
          <w:tcPr/>
          <w:p>
            <w:pPr>
              <w:pStyle w:val="Compact"/>
              <w:jc w:val="left"/>
            </w:pPr>
            <w:r>
              <w:t xml:space="preserve">553.054,29 ms (9,2 min)</w:t>
            </w:r>
          </w:p>
        </w:tc>
        <w:tc>
          <w:tcPr/>
          <w:p>
            <w:pPr>
              <w:pStyle w:val="Compact"/>
              <w:jc w:val="left"/>
            </w:pPr>
            <w:r>
              <w:t xml:space="preserve">—</w:t>
            </w:r>
          </w:p>
        </w:tc>
      </w:tr>
      <w:tr>
        <w:trPr>
          <w:cantSplit/>
        </w:trPr>
        <w:tc>
          <w:tcPr/>
          <w:p>
            <w:pPr>
              <w:pStyle w:val="Compact"/>
              <w:jc w:val="left"/>
            </w:pPr>
            <w:r>
              <w:t xml:space="preserve">Latencia percentil 99</w:t>
            </w:r>
          </w:p>
        </w:tc>
        <w:tc>
          <w:tcPr/>
          <w:p>
            <w:pPr>
              <w:pStyle w:val="Compact"/>
              <w:jc w:val="left"/>
            </w:pPr>
            <w:r>
              <w:t xml:space="preserve">17,274 ms</w:t>
            </w:r>
          </w:p>
        </w:tc>
        <w:tc>
          <w:tcPr/>
          <w:p>
            <w:pPr>
              <w:pStyle w:val="Compact"/>
              <w:jc w:val="left"/>
            </w:pPr>
            <w:r>
              <w:t xml:space="preserve">897.370,87 ms (15,0 min)</w:t>
            </w:r>
          </w:p>
        </w:tc>
        <w:tc>
          <w:tcPr/>
          <w:p>
            <w:pPr>
              <w:pStyle w:val="Compact"/>
              <w:jc w:val="left"/>
            </w:pPr>
            <w:r>
              <w:t xml:space="preserve">—</w:t>
            </w:r>
          </w:p>
        </w:tc>
      </w:tr>
      <w:tr>
        <w:trPr>
          <w:cantSplit/>
        </w:trPr>
        <w:tc>
          <w:tcPr/>
          <w:p>
            <w:pPr>
              <w:pStyle w:val="Compact"/>
              <w:jc w:val="left"/>
            </w:pPr>
            <w:r>
              <w:t xml:space="preserve">Operaciones sin evento / no detectadas</w:t>
            </w:r>
          </w:p>
        </w:tc>
        <w:tc>
          <w:tcPr/>
          <w:p>
            <w:pPr>
              <w:pStyle w:val="Compact"/>
              <w:jc w:val="left"/>
            </w:pPr>
            <w:r>
              <w:t xml:space="preserve">7 de 500 (1,4 %; causa indeterminada)</w:t>
            </w:r>
          </w:p>
        </w:tc>
        <w:tc>
          <w:tcPr/>
          <w:p>
            <w:pPr>
              <w:pStyle w:val="Compact"/>
              <w:jc w:val="left"/>
            </w:pPr>
            <w:r>
              <w:t xml:space="preserve">395 de 500 (79,0 %)</w:t>
            </w:r>
          </w:p>
        </w:tc>
        <w:tc>
          <w:tcPr/>
          <w:p>
            <w:pPr>
              <w:pStyle w:val="Compact"/>
              <w:jc w:val="left"/>
            </w:pPr>
            <w:r>
              <w:t xml:space="preserve">—</w:t>
            </w:r>
          </w:p>
        </w:tc>
      </w:tr>
      <w:tr>
        <w:trPr>
          <w:cantSplit/>
        </w:trPr>
        <w:tc>
          <w:tcPr/>
          <w:p>
            <w:pPr>
              <w:pStyle w:val="Compact"/>
              <w:jc w:val="left"/>
            </w:pPr>
            <w:r>
              <w:t xml:space="preserve">Baseline con separación y cifrado</w:t>
            </w:r>
          </w:p>
        </w:tc>
        <w:tc>
          <w:tcPr/>
          <w:p>
            <w:pPr>
              <w:pStyle w:val="Compact"/>
              <w:jc w:val="left"/>
            </w:pPr>
            <w:r>
              <w:t xml:space="preserve">Sí</w:t>
            </w:r>
          </w:p>
        </w:tc>
        <w:tc>
          <w:tcPr/>
          <w:p>
            <w:pPr>
              <w:pStyle w:val="Compact"/>
              <w:jc w:val="left"/>
            </w:pPr>
            <w:r>
              <w:t xml:space="preserve">No</w:t>
            </w:r>
          </w:p>
        </w:tc>
        <w:tc>
          <w:tcPr/>
          <w:p>
            <w:pPr>
              <w:pStyle w:val="Compact"/>
              <w:jc w:val="left"/>
            </w:pPr>
            <w:r>
              <w:t xml:space="preserve">—</w:t>
            </w:r>
          </w:p>
        </w:tc>
      </w:tr>
      <w:tr>
        <w:trPr>
          <w:cantSplit/>
        </w:trPr>
        <w:tc>
          <w:tcPr/>
          <w:p>
            <w:pPr>
              <w:pStyle w:val="Compact"/>
              <w:jc w:val="left"/>
            </w:pPr>
            <w:r>
              <w:t xml:space="preserve">Notificación automática con alternativas</w:t>
            </w:r>
          </w:p>
        </w:tc>
        <w:tc>
          <w:tcPr/>
          <w:p>
            <w:pPr>
              <w:pStyle w:val="Compact"/>
              <w:jc w:val="left"/>
            </w:pPr>
            <w:r>
              <w:t xml:space="preserve">Sí</w:t>
            </w:r>
          </w:p>
        </w:tc>
        <w:tc>
          <w:tcPr/>
          <w:p>
            <w:pPr>
              <w:pStyle w:val="Compact"/>
              <w:jc w:val="left"/>
            </w:pPr>
            <w:r>
              <w:t xml:space="preserve">No</w:t>
            </w:r>
          </w:p>
        </w:tc>
        <w:tc>
          <w:tcPr/>
          <w:p>
            <w:pPr>
              <w:pStyle w:val="Compact"/>
              <w:jc w:val="left"/>
            </w:pPr>
            <w:r>
              <w:t xml:space="preserve">—</w:t>
            </w:r>
          </w:p>
        </w:tc>
      </w:tr>
      <w:tr>
        <w:trPr>
          <w:cantSplit/>
        </w:trPr>
        <w:tc>
          <w:tcPr/>
          <w:p>
            <w:pPr>
              <w:pStyle w:val="Compact"/>
              <w:jc w:val="left"/>
            </w:pPr>
            <w:r>
              <w:t xml:space="preserve">Trazabilidad de auditoría</w:t>
            </w:r>
          </w:p>
        </w:tc>
        <w:tc>
          <w:tcPr/>
          <w:p>
            <w:pPr>
              <w:pStyle w:val="Compact"/>
              <w:jc w:val="left"/>
            </w:pPr>
            <w:r>
              <w:t xml:space="preserve">Sí</w:t>
            </w:r>
          </w:p>
        </w:tc>
        <w:tc>
          <w:tcPr/>
          <w:p>
            <w:pPr>
              <w:pStyle w:val="Compact"/>
              <w:jc w:val="left"/>
            </w:pPr>
            <w:r>
              <w:t xml:space="preserve">No</w:t>
            </w:r>
          </w:p>
        </w:tc>
        <w:tc>
          <w:tcPr/>
          <w:p>
            <w:pPr>
              <w:pStyle w:val="Compact"/>
              <w:jc w:val="left"/>
            </w:pPr>
            <w:r>
              <w:t xml:space="preserve">—</w:t>
            </w:r>
          </w:p>
        </w:tc>
      </w:tr>
    </w:tbl>
    <w:p>
      <w:pPr>
        <w:pStyle w:val="BodyText"/>
      </w:pPr>
      <w:r>
        <w:rPr>
          <w:iCs/>
          <w:i/>
        </w:rPr>
        <w:t xml:space="preserve">Nota. El grupo de control verifica los mismos directorios cada novecientos segundos mediante cómputo de huellas. Los intervalos de la plataforma reactiva y del control periódico no comparten un mismo inicio y fin operacional: la plataforma informa marcas internas o posteriores a la operación, mientras el control queda acotado por su ciclo de sondeo. Por esa diferencia de alcance, la tabla conserva los valores descriptivos y retira los factores de mejora; no se interpreta la comparación como una mejora validada de extremo a extremo.</w:t>
      </w:r>
    </w:p>
    <w:p>
      <w:pPr>
        <w:pStyle w:val="BodyText"/>
      </w:pPr>
      <w:r>
        <w:t xml:space="preserve">Los valores de latencia muestran la diferencia descriptiva entre una plataforma reactiva y un sondeo periódico de quince minutos, pero no permiten cuantificar un factor de mejora de extremo a extremo porque los intervalos no son equivalentes. La comparación de operaciones sin evento se presenta por separado con denominadores comunes.</w:t>
      </w:r>
    </w:p>
    <w:p>
      <w:pPr>
        <w:pStyle w:val="BodyText"/>
      </w:pPr>
      <w:r>
        <w:t xml:space="preserve">El grupo de control no detectó 395 de las 500 operaciones, esto es, el setenta y nueve por ciento de la carga. El desglose de esa pérdida convierte la limitación estructural del encuestamiento en un dato con causa identificada. Doscientas noventa y tres operaciones se perdieron por colapso: dos o más cambios sucesivos sobre el mismo archivo dentro del mismo intervalo de encuestamiento, de los cuales el escaneo periódico observa únicamente el estado final y computa un solo cambio. Ciento dos operaciones se perdieron por no detección propiamente dicha: el archivo retornó a un estado indistinguible del de la verificación anterior antes de que esta se practicara.</w:t>
      </w:r>
    </w:p>
    <w:p>
      <w:pPr>
        <w:pStyle w:val="BodyText"/>
      </w:pPr>
      <w:r>
        <w:t xml:space="preserve">Clasificadas por patrón de la carga, las pérdidas se distribuyen en doscientas veintidós operaciones simples, ochenta y tres colapsadas, ochenta revertidas y diez efímeras. Las noventa operaciones de los dos últimos patrones —revertidas y efímeras— resultan particularmente significativas, por cuanto corresponden a modificaciones que fueron aplicadas y deshechas dentro de la ventana de ceguera. Frente a ellas el grupo de control no es lento: es estructuralmente ciego. Ningún incremento de la frecuencia de encuestamiento las capturaría salvo llevándola al límite del modelo reactivo, y esa es precisamente la conclusión que el apartado 1.2 anticipaba y que la Tabla 17 documenta empíricamente.</w:t>
      </w:r>
    </w:p>
    <w:p>
      <w:pPr>
        <w:pStyle w:val="BodyText"/>
      </w:pPr>
      <w:r>
        <w:t xml:space="preserve">Corresponde una precisión sobre la simetría de la comparación. El grupo experimental también registra siete operaciones sin evento asociado, cuya interpretación quedó indeterminada en el apartado 5.2. Aun computando las siete como falsos negativos en el peor de los casos, la diferencia entre el uno coma cuatro y el setenta y nueve por ciento conserva su sentido. La comparación exige, no obstante, consignar ambos valores con el mismo criterio, y así lo hace la Tabla 17.</w:t>
      </w:r>
    </w:p>
    <w:p>
      <w:pPr>
        <w:pStyle w:val="BodyText"/>
      </w:pPr>
      <w:r>
        <w:t>El contraste adecuado es McNemar sobre los pares discordantes. Newcombe (1998) proporciona un método de intervalo para la diferencia entre proporciones con datos pareados, pero aplicarlo requiere la tabla operación por operación —detectada por ambos grupos, por uno solo o por ninguno— y un script verificable; esos insumos no están incorporados. La diferencia de 77,6 puntos porcentuales se conserva sólo como descripción. No se calcula un intervalo, no se anticipa significación y no se presenta el tratamiento inferencial como verificado.</w:t>
      </w:r>
    </w:p>
    <w:p>
      <w:pPr>
        <w:pStyle w:val="BodyText"/>
      </w:pPr>
      <w:r>
        <w:t xml:space="preserve">Corresponde, no obstante, una advertencia sobre el alcance de este resultado. De las 395 operaciones que el esquema de encuestamiento no detectó, 293 corresponden al colapso de cambios sucesivos sobre una misma ruta dentro de la ventana de verificación. Este mecanismo es determinístico y no estocástico: un esquema que verifica cada novecientos segundos reporta una única modificación por ruta y por ventana, con independencia de cuántas se hayan producido. La comparación cuantifica, en consecuencia, la magnitud de una diferencia cuyo mecanismo es estructural. Su valor es el de una medida descriptiva del tamaño del efecto, antes que el de evidencia de una relación causal. El diseño adoptado no está en condiciones de establecer esa relación causal, conforme se delimita en el apartado 3.1. Ningún intervalo de confianza, ni el informado ni el que resulte del recálculo pareado, informa sobre la generalización a otras cargas de trabajo, cuya composición determina directamente la proporción de cambios colapsables.</w:t>
      </w:r>
    </w:p>
    <w:bookmarkEnd w:id="105"/>
    <w:bookmarkStart w:id="106" w:name="síntesis-de-criterios-de-aceptación"/>
    <w:p>
      <w:pPr>
        <w:pStyle w:val="Heading2"/>
      </w:pPr>
      <w:r>
        <w:rPr>
          <w:bCs/>
          <w:b/>
        </w:rPr>
        <w:t xml:space="preserve">5.8 Síntesis de criterios de aceptación</w:t>
      </w:r>
    </w:p>
    <w:p>
      <w:pPr>
        <w:pStyle w:val="FirstParagraph"/>
        <w:keepNext/>
      </w:pPr>
      <w:r>
        <w:rPr>
          <w:bCs/>
          <w:b/>
          <w:iCs/>
          <w:i/>
        </w:rPr>
        <w:t xml:space="preserve">Tabla 18.</w:t>
      </w:r>
      <w:r>
        <w:rPr>
          <w:iCs/>
          <w:i/>
        </w:rPr>
        <w:t xml:space="preserve"> Síntesis de criterios de aceptación</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cantSplit/>
        </w:trPr>
        <w:tc>
          <w:tcPr/>
          <w:p>
            <w:pPr>
              <w:pStyle w:val="Compact"/>
              <w:jc w:val="left"/>
            </w:pPr>
            <w:r>
              <w:t xml:space="preserve">Indicador</w:t>
            </w:r>
          </w:p>
        </w:tc>
        <w:tc>
          <w:tcPr/>
          <w:p>
            <w:pPr>
              <w:pStyle w:val="Compact"/>
              <w:jc w:val="left"/>
            </w:pPr>
            <w:r>
              <w:t xml:space="preserve">Valor observado</w:t>
            </w:r>
          </w:p>
        </w:tc>
        <w:tc>
          <w:tcPr/>
          <w:p>
            <w:pPr>
              <w:pStyle w:val="Compact"/>
              <w:jc w:val="left"/>
            </w:pPr>
            <w:r>
              <w:t xml:space="preserve">Umbral</w:t>
            </w:r>
          </w:p>
        </w:tc>
        <w:tc>
          <w:tcPr/>
          <w:p>
            <w:pPr>
              <w:pStyle w:val="Compact"/>
              <w:jc w:val="left"/>
            </w:pPr>
            <w:r>
              <w:t xml:space="preserve">Estado</w:t>
            </w:r>
          </w:p>
        </w:tc>
      </w:tr>
      <w:tr>
        <w:trPr>
          <w:cantSplit/>
        </w:trPr>
        <w:tc>
          <w:tcPr/>
          <w:p>
            <w:pPr>
              <w:pStyle w:val="Compact"/>
              <w:jc w:val="left"/>
            </w:pPr>
            <w:r>
              <w:t xml:space="preserve">Latencia de detección P99 (ms)</w:t>
            </w:r>
          </w:p>
        </w:tc>
        <w:tc>
          <w:tcPr/>
          <w:p>
            <w:pPr>
              <w:pStyle w:val="Compact"/>
              <w:jc w:val="left"/>
            </w:pPr>
            <w:r>
              <w:t xml:space="preserve">Histórico: 17,274 ms (received_at − detected_at). Reagregación posterior: 17,745 ms (received_at − marca post-operación; n = 493). Corrida independiente nueva: 31,533 ms (close(2) observado con strace → received_at; n = 100).</w:t>
            </w:r>
          </w:p>
        </w:tc>
        <w:tc>
          <w:tcPr/>
          <w:p>
            <w:pPr>
              <w:pStyle w:val="Compact"/>
              <w:jc w:val="left"/>
            </w:pPr>
            <w:r>
              <w:t xml:space="preserve">&lt; 1.000</w:t>
            </w:r>
          </w:p>
        </w:tc>
        <w:tc>
          <w:tcPr/>
          <w:p>
            <w:pPr>
              <w:pStyle w:val="Compact"/>
              <w:jc w:val="left"/>
            </w:pPr>
            <w:r>
              <w:t xml:space="preserve">Los tres valores quedan bajo 1.000 ms en sus intervalos y muestras; no son intercambiables. La corrida nueva es local, de un anfitrión y sin TLS de Valkey.</w:t>
            </w:r>
          </w:p>
        </w:tc>
      </w:tr>
      <w:tr>
        <w:trPr>
          <w:cantSplit/>
        </w:trPr>
        <w:tc>
          <w:tcPr/>
          <w:p>
            <w:pPr>
              <w:pStyle w:val="Compact"/>
              <w:jc w:val="left"/>
            </w:pPr>
            <w:r>
              <w:t xml:space="preserve">Tiempo de notificación (P99, ms)</w:t>
            </w:r>
          </w:p>
        </w:tc>
        <w:tc>
          <w:tcPr/>
          <w:p>
            <w:pPr>
              <w:pStyle w:val="Compact"/>
              <w:jc w:val="left"/>
            </w:pPr>
            <w:r>
              <w:t xml:space="preserve">63,4 (n = 60; orquestador inactivo)</w:t>
            </w:r>
          </w:p>
        </w:tc>
        <w:tc>
          <w:tcPr/>
          <w:p>
            <w:pPr>
              <w:pStyle w:val="Compact"/>
              <w:jc w:val="left"/>
            </w:pPr>
            <w:r>
              <w:t xml:space="preserve">&lt; 5.000</w:t>
            </w:r>
          </w:p>
        </w:tc>
        <w:tc>
          <w:tcPr/>
          <w:p>
            <w:pPr>
              <w:pStyle w:val="Compact"/>
              <w:jc w:val="left"/>
            </w:pPr>
            <w:r>
              <w:t xml:space="preserve">Aceptación de webhook local dentro del umbral en la muestra histórica; no equivale a recepción final externa.</w:t>
            </w:r>
          </w:p>
        </w:tc>
      </w:tr>
      <w:tr>
        <w:trPr>
          <w:cantSplit/>
        </w:trPr>
        <w:tc>
          <w:tcPr/>
          <w:p>
            <w:pPr>
              <w:pStyle w:val="Compact"/>
              <w:jc w:val="left"/>
            </w:pPr>
            <w:r>
              <w:t xml:space="preserve">Tiempo de notificación bajo carga (P99, ms)</w:t>
            </w:r>
          </w:p>
        </w:tc>
        <w:tc>
          <w:tcPr/>
          <w:p>
            <w:pPr>
              <w:pStyle w:val="Compact"/>
              <w:jc w:val="left"/>
            </w:pPr>
            <w:r>
              <w:t xml:space="preserve">Histórico: 85,5 (n = 170; tasas, no concurrencia). Ensayo posterior: 616,626 (100/100 solicitudes simultáneas; send_n8n → receptor local).</w:t>
            </w:r>
          </w:p>
        </w:tc>
        <w:tc>
          <w:tcPr/>
          <w:p>
            <w:pPr>
              <w:pStyle w:val="Compact"/>
              <w:jc w:val="left"/>
            </w:pPr>
            <w:r>
              <w:t xml:space="preserve">&lt; 5.000</w:t>
            </w:r>
          </w:p>
        </w:tc>
        <w:tc>
          <w:tcPr/>
          <w:p>
            <w:pPr>
              <w:pStyle w:val="Compact"/>
              <w:jc w:val="left"/>
            </w:pPr>
            <w:r>
              <w:t xml:space="preserve">Histórico: parcial. El ensayo posterior cumple el umbral con 100 solicitudes simultáneas en el tramo de transporte ensayado; inicio simulado, sin n8n ni canal final; no es validación integral.</w:t>
            </w:r>
          </w:p>
        </w:tc>
      </w:tr>
      <w:tr>
        <w:trPr>
          <w:cantSplit/>
        </w:trPr>
        <w:tc>
          <w:tcPr/>
          <w:p>
            <w:pPr>
              <w:pStyle w:val="Compact"/>
              <w:jc w:val="left"/>
            </w:pPr>
            <w:r>
              <w:t xml:space="preserve">Cobertura de automatización del triage (%)</w:t>
            </w:r>
          </w:p>
        </w:tc>
        <w:tc>
          <w:tcPr/>
          <w:p>
            <w:pPr>
              <w:pStyle w:val="Compact"/>
              <w:jc w:val="left"/>
            </w:pPr>
            <w:r>
              <w:t xml:space="preserve">81,8 (9 de 11 tareas; lista sobre SP 800-61r2)</w:t>
            </w:r>
          </w:p>
        </w:tc>
        <w:tc>
          <w:tcPr/>
          <w:p>
            <w:pPr>
              <w:pStyle w:val="Compact"/>
              <w:jc w:val="left"/>
            </w:pPr>
            <w:r>
              <w:t xml:space="preserve">≥ 80</w:t>
            </w:r>
          </w:p>
        </w:tc>
        <w:tc>
          <w:tcPr/>
          <w:p>
            <w:pPr>
              <w:pStyle w:val="Compact"/>
              <w:jc w:val="left"/>
            </w:pPr>
            <w:r>
              <w:t xml:space="preserve">Alcanzado</w:t>
            </w:r>
          </w:p>
        </w:tc>
      </w:tr>
      <w:tr>
        <w:trPr>
          <w:cantSplit/>
        </w:trPr>
        <w:tc>
          <w:tcPr/>
          <w:p>
            <w:pPr>
              <w:pStyle w:val="Compact"/>
              <w:jc w:val="left"/>
            </w:pPr>
            <w:r>
              <w:t xml:space="preserve">Cobertura de historias de usuario</w:t>
            </w:r>
          </w:p>
        </w:tc>
        <w:tc>
          <w:tcPr/>
          <w:p>
            <w:pPr>
              <w:pStyle w:val="Compact"/>
              <w:jc w:val="left"/>
            </w:pPr>
            <w:r>
              <w:t xml:space="preserve">Cierre actual: 23 completas, 8 parciales y 0 sin cobertura funcional. Cortes 3/27/1, 10/20/1 y 10/21/0: históricos.</w:t>
            </w:r>
          </w:p>
        </w:tc>
        <w:tc>
          <w:tcPr/>
          <w:p>
            <w:pPr>
              <w:pStyle w:val="Compact"/>
              <w:jc w:val="left"/>
            </w:pPr>
            <w:r>
              <w:t xml:space="preserve">31 de 31</w:t>
            </w:r>
          </w:p>
        </w:tc>
        <w:tc>
          <w:tcPr/>
          <w:p>
            <w:pPr>
              <w:pStyle w:val="Compact"/>
              <w:jc w:val="left"/>
            </w:pPr>
            <w:r>
              <w:t xml:space="preserve">No alcanzado: el criterio exige las 31 historias completas. La reclasificación de trece historias procede de implementación y pruebas por criterio del candidato 7a7ee50 (apartado 5.5.1); los criterios no se modificaron.</w:t>
            </w:r>
          </w:p>
        </w:tc>
      </w:tr>
      <w:tr>
        <w:trPr>
          <w:cantSplit/>
        </w:trPr>
        <w:tc>
          <w:tcPr/>
          <w:p>
            <w:pPr>
              <w:pStyle w:val="Compact"/>
              <w:jc w:val="left"/>
            </w:pPr>
            <w:r>
              <w:t xml:space="preserve">Preservación de eventos ante desconexión (%)</w:t>
            </w:r>
          </w:p>
        </w:tc>
        <w:tc>
          <w:tcPr/>
          <w:p>
            <w:pPr>
              <w:pStyle w:val="Compact"/>
              <w:jc w:val="left"/>
            </w:pPr>
            <w:r>
              <w:t xml:space="preserve">100 de los eventos encolados (2.988 de 2.988); 12 de 3.000 operaciones sin evento, indeterminadas</w:t>
            </w:r>
          </w:p>
        </w:tc>
        <w:tc>
          <w:tcPr/>
          <w:p>
            <w:pPr>
              <w:pStyle w:val="Compact"/>
              <w:jc w:val="left"/>
            </w:pPr>
            <w:r>
              <w:t xml:space="preserve">100</w:t>
            </w:r>
          </w:p>
        </w:tc>
        <w:tc>
          <w:tcPr/>
          <w:p>
            <w:pPr>
              <w:pStyle w:val="Compact"/>
              <w:jc w:val="left"/>
            </w:pPr>
            <w:r>
              <w:t xml:space="preserve">Histórico: 2.988/2.988 eventos encolados entregados; 12 operaciones sin evento permanecen indeterminadas. Run 4 y serie posterior: 3.000/3.000 preencolados drenados en cada corrida.</w:t>
            </w:r>
          </w:p>
        </w:tc>
      </w:tr>
      <w:tr>
        <w:trPr>
          <w:cantSplit/>
        </w:trPr>
        <w:tc>
          <w:tcPr/>
          <w:p>
            <w:pPr>
              <w:pStyle w:val="Compact"/>
              <w:jc w:val="left"/>
            </w:pPr>
            <w:r>
              <w:t xml:space="preserve">Tiempo de drenaje tras reconexión (s)</w:t>
            </w:r>
          </w:p>
        </w:tc>
        <w:tc>
          <w:tcPr/>
          <w:p>
            <w:pPr>
              <w:pStyle w:val="Compact"/>
              <w:jc w:val="left"/>
            </w:pPr>
            <w:r>
              <w:t xml:space="preserve">Histórico: 153 s. Run 3: 51,773 s. Run 4 original: 29,146 s. Serie posterior (5 corridas): media 28,424 s; mediana 28,109 s; desvío 0,644 s; máx. 29,188 s.</w:t>
            </w:r>
          </w:p>
        </w:tc>
        <w:tc>
          <w:tcPr/>
          <w:p>
            <w:pPr>
              <w:pStyle w:val="Compact"/>
              <w:jc w:val="left"/>
            </w:pPr>
            <w:r>
              <w:t xml:space="preserve">&lt; 30</w:t>
            </w:r>
          </w:p>
        </w:tc>
        <w:tc>
          <w:tcPr/>
          <w:p>
            <w:pPr>
              <w:pStyle w:val="Compact"/>
              <w:jc w:val="left"/>
            </w:pPr>
            <w:r>
              <w:t xml:space="preserve">Histórico y Run 3 no cumplen. Run 4 y la serie posterior cumplen sólo en ensayos locales con eventos preencolados, tasa modificada y sin repetir la desconexión completa de cinco minutos.</w:t>
            </w:r>
          </w:p>
        </w:tc>
      </w:tr>
      <w:tr>
        <w:trPr>
          <w:cantSplit/>
        </w:trPr>
        <w:tc>
          <w:tcPr/>
          <w:p>
            <w:pPr>
              <w:pStyle w:val="Compact"/>
              <w:jc w:val="left"/>
            </w:pPr>
            <w:r>
              <w:t xml:space="preserve">Falsos negativos (n)</w:t>
            </w:r>
          </w:p>
        </w:tc>
        <w:tc>
          <w:tcPr/>
          <w:p>
            <w:pPr>
              <w:pStyle w:val="Compact"/>
              <w:jc w:val="left"/>
            </w:pPr>
            <w:r>
              <w:t xml:space="preserve">7 operaciones sin evento, causa no establecida</w:t>
            </w:r>
          </w:p>
        </w:tc>
        <w:tc>
          <w:tcPr/>
          <w:p>
            <w:pPr>
              <w:pStyle w:val="Compact"/>
              <w:jc w:val="left"/>
            </w:pPr>
            <w:r>
              <w:t xml:space="preserve">0</w:t>
            </w:r>
          </w:p>
        </w:tc>
        <w:tc>
          <w:tcPr/>
          <w:p>
            <w:pPr>
              <w:pStyle w:val="Compact"/>
              <w:jc w:val="left"/>
            </w:pPr>
            <w:r>
              <w:t xml:space="preserve">Histórico indeterminado. Corrida causal nueva: 50 eventos y 10 descartes legítimos; no reclasifica los 19 históricos.</w:t>
            </w:r>
          </w:p>
        </w:tc>
      </w:tr>
      <w:tr>
        <w:trPr>
          <w:cantSplit/>
        </w:trPr>
        <w:tc>
          <w:tcPr/>
          <w:p>
            <w:pPr>
              <w:pStyle w:val="Compact"/>
              <w:jc w:val="left"/>
            </w:pPr>
            <w:r>
              <w:t xml:space="preserve">Proporción de detección comparativa (puntos)</w:t>
            </w:r>
          </w:p>
        </w:tc>
        <w:tc>
          <w:tcPr/>
          <w:p>
            <w:pPr>
              <w:pStyle w:val="Compact"/>
              <w:jc w:val="left"/>
            </w:pPr>
            <w:r>
              <w:t xml:space="preserve">+77,6 (diferencia descriptiva)</w:t>
            </w:r>
          </w:p>
        </w:tc>
        <w:tc>
          <w:tcPr/>
          <w:p>
            <w:pPr>
              <w:pStyle w:val="Compact"/>
              <w:jc w:val="left"/>
            </w:pPr>
            <w:r>
              <w:t xml:space="preserve">&gt; 0</w:t>
            </w:r>
          </w:p>
        </w:tc>
        <w:tc>
          <w:tcPr/>
          <w:p>
            <w:pPr>
              <w:pStyle w:val="Compact"/>
              <w:jc w:val="left"/>
            </w:pPr>
            <w:r>
              <w:t xml:space="preserve">Diferencia histórica descriptiva +77,6 pp; incorporar inferencia pareada sólo con tabla y script verificables.</w:t>
            </w:r>
          </w:p>
        </w:tc>
      </w:tr>
    </w:tbl>
    <w:p>
      <w:pPr>
        <w:pStyle w:val="BodyText"/>
      </w:pPr>
      <w:r>
        <w:rPr>
          <w:iCs/>
          <w:i/>
        </w:rPr>
        <w:t xml:space="preserve">Nota.</w:t>
      </w:r>
      <w:r>
        <w:rPr>
          <w:iCs/>
          <w:i/>
        </w:rPr>
        <w:t xml:space="preserve"> Los umbrales proceden de la Tabla 1. Las filas de notificación, automatización del triage y comparación, y los valores históricos de latencia, preservación, drenaje y falsos negativos, pertenecen a las baterías históricas. La reagregación de latencia es posterior. La cobertura 23/8/0 corresponde a la matriz de cierre de esta versión. La reclasificación de ausencias corresponde a la corrida causal posterior. Run 3 y Run 4 pertenecen a esos ensayos dirigidos. La latencia con inicio externo, la concurrencia de cien solicitudes y la serie de cinco drenajes provienen de los ensayos posteriores de cierre (apartados 5.2.1, 5.3.1 y 5.6.1). Ninguna fila autoriza a tratar el conjunto como una única corrida o versión final.</w:t>
      </w:r>
    </w:p>
    <w:p>
      <w:pPr>
        <w:pStyle w:val="BodyText"/>
      </w:pPr>
      <w:r>
        <w:t>La hipótesis conjunta no fue corroborada porque al menos uno de los criterios preestablecidos no se alcanzó. Este resultado no invalida las contribuciones de ingeniería ni los criterios satisfechos, que se informan por separado, pero impide afirmar la validación integral de la plataforma.</w:t>
      </w:r>
    </w:p>
    <w:p>
      <w:pPr>
        <w:pStyle w:val="BodyText"/>
      </w:pPr>
      <w:r>
        <w:t xml:space="preserve">La matriz de cierre informa veintitrés historias completas, ocho parciales y ninguna sin cobertura funcional; por tanto, no se alcanza el criterio de verificación completa de las treinta y una. Las diecinueve ausencias históricas siguen sin reconstrucción causal contemporánea. La corrida causal posterior registró cincuenta eventos reportables y diez descartes legítimos bajo sus propias condiciones. El drenaje histórico de 153 segundos no cumplió; Run 4 alcanzó 29,146 segundos y la serie posterior de cinco corridas quedó entre 27,784 y 29,188 segundos, siempre con 3.000 eventos preencolados, límite de tasa modificado y sin reproducir la desconexión completa de cinco minutos.</w:t>
      </w:r>
    </w:p>
    <w:p>
      <w:pPr>
        <w:pStyle w:val="BodyText"/>
      </w:pPr>
      <w:r>
        <w:t xml:space="preserve">El tiempo histórico de notificación describe aceptación por un receptor local y tasas de emisión; no demuestra recepción comercial. El ensayo posterior sí ejercitó cien solicitudes simultáneas, pero sólo en el tramo de transporte hacia un receptor local. La reagregación de latencia reportada debe distinguirse del tramo interno originalmente tabulado y de la corrida independiente posterior. En conjunto, estos resultados sostienen mejoras concretas y límites identificados, no validación integral ni aptitud productiva.</w:t>
      </w:r>
    </w:p>
    <w:bookmarkEnd w:id="106"/>
    <w:bookmarkStart w:id="107" w:name="X7f2545d349a55f07249ac00d6039c823819d494"/>
    <w:p>
      <w:pPr>
        <w:pStyle w:val="Heading2"/>
      </w:pPr>
      <w:r>
        <w:t xml:space="preserve">5.9 Protocolo de caracterización del mapeo de memoria</w:t>
      </w:r>
    </w:p>
    <w:p>
      <w:pPr>
        <w:pStyle w:val="FirstParagraph"/>
      </w:pPr>
      <w:r>
        <w:t xml:space="preserve">La séptima batería caracteriza experimentalmente la limitación del subsistema fanotify declarada en el apartado 2.6, con el propósito de establecer si constituye una evasión efectiva de la detección y bajo qué condiciones. El protocolo se justifica por cuanto el criterio de falsos negativos de la Tabla 1 se acota, precisamente, a las modificaciones practicadas mediante la interfaz de archivos del sistema, y esa delimitación exige demostrar qué ocurre fuera de ella.</w:t>
      </w:r>
    </w:p>
    <w:p>
      <w:pPr>
        <w:pStyle w:val="BodyText"/>
      </w:pPr>
      <w:r>
        <w:t xml:space="preserve">El protocolo ejercita tres formas de modificación sobre archivos incorporados previamente a la baseline, con diez repeticiones cada una. La primera establece un mapeo compartido, cierra el descriptor y escribe a continuación sobre la memoria mapeada. La segunda invierte el orden: escribe sobre el mapeo y cierra el descriptor con posterioridad. La tercera, que opera como testigo de validez de la corrida, practica una escritura convencional mediante apertura, escritura y cierre. Las tres producen una modificación efectiva del contenido, verificada por contraste de huellas digitales antes y después de cada operación; la variable de interés es exclusivamente si el sistema emite el evento correspondiente.</w:t>
      </w:r>
    </w:p>
    <w:p>
      <w:pPr>
        <w:pStyle w:val="BodyText"/>
      </w:pPr>
      <w:r>
        <w:t xml:space="preserve">La inclusión del tercer caso es metodológicamente necesaria: un resultado de cero eventos en el primer caso, tomado aisladamente, no distingue entre una evasión efectiva y un agente que no estaba monitoreando el directorio.</w:t>
      </w:r>
    </w:p>
    <w:p>
      <w:pPr>
        <w:pStyle w:val="BodyText"/>
        <w:keepNext/>
      </w:pPr>
      <w:r>
        <w:rPr>
          <w:bCs/>
          <w:b/>
          <w:iCs/>
          <w:i/>
        </w:rPr>
        <w:t xml:space="preserve">Tabla 19. Resultados — Caracterización del mapeo de memoria</w:t>
      </w:r>
      <w:r>
        <w:rPr>
          <w:iCs/>
          <w:i/>
        </w:rPr>
        <w:t xml:space="preserve"/>
      </w:r>
    </w:p>
    <w:tbl>
      <w:tblPr>
        <w:tblStyle w:val="Table"/>
        <w:tblW w:type="pct" w:w="4920"/>
        <w:jc w:val="start"/>
        <w:tblLook w:firstRow="1" w:lastRow="0" w:firstColumn="0" w:lastColumn="0" w:noHBand="0" w:noVBand="0" w:val="0020"/>
      </w:tblPr>
      <w:tblGrid>
        <w:gridCol w:w="696"/>
        <w:gridCol w:w="2661"/>
        <w:gridCol w:w="1964"/>
        <w:gridCol w:w="1457"/>
        <w:gridCol w:w="1013"/>
      </w:tblGrid>
      <w:tr>
        <w:trPr>
          <w:tblHeader w:val="true"/>
          <w:cantSplit/>
        </w:trPr>
        <w:tc>
          <w:tcPr/>
          <w:p>
            <w:pPr>
              <w:pStyle w:val="Compact"/>
              <w:jc w:val="left"/>
            </w:pPr>
            <w:r>
              <w:rPr>
                <w:bCs/>
                <w:b/>
              </w:rPr>
              <w:t xml:space="preserve">Caso</w:t>
            </w:r>
          </w:p>
        </w:tc>
        <w:tc>
          <w:tcPr/>
          <w:p>
            <w:pPr>
              <w:pStyle w:val="Compact"/>
              <w:jc w:val="left"/>
            </w:pPr>
            <w:r>
              <w:rPr>
                <w:bCs/>
                <w:b/>
              </w:rPr>
              <w:t xml:space="preserve">Orden de operaciones</w:t>
            </w:r>
          </w:p>
        </w:tc>
        <w:tc>
          <w:tcPr/>
          <w:p>
            <w:pPr>
              <w:pStyle w:val="Compact"/>
              <w:jc w:val="left"/>
            </w:pPr>
            <w:r>
              <w:rPr>
                <w:bCs/>
                <w:b/>
              </w:rPr>
              <w:t xml:space="preserve">Modificaciones efectivas</w:t>
            </w:r>
          </w:p>
        </w:tc>
        <w:tc>
          <w:tcPr/>
          <w:p>
            <w:pPr>
              <w:pStyle w:val="Compact"/>
              <w:jc w:val="left"/>
            </w:pPr>
            <w:r>
              <w:rPr>
                <w:bCs/>
                <w:b/>
              </w:rPr>
              <w:t xml:space="preserve">Eventos emitidos</w:t>
            </w:r>
          </w:p>
        </w:tc>
        <w:tc>
          <w:tcPr/>
          <w:p>
            <w:pPr>
              <w:pStyle w:val="Compact"/>
              <w:jc w:val="left"/>
            </w:pPr>
            <w:r>
              <w:rPr>
                <w:bCs/>
                <w:b/>
              </w:rPr>
              <w:t xml:space="preserve">Detección</w:t>
            </w:r>
          </w:p>
        </w:tc>
      </w:tr>
      <w:tr>
        <w:trPr>
          <w:cantSplit/>
        </w:trPr>
        <w:tc>
          <w:tcPr/>
          <w:p>
            <w:pPr>
              <w:pStyle w:val="Compact"/>
              <w:jc w:val="left"/>
            </w:pPr>
            <w:r>
              <w:t xml:space="preserve">A</w:t>
            </w:r>
          </w:p>
        </w:tc>
        <w:tc>
          <w:tcPr/>
          <w:p>
            <w:pPr>
              <w:pStyle w:val="Compact"/>
              <w:jc w:val="left"/>
            </w:pPr>
            <w:r>
              <w:t xml:space="preserve">Mapeo, cierre del descriptor, escritura</w:t>
            </w:r>
          </w:p>
        </w:tc>
        <w:tc>
          <w:tcPr/>
          <w:p>
            <w:pPr>
              <w:pStyle w:val="Compact"/>
              <w:jc w:val="left"/>
            </w:pPr>
            <w:r>
              <w:t xml:space="preserve">10/10</w:t>
            </w:r>
          </w:p>
        </w:tc>
        <w:tc>
          <w:tcPr/>
          <w:p>
            <w:pPr>
              <w:pStyle w:val="Compact"/>
              <w:jc w:val="left"/>
            </w:pPr>
            <w:r>
              <w:t xml:space="preserve">10</w:t>
            </w:r>
          </w:p>
        </w:tc>
        <w:tc>
          <w:tcPr/>
          <w:p>
            <w:pPr>
              <w:pStyle w:val="Compact"/>
              <w:jc w:val="left"/>
            </w:pPr>
            <w:r>
              <w:t xml:space="preserve">10/10</w:t>
            </w:r>
          </w:p>
        </w:tc>
      </w:tr>
      <w:tr>
        <w:trPr>
          <w:cantSplit/>
        </w:trPr>
        <w:tc>
          <w:tcPr/>
          <w:p>
            <w:pPr>
              <w:pStyle w:val="Compact"/>
              <w:jc w:val="left"/>
            </w:pPr>
            <w:r>
              <w:t xml:space="preserve">B</w:t>
            </w:r>
          </w:p>
        </w:tc>
        <w:tc>
          <w:tcPr/>
          <w:p>
            <w:pPr>
              <w:pStyle w:val="Compact"/>
              <w:jc w:val="left"/>
            </w:pPr>
            <w:r>
              <w:t xml:space="preserve">Mapeo, escritura, cierre del descriptor</w:t>
            </w:r>
          </w:p>
        </w:tc>
        <w:tc>
          <w:tcPr/>
          <w:p>
            <w:pPr>
              <w:pStyle w:val="Compact"/>
              <w:jc w:val="left"/>
            </w:pPr>
            <w:r>
              <w:t xml:space="preserve">10/10</w:t>
            </w:r>
          </w:p>
        </w:tc>
        <w:tc>
          <w:tcPr/>
          <w:p>
            <w:pPr>
              <w:pStyle w:val="Compact"/>
              <w:jc w:val="left"/>
            </w:pPr>
            <w:r>
              <w:t xml:space="preserve">10</w:t>
            </w:r>
          </w:p>
        </w:tc>
        <w:tc>
          <w:tcPr/>
          <w:p>
            <w:pPr>
              <w:pStyle w:val="Compact"/>
              <w:jc w:val="left"/>
            </w:pPr>
            <w:r>
              <w:t xml:space="preserve">10/10</w:t>
            </w:r>
          </w:p>
        </w:tc>
      </w:tr>
      <w:tr>
        <w:trPr>
          <w:cantSplit/>
        </w:trPr>
        <w:tc>
          <w:tcPr/>
          <w:p>
            <w:pPr>
              <w:pStyle w:val="Compact"/>
              <w:jc w:val="left"/>
            </w:pPr>
            <w:r>
              <w:t xml:space="preserve">C</w:t>
            </w:r>
          </w:p>
        </w:tc>
        <w:tc>
          <w:tcPr/>
          <w:p>
            <w:pPr>
              <w:pStyle w:val="Compact"/>
              <w:jc w:val="left"/>
            </w:pPr>
            <w:r>
              <w:t xml:space="preserve">Escritura convencional (testigo)</w:t>
            </w:r>
          </w:p>
        </w:tc>
        <w:tc>
          <w:tcPr/>
          <w:p>
            <w:pPr>
              <w:pStyle w:val="Compact"/>
              <w:jc w:val="left"/>
            </w:pPr>
            <w:r>
              <w:t xml:space="preserve">10/10</w:t>
            </w:r>
          </w:p>
        </w:tc>
        <w:tc>
          <w:tcPr/>
          <w:p>
            <w:pPr>
              <w:pStyle w:val="Compact"/>
              <w:jc w:val="left"/>
            </w:pPr>
            <w:r>
              <w:t xml:space="preserve">10</w:t>
            </w:r>
          </w:p>
        </w:tc>
        <w:tc>
          <w:tcPr/>
          <w:p>
            <w:pPr>
              <w:pStyle w:val="Compact"/>
              <w:jc w:val="left"/>
            </w:pPr>
            <w:r>
              <w:t xml:space="preserve">10/10</w:t>
            </w:r>
          </w:p>
        </w:tc>
      </w:tr>
    </w:tbl>
    <w:p>
      <w:pPr>
        <w:pStyle w:val="BodyText"/>
      </w:pPr>
      <w:r>
        <w:rPr>
          <w:iCs/>
          <w:i/>
        </w:rPr>
        <w:t xml:space="preserve">Nota. El caso C opera como testigo de validez de la corrida: su detección confirma que el agente monitoreaba efectivamente el directorio durante la ventana de medición.</w:t>
      </w:r>
    </w:p>
    <w:p>
      <w:pPr>
        <w:pStyle w:val="BodyText"/>
      </w:pPr>
      <w:r>
        <w:t xml:space="preserve">La batería no observó evasión. El caso A —open → mmap → close(fd) → escribir → msync → munmap, la secuencia en que el cierre del descriptor precede a la modificación— fue detectado en las diez repeticiones. El hash del evento resultó igual al contenido posterior a la modificación, y ninguna operación quedó en estado de evento sin cambio.</w:t>
      </w:r>
    </w:p>
    <w:p>
      <w:pPr>
        <w:pStyle w:val="BodyText"/>
      </w:pPr>
      <w:r>
        <w:t xml:space="preserve">La premisa de la hipótesis era correcta; la conclusión, no. El evento de cierre de escritura se emite efectivamente antes de la escritura sobre el mapeo, y el agente no tiene forma de enterarse de esa escritura por esa vía: la máscara de eventos no incluye la notificación de modificación de contenido. Pero el agente no calcula el hash en el instante del evento, sino al procesarlo de forma diferida. La secuencia in-process del caso A —escritura sobre el mapeo, sincronización y liberación del mapeo, sin llamadas al sistema de por medio— ocurre en microsegundos. El procesamiento del evento, en cambio, se completó con una mediana de 9,5 ms. Por lo tanto, la modificación ya se encontraba aplicada cuando el agente calculó el hash. El agente detecta la modificación no por haberla observado directamente, sino por hashear con posterioridad suficiente.</w:t>
      </w:r>
    </w:p>
    <w:p>
      <w:pPr>
        <w:pStyle w:val="BodyText"/>
      </w:pPr>
      <w:r>
        <w:t xml:space="preserve">Este resultado acota la limitación en lugar de cerrarla. La ventana de evasión existe y es del orden de la latencia de detección: un adversario que introdujera, entre el cierre del descriptor y la escritura sobre el mapeo, una demora mayor que esa latencia encontraría al agente hasheando contenido todavía íntegro. Esa variante no fue medida, y queda como trabajo futuro.</w:t>
      </w:r>
    </w:p>
    <w:p>
      <w:pPr>
        <w:pStyle w:val="BodyText"/>
      </w:pPr>
      <w:r>
        <w:t xml:space="preserve">Se reporta este resultado como consistente en las diez repeticiones ejecutadas, no como propiedad determinística: el desenlace depende de una carrera entre la secuencia in-process del caso A y el pipeline interno de procesamiento del agente, cuyo margen esta batería no caracterizó.</w:t>
      </w:r>
    </w:p>
    <w:p>
      <w:r>
        <w:br w:type="page"/>
      </w:r>
    </w:p>
    <w:bookmarkEnd w:id="107"/>
    <w:bookmarkEnd w:id="108"/>
    <w:bookmarkStart w:id="116" w:name="capítulo-6.-discusión"/>
    <w:p>
      <w:pPr>
        <w:pStyle w:val="Heading1"/>
      </w:pPr>
      <w:r>
        <w:rPr>
          <w:bCs/>
          <w:b/>
        </w:rPr>
        <w:t xml:space="preserve">CAPÍTULO 6. DISCUSIÓN</w:t>
      </w:r>
    </w:p>
    <w:p>
      <w:pPr>
        <w:pStyle w:val="FirstParagraph"/>
      </w:pPr>
      <w:r>
        <w:t xml:space="preserve">En el presente capítulo se desarrolla la discusión crítica de los resultados obtenidos a partir del protocolo especificado en el Capítulo 5, articulándolos con el marco teórico y contrastándolos con los antecedentes del estado del arte. Adicionalmente, se realiza un examen sistemático de las amenazas a la validez del estudio y se discute el posicionamiento de la propuesta respecto de tecnologías conceptualmente adyacentes.</w:t>
      </w:r>
    </w:p>
    <w:bookmarkStart w:id="109" w:name="X26b01d5de1f50f49349bcb3401aeff3f5b9a906"/>
    <w:p>
      <w:pPr>
        <w:pStyle w:val="Heading2"/>
      </w:pPr>
      <w:r>
        <w:rPr>
          <w:bCs/>
          <w:b/>
        </w:rPr>
        <w:t xml:space="preserve">6.1 Interpretación de los resultados</w:t>
      </w:r>
      <w:r>
        <w:t xml:space="preserve"> obtenidos</w:t>
      </w:r>
    </w:p>
    <w:p>
      <w:pPr>
        <w:pStyle w:val="FirstParagraph"/>
      </w:pPr>
      <w:r>
        <w:t xml:space="preserve">La suite consolidada del candidato 7a7ee50 cierra la ausencia de una ejecución conjunta únicamente dentro del alcance ejecutado: componentes sobre una instantánea autocontenida, laboratorios E2E dirigidos e integridad de especificaciones. No modifica los resultados históricos ni resuelve los criterios experimentales pendientes. En particular, no acredita multianfitrión, TLS de Valkey, SMTP comercial, cumplimiento integral del backlog ni aptitud productiva. El cliente mTLS del backend hacia Valkey se verificó sólo contra un contenedor local. Los ensayos de concurrencia, drenaje y latencia corresponden al candidato 7df4935 y valen sólo dentro de sus condiciones locales. Por ello la hipótesis conjunta permanece no corroborada.</w:t>
      </w:r>
    </w:p>
    <w:p>
      <w:pPr>
        <w:pStyle w:val="FirstParagraph"/>
      </w:pPr>
      <w:r>
        <w:t xml:space="preserve">La latencia de detección se sitúa cuatro órdenes de magnitud por debajo de la del grupo de control, pero ese contraste no es el resultado que sostiene la tesis. Cualquier arquitectura reactiva lo obtendría frente a un encuestamiento de quince minutos, y su magnitud lo vuelve poco informativo. El resultado que responde a la pregunta de investigación del apartado 1.2 es el de la tercera fila de la Tabla 17. El grupo de control no detectó el setenta y nueve por ciento de la carga. Noventa de esas pérdidas corresponden a modificaciones aplicadas y deshechas dentro de la ventana de encuestamiento. Frente a ellas, el escaneo periódico no es lento sino estructuralmente ciego, y ningún incremento de su frecuencia las capturaría salvo llevándola al límite del modelo reactivo. La ventana de ceguera que el apartado 1.2 caracterizaba como limitación conceptual queda así cuantificada: doscientas noventa y tres pérdidas por colapso de cambios sucesivos y ciento dos por retorno a un estado indistinguible. La diferencia entre ambos enfoques no es de rendimiento sino de capacidad, y esa distinción es la que justifica el costo arquitectónico de la detección reactiva.</w:t>
      </w:r>
    </w:p>
    <w:p>
      <w:pPr>
        <w:pStyle w:val="BodyText"/>
      </w:pPr>
      <w:r>
        <w:t xml:space="preserve">La cobertura de automatización del triage alcanza el 81,8 por ciento sobre las tareas que el marco prescribe para la fase de detección y análisis. El margen respecto del umbral es estrecho, y esa estrechez es informativa: el universo de tareas se fijó a partir del marco y no a partir de las capacidades del artefacto, de modo que el valor obtenido no estaba determinado por la composición de la lista. Las dos tareas no automatizadas —discriminar un cambio autorizado no registrado de uno sospechoso, y decidir el escalamiento— son precisamente aquellas en las que el juicio experto aporta valor irreemplazable, y son también aquellas hacia las cuales la automatización de las nueve anteriores libera capacidad. El diseño no persigue la eliminación del operador sino su reubicación: el sistema resuelve el volumen y le reserva la decisión.</w:t>
      </w:r>
    </w:p>
    <w:p>
      <w:pPr>
        <w:pStyle w:val="BodyText"/>
      </w:pPr>
      <w:r>
        <w:t xml:space="preserve">Los resultados de resiliencia admiten una lectura desdoblada que conviene no promediar. En el plano de datos, la propiedad de no pérdida entre la cola local y el backend se verifica. La totalidad de los eventos encolados se preservó y se entregó en orden estricto y sin duplicación. Ello ocurrió sin que la cota de la cola local llegara a ejercitarse, y sin que el control anti-replay produjera rechazo alguno. Dos reservas acompañan esa lectura: doce de las tres mil operaciones generadas no llegaron a producir evento encolado, con causa indeterminada, y el orden de procesamiento de comandos antes que eventos se verificó solo parcialmente, sin que el alcance de esa parcialidad esté documentado. Este último extremo merece señalarse por cuanto no es trivial. Una formulación ingenua del control, que contrastara el instante de detección contra el de recepción, habría convertido toda desconexión más prolongada que la tolerancia en un rechazo masivo, volviendo incompatibles la resiliencia offline y la defensa anti-replay. El diseño evita ese compromiso situando la ventana sobre el instante de transmisión, cubierto por la firma del mensaje, y dejando la marca de detección fuera de toda ventana, con la deduplicación por identificador de evento como control residual. La compatibilidad entre ambas propiedades es, en consecuencia, un resultado del diseño y no una coincidencia de las condiciones de ensayo. El agente sostiene la operación durante la indisponibilidad del servidor central, que es lo que el diseño prometía. En el plano de control, en cambio, el resultado es adverso en dos sentidos. El tiempo de restitución excede el umbral en un factor de cinco, y la indisponibilidad del motor de mensajería inhabilita la totalidad de la superficie autenticada del backend. Ambos hallazgos son relevantes respecto de la exigencia de continuidad operativa que la Disposición 1/2026 del Centro Nacional de Ciberseguridad impone al Sector Público Nacional: un sistema que preserva la evidencia pero impide al operador acceder a ella durante el incidente satisface la mitad de lo que esa continuidad requiere. La remediación se formula en el apartado 8.2 y no admite postergación en un despliegue sujeto a ese régimen.</w:t>
      </w:r>
    </w:p>
    <w:p>
      <w:pPr>
        <w:pStyle w:val="BodyText"/>
      </w:pPr>
      <w:r>
        <w:t xml:space="preserve">Corresponde delimitar lo que estos resultados autorizan a afirmar. Se obtuvieron sobre una topología co-residente sin latencia de red real, sobre un único anfitrión monitoreado, con el orquestador de notificaciones ausente y el cifrado de transporte deshabilitado. Sustentan que la arquitectura propuesta atiende el problema de la ventana de ceguera sobre la carga ensayada y que las propiedades de consistencia y preservación de los eventos encolados se verifican bajo las condiciones ensayadas. No sustentan afirmación alguna sobre el comportamiento en despliegue distribuido, bajo carga sostenida de larga duración, ni sobre volúmenes de archivos superiores en un orden de magnitud al evaluado. El análisis sistemático de estos límites se desarrolla en los apartados 6.4 y 6.5.</w:t>
      </w:r>
    </w:p>
    <w:bookmarkEnd w:id="109"/>
    <w:bookmarkStart w:id="110" w:name="contribuciones-diferenciales-del-diseño"/>
    <w:p>
      <w:pPr>
        <w:pStyle w:val="Heading2"/>
      </w:pPr>
      <w:r>
        <w:rPr>
          <w:bCs/>
          <w:b/>
        </w:rPr>
        <w:t xml:space="preserve">6.2 Contribuciones diferenciales del diseño</w:t>
      </w:r>
    </w:p>
    <w:p>
      <w:pPr>
        <w:pStyle w:val="FirstParagraph"/>
      </w:pPr>
      <w:r>
        <w:t>Al comparar el sistema con las cuatro categorías caracterizadas en el apartado 2.5, se observan propiedades diferenciales que conviene enunciar con precisión, evitando exclusividades que la documentación de las alternativas desmiente. Frente a herramientas clásicas de encuestamiento con base local, como AIDE (AIDE Project, s. f.) o la formulación original de Tripwire (Kim &amp; Spafford, 1994), el sistema desarrollado ofrece detección reactiva basada en eventos. Ofrece, además, representación central de metadatos y hashes, junto con cifrado de la baseline local. Ofrece, asimismo, integración con canales externos con alternativas automáticas, auditoría separada de los logs, y resolución formal de concurrencia mediante bloqueo optimista y cadena de eventos superados. Frente a suites de detección de intrusiones a nivel de anfitrión como Wazuh, la diferencia no está en la detección reactiva, ni en la centralización de la base de integridad. Tampoco está en la integración con canales externos, capacidades que la documentación de Wazuh describe (Wazuh Inc., s. f.). La diferencia está, en cambio, en el motor de decisión local con cuatro niveles de acción, en el flujo de aprobación humana con resolución de concurrencia y en el cifrado de la baseline local, que esa documentación no describe. La menor complejidad de despliegue es un objetivo de diseño de este trabajo y no un resultado medido; la menor amplitud funcional respecto de Wazuh es, en cambio, cierta. Frente a soluciones comerciales, el sistema cede funcionalidad de correlación multifuente y aprendizaje automático, y ofrece disponibilidad del código fuente para auditoría; la accesibilidad económica se postula sin comparación de costos.</w:t>
      </w:r>
    </w:p>
    <w:p>
      <w:pPr>
        <w:pStyle w:val="BodyText"/>
      </w:pPr>
      <w:r>
        <w:t xml:space="preserve">Cuatro decisiones merecen destacarse como contribuciones originales del trabajo.</w:t>
      </w:r>
    </w:p>
    <w:p>
      <w:pPr>
        <w:pStyle w:val="BodyText"/>
      </w:pPr>
      <w:r>
        <w:t xml:space="preserve">La primera es el enlace propio al subsistema fanotify en modo de reporte de identificador de archivo, descripto en el apartado 4.3. La restricción del modo clásico respecto de los eventos de entrada de directorio, y la disponibilidad del identificador del directorio padre con el nombre de la entrada, están documentadas en las páginas de manual del subsistema (Linux man-pages project, 2026a, 2026b). La contribución no reside en su descubrimiento, sino en su aplicación a un agente de monitoreo de integridad escrito en Python. En esa aplicación, la bibliografía sobre sistemas FIM consultada por los autores no ofrece antecedentes. La capacidad de nombrar un archivo ya eliminado constituye, además, un aporte específico al valor forense del registro.</w:t>
      </w:r>
    </w:p>
    <w:p>
      <w:pPr>
        <w:pStyle w:val="BodyText"/>
      </w:pPr>
      <w:r>
        <w:t xml:space="preserve">La segunda es la gestión de cadena de eventos con estado superado, junto con el protocolo de entrega con persistencia deduplicada y el bloqueo optimista. Estos elementos configuran en conjunto un esquema de consistencia para flujos de aprobación humana en sistemas de esta naturaleza. Los autores no encontraron una descripción unificada de este esquema en la literatura consultada.</w:t>
      </w:r>
    </w:p>
    <w:p>
      <w:pPr>
        <w:pStyle w:val="BodyText"/>
      </w:pPr>
      <w:r>
        <w:t xml:space="preserve">La tercera es el esquema criptográfico en capas: autenticación mutua TLS con autoridad certificadora propia y rotación automática de certificados, firma HMAC de mensajes en ambos sentidos, y cifrado autenticado de baseline con derivación de clave. Cada una de esas primitivas es de uso extendido; la contribución reside en su composición explícita dentro de un sistema FIM, con la delimitación de alcance del apartado 2.10, y no en una granularidad que el trabajo no está en condiciones de calificar como inusual sin una revisión comparativa.</w:t>
      </w:r>
    </w:p>
    <w:p>
      <w:pPr>
        <w:pStyle w:val="BodyText"/>
      </w:pPr>
      <w:r>
        <w:t xml:space="preserve">La cuarta es de orden metodológico antes que arquitectónico: la formalización del comportamiento del sistema en un catálogo de ciento veintiocho reglas de negocio trazadas de manera explícita hacia la implementación que las realiza y hacia la prueba que las verifica. Esta cadena de trazabilidad permite sustentar afirmaciones de cobertura que de otro modo permanecerían declarativas, y habilita a un tercero a auditar no solamente si el sistema funciona sino si hace lo que dice hacer.</w:t>
      </w:r>
    </w:p>
    <w:bookmarkEnd w:id="110"/>
    <w:bookmarkStart w:id="111" w:name="adecuación-al-marco-normativo-argentino"/>
    <w:p>
      <w:pPr>
        <w:pStyle w:val="Heading2"/>
      </w:pPr>
      <w:r>
        <w:rPr>
          <w:bCs/>
          <w:b/>
        </w:rPr>
        <w:t xml:space="preserve">6.3 Adecuación al marco normativo argentino</w:t>
      </w:r>
    </w:p>
    <w:p>
      <w:pPr>
        <w:pStyle w:val="FirstParagraph"/>
      </w:pPr>
      <w:r>
        <w:t xml:space="preserve">La arquitectura contribuye a la medida de seguridad que el artículo 9.º de la Ley 25.326 impone a los responsables del tratamiento, al proporcionar un mecanismo técnico de detección de adulteraciones y al preservar trazabilidad de las decisiones administrativas mediante la tabla de auditoría. Esa misma ley condiciona, conforme al apartado 4.2, la retención de los registros que contienen datos de los operadores. Respecto de los cinco procesos de la Resolución 47/2018 de la AAIP, que reúne medidas recomendadas, el sistema aporta principalmente al proceso de control de acceso mediante la tabla de auditoría. Aporta, además, al proceso de gestión de incidentes mediante detección temprana, notificación automatizada con alternativas, y trazabilidad de la cadena de decisión. Respecto de la Segunda Estrategia Nacional de Ciberseguridad aprobada por la Resolución 44/2023, documento programático que no crea obligaciones para el sistema, el diseño se alinea con los objetivos de fortalecer las capacidades de prevención, detección y respuesta. La Tabla 2 sintetiza la naturaleza y el alcance de cada instrumento.</w:t>
      </w:r>
    </w:p>
    <w:p>
      <w:pPr>
        <w:pStyle w:val="BodyText"/>
      </w:pPr>
      <w:r>
        <w:t xml:space="preserve">La entrada en funciones del Centro Nacional de Ciberseguridad durante el primer semestre de 2026 y el dictado de su Disposición 1/2026 (Centro Nacional de Ciberseguridad, 2026) modifican el escenario de cumplimiento en un sentido que favorece la adopción de controles como el aquí desarrollado. La disposición impone exigencias de continuidad operativa y de planificación de contingencias únicamente a los organismos del Sector Público Nacional que define. La trazabilidad de la cadena de decisión que el sistema provee —desde la detección hasta la resolución humana— puede aportar documentación del tipo que un régimen de esa naturaleza requiere. Esta contribución está sujeta a las limitaciones de integridad del registro que el apartado 4.11 delimita. Conviene señalar, no obstante, que el sistema aporta a la dimensión de detección y registro, y no sustituye los planes de contingencia ni los centros de procesamiento alternativos que la disposición exige.</w:t>
      </w:r>
    </w:p>
    <w:p>
      <w:pPr>
        <w:pStyle w:val="BodyText"/>
      </w:pPr>
      <w:r>
        <w:t xml:space="preserve">No obstante lo anterior, el sistema por sí solo no garantiza cumplimiento normativo integral: debe entenderse como componente técnico dentro de un programa más amplio de cumplimiento que incluya políticas organizacionales, procedimientos operativos, gestión de derechos de titulares, y eventualmente notificación de incidentes a la autoridad de aplicación correspondiente.</w:t>
      </w:r>
    </w:p>
    <w:bookmarkEnd w:id="111"/>
    <w:bookmarkStart w:id="112" w:name="amenazas-a-la-validez-interna"/>
    <w:p>
      <w:pPr>
        <w:pStyle w:val="Heading2"/>
      </w:pPr>
      <w:r>
        <w:rPr>
          <w:bCs/>
          <w:b/>
        </w:rPr>
        <w:t xml:space="preserve">6.4 Amenazas a la validez interna</w:t>
      </w:r>
    </w:p>
    <w:p>
      <w:pPr>
        <w:pStyle w:val="FirstParagraph"/>
      </w:pPr>
      <w:r>
        <w:t xml:space="preserve">Se identifican seis amenazas a la validez interna del estudio que conviene documentar junto con sus mitigaciones. La primera amenaza son los sesgos de instrumentación, derivados del hecho de que las mediciones de tiempo se realizan mediante los propios componentes del sistema. Para mitigarla, el protocolo especifica mediciones redundantes mediante captura de paquetes y monitoreo de llamadas al sistema, junto con verificación de consistencia cruzada; para la batería histórica esa verificación no se conservó, de modo que allí la mitigación no está acreditada; la corrida posterior del apartado 5.2.1 sí observó externamente el inicio del intervalo, aunque el fin sigue dependiendo de la marca del backend. A esta amenaza se suma la incertidumbre sobre el intervalo efectivamente medido en la batería de latencia, documentada en el apartado 3.6. La segunda amenaza es la limitada variabilidad de las condiciones experimentales, mitigada parcialmente mediante documentación exhaustiva que habilita la replicación con otros parámetros. La tercera amenaza es la contaminación entre pruebas sucesivas por estado conservado en Valkey y PostgreSQL, mitigada mediante reinicialización controlada entre baterías. La cuarta amenaza es el efecto de maduración del sistema, mitigado mediante un período de calentamiento cuyas mediciones se descartan.</w:t>
      </w:r>
    </w:p>
    <w:p>
      <w:pPr>
        <w:pStyle w:val="BodyText"/>
      </w:pPr>
      <w:r>
        <w:t xml:space="preserve">Corresponde agregar una quinta amenaza específica del entorno adoptado. El laboratorio ejecuta el agente en la configuración contenedorizada descripta en el apartado 4.10, en la cual el agente y el servidor central comparten el anfitrión físico. Esta disposición elimina la latencia de red real entre ambos, y la corrida se ejecutó además con el cifrado de transporte deshabilitado y el orquestador de notificaciones inactivo, de modo que los valores de latencia se obtuvieron en condiciones favorables. No corresponde presentarlos como cota inferior formal del comportamiento en un despliegue distribuido: un ensayo local favorable no establece por sí solo una cota para otras configuraciones, y el efecto de la red, del cifrado y del orquestador no fue medido. La mitigación consiste en explicitar esta condición antes que en corregirla, por cuanto la corrección exigiría un laboratorio multi-anfitrión que excede los recursos del presente trabajo.</w:t>
      </w:r>
    </w:p>
    <w:p>
      <w:pPr>
        <w:pStyle w:val="BodyText"/>
      </w:pPr>
      <w:r>
        <w:t xml:space="preserve">Una sexta amenaza afecta específicamente al indicador de tiempo de recuperación. El umbral correspondiente se fijó sin especificar el volumen acumulado sobre el cual debía medirse, limitación de formulación analizada en el apartado 5.6.1 que vuelve al criterio dependiente de la duración de la desconexión ensayada. La consecuencia sobre la validez interna es que el resultado adverso combina una limitación real de caudal de ingesta —acreditada por la tasa de drenaje observada— con una formulación del criterio que no fijaba el volumen. Ambos factores concurren, y el incumplimiento se reporta contra el criterio tal como fue formulado. La mitigación adoptada consiste en reportar el incumplimiento contra el criterio tal como fue formulado y en diferir su reformulación al trabajo futuro, en lugar de ajustarlo retroactivamente.</w:t>
      </w:r>
    </w:p>
    <w:bookmarkEnd w:id="112"/>
    <w:bookmarkStart w:id="113" w:name="amenazas-a-la-validez-externa"/>
    <w:p>
      <w:pPr>
        <w:pStyle w:val="Heading2"/>
      </w:pPr>
      <w:r>
        <w:rPr>
          <w:bCs/>
          <w:b/>
        </w:rPr>
        <w:t xml:space="preserve">6.5 Amenazas a la validez externa</w:t>
      </w:r>
    </w:p>
    <w:p>
      <w:pPr>
        <w:pStyle w:val="FirstParagraph"/>
      </w:pPr>
      <w:r>
        <w:t xml:space="preserve">La primera amenaza a la validez externa es la limitada generalizabilidad a entornos con sistemas de archivos distribuidos, orquestadores de contenedores o volúmenes masivos, que no se encuentran dentro del alcance definido. La segunda amenaza es la evolución del panorama de amenazas: los resultados reflejan capacidad frente a modificaciones que activan eventos fanotify. La modificación mediante mapeo de memoria compartido, evaluada específicamente en el apartado 5.9, no eludió la detección en ninguna de las repeticiones ejecutadas, aunque por un mecanismo indirecto —el cómputo diferido del hash— y dentro de una ventana temporal acotada por la latencia de procesamiento del agente. Ese resultado no se extiende a técnicas evasivas no evaluadas en este trabajo, como la manipulación a nivel de dispositivo de bloque, la alteración coordinada de marcas temporales, o ataques de cadena de suministro del tipo del incidente CVE-2024-3094. La tercera amenaza es la especificidad del conjunto de directorios monitoreados: los criterios se validan sobre directorios críticos del sistema y subconjuntos de paths de aplicación, no sobre sistemas de archivos completos con decenas de miles de archivos. La amenaza residual principal, explicitada en el apartado 2.11, corresponde al compromiso del núcleo Linux por rootkits, cuya mitigación exige extender la raíz de confianza a nivel inferior.</w:t>
      </w:r>
    </w:p>
    <w:bookmarkEnd w:id="113"/>
    <w:bookmarkStart w:id="114" w:name="Xefbada10fea2fa05c76b1a55a8388522259c9f9"/>
    <w:p>
      <w:pPr>
        <w:pStyle w:val="Heading2"/>
      </w:pPr>
      <w:r>
        <w:rPr>
          <w:bCs/>
          <w:b/>
        </w:rPr>
        <w:t xml:space="preserve">6.6 Limitaciones tecnológicas del stack adoptado</w:t>
      </w:r>
    </w:p>
    <w:p>
      <w:pPr>
        <w:pStyle w:val="FirstParagraph"/>
      </w:pPr>
      <w:r>
        <w:t xml:space="preserve">El desarrollo permitió identificar limitaciones tecnológicas específicas del stack adoptado que conviene documentar. En el dominio de detección de archivos, fanotify, a pesar de su madurez y sus ventajas sobre inotify, opera sobre el mismo modelo de notificación por descriptor de archivo. Ante saturación del consumidor, los eventos se descartan de forma efectiva —la modificación correspondiente no llega a evaluarse—, pero no de forma silenciosa. El agente cuenta cada descarte, calcula una métrica de presión de cola (queue_pressure) y reporta ambos valores al backend en cada latido, lo que permite detectar el degradado operativo, aunque no recuperar el evento perdido. El modo de reporte de identificador de archivo adoptado agrega, adicionalmente, la dependencia de una capacidad de núcleo suplementaria y la exigencia de que el sistema de archivos subyacente soporte identificadores persistentes, condición que no todos los sistemas de archivos satisfacen.</w:t>
      </w:r>
    </w:p>
    <w:p>
      <w:pPr>
        <w:pStyle w:val="BodyText"/>
      </w:pPr>
      <w:r>
        <w:t xml:space="preserve">En el dominio de mensajería, Valkey depende de persistencia periódica en disco mediante estrategia de solo anexado por defecto, por lo que un crash intermedio puede perder los últimos milisegundos de escrituras. La arquitectura mitiga este riesgo mediante la política de retención local del agente hasta la confirmación explícita de persistencia por el backend, y mediante el patrón de bandeja de salida para el sentido inverso.</w:t>
      </w:r>
    </w:p>
    <w:p>
      <w:pPr>
        <w:pStyle w:val="BodyText"/>
      </w:pPr>
      <w:r>
        <w:t xml:space="preserve">En el dominio de servicios del backend, la decisión de instancia única implica un único punto de falla con tiempo de recuperación dependiente de las verificaciones de salud del orquestador; la cola local del agente preserva el servicio durante la ventana de reinicio.</w:t>
      </w:r>
    </w:p>
    <w:p>
      <w:pPr>
        <w:pStyle w:val="BodyText"/>
      </w:pPr>
      <w:r>
        <w:t>La corrida experimental expuso, adicionalmente, una limitación no anticipada en el diseño: el motor de mensajería constituye una dependencia dura de la totalidad de la superficie autenticada del backend, y no solamente del transporte de eventos. La resolución del usuario actual consulta la lista negra de identificadores de token descripta en el apartado 4.8, de modo que la indisponibilidad de Valkey impide toda operación administrativa, incluido el inicio de sesión. La limitación es de diseño antes que de la tecnología adoptada: la lista negra de tokens es un mecanismo de revocación cuya consulta admite degradación tolerante, y la decisión de no preverla constituye una omisión del presente trabajo. El caudal de ingesta del backend, cuya insuficiencia expone el apartado 5.6.1, pertenece a esta misma categoría de limitación descubierta por la medición. En el dominio de notificaciones, n8n se distribuye bajo la Sustainable Use License, que permite el uso interno y ciertos servicios de consultoría e integración, pero restringe ofrecer a terceros por dinero una solución cuyo valor derive sustancialmente de n8n o una versión alojada de la herramienta (n8n, s. f.-b). Esta síntesis no constituye un dictamen jurídico: una implantación comercial debe evaluar su modalidad concreta y, si corresponde, una licencia comercial. La política de alternativas automáticas permite operar sin n8n si ello resultara necesario. En el dominio de contraseñas, Argon2id con parámetros fijos puede resultar desmedido o insuficiente según el hardware de despliegue, limitación que el benchmark de arranque y la parametrización por entorno del apartado 4.8 mitigan sin eliminar.</w:t>
      </w:r>
    </w:p>
    <w:bookmarkEnd w:id="114"/>
    <w:bookmarkStart w:id="115" w:name="X5936d831cb3da73dd6c2eef8c9cc3699e2eb7e9"/>
    <w:p>
      <w:pPr>
        <w:pStyle w:val="Heading2"/>
      </w:pPr>
      <w:r>
        <w:rPr>
          <w:bCs/>
          <w:b/>
        </w:rPr>
        <w:t xml:space="preserve">6.7 Posicionamiento respecto de Falco y Tetragon</w:t>
      </w:r>
    </w:p>
    <w:p>
      <w:pPr>
        <w:pStyle w:val="FirstParagraph"/>
      </w:pPr>
      <w:r>
        <w:t>Conviene diferenciar la presente propuesta de tecnologías de observabilidad y seguridad en tiempo de ejecución que frecuentemente se mencionan en contextos similares pero que operan en un nivel de abstracción distinto. Falco, proyecto originado en Sysdig y graduado en la Cloud Native Computing Foundation (CNCF) el 29 de febrero de 2024 (Cloud Native Computing Foundation, 2024), es una herramienta de seguridad en tiempo de ejecución basada en el subsistema eBPF del núcleo. Tetragon, desarrollado por Isovalent y posteriormente por Cisco, es otra herramienta de la misma naturaleza. Su dominio primario es la detección de patrones sospechosos sobre el flujo de llamadas al sistema (The Falco Authors, 2026; Cilium Authors, s. f.). Ambas superan a la presente propuesta en granularidad de detección sobre comportamientos de proceso, conexiones de red y actividad de usuario.</w:t>
      </w:r>
    </w:p>
    <w:p>
      <w:pPr>
        <w:pStyle w:val="BodyText"/>
      </w:pPr>
      <w:r>
        <w:t xml:space="preserve">Sin embargo, de la lectura de la documentación oficial de ambos proyectos por parte de los autores se desprende que ninguna describe las funciones canónicas de un sistema de Monitoreo de Integridad de Archivos propiamente dicho. Ninguna mantiene ni cifra una baseline criptográfica del estado de archivos, ni realiza comparación diferencial contra dicha baseline, ni modela una cadena de eventos con resolución de concurrencia para flujos de aprobación humana. Tampoco restauran automáticamente desde baseline, ni mantienen un registro de auditoría separado con retención diferenciada. Tales capacidades pueden construirse encima de Falco o Tetragon mediante desarrollo adicional, pero no vienen provistas por esas plataformas. En consecuencia, la comparación apropiada para la presente propuesta se establece respecto de sistemas FIM específicos como Tripwire, AIDE o Wazuh, no respecto de herramientas de seguridad en tiempo de ejecución. La evaluación de una arquitectura híbrida que delegue la detección de bajo nivel en Tetragon y conserve las capas superiores de la presente propuesta se formula como línea de trabajo futuro en el Capítulo 8.</w:t>
      </w:r>
    </w:p>
    <w:p>
      <w:r>
        <w:br w:type="page"/>
      </w:r>
    </w:p>
    <w:bookmarkEnd w:id="115"/>
    <w:bookmarkEnd w:id="116"/>
    <w:bookmarkStart w:id="123" w:name="capítulo-7.-conclusiones"/>
    <w:p>
      <w:pPr>
        <w:pStyle w:val="Heading1"/>
      </w:pPr>
      <w:r>
        <w:rPr>
          <w:bCs/>
          <w:b/>
        </w:rPr>
        <w:t xml:space="preserve">CAPÍTULO 7. CONCLUSIONES</w:t>
      </w:r>
    </w:p>
    <w:p>
      <w:pPr>
        <w:pStyle w:val="FirstParagraph"/>
      </w:pPr>
      <w:r>
        <w:t xml:space="preserve">El presente capítulo sintetiza lo que el documento permite sostener, evalúa el grado de cumplimiento de los objetivos formulados con la evidencia documental disponible y extrae las lecciones aprendidas durante el proceso de diseño y evaluación. La exposición distingue, en cada caso, entre capacidades implementadas según el informe, propiedades evaluadas experimentalmente, criterios incumplidos, resultados indeterminados y potencial de aplicación no validado.</w:t>
      </w:r>
    </w:p>
    <w:bookmarkStart w:id="117" w:name="cumplimiento-de-los-objetivos-formulados"/>
    <w:p>
      <w:pPr>
        <w:pStyle w:val="Heading2"/>
      </w:pPr>
      <w:r>
        <w:rPr>
          <w:bCs/>
          <w:b/>
        </w:rPr>
        <w:t xml:space="preserve">7.1 Cumplimiento de los objetivos formulados</w:t>
      </w:r>
    </w:p>
    <w:p>
      <w:pPr>
        <w:pStyle w:val="FirstParagraph"/>
      </w:pPr>
      <w:r>
        <w:t xml:space="preserve">La Tabla 20 presenta, para cada objetivo específico del apartado 1.5, la evidencia documental que el propio informe ofrece, el resultado que esa evidencia sustenta y la limitación que lo acompaña. La matriz se construye exclusivamente a partir del contenido del documento; no incorpora evidencia externa ni inspección del repositorio, y distingue entre lo implementado, lo verificado por pruebas automatizadas, lo comprobado manualmente y lo evaluado experimentalmente.</w:t>
      </w:r>
    </w:p>
    <w:p>
      <w:pPr>
        <w:pStyle w:val="BodyText"/>
        <w:keepNext/>
      </w:pPr>
      <w:r>
        <w:rPr>
          <w:bCs/>
          <w:b/>
          <w:iCs/>
          <w:i/>
        </w:rPr>
        <w:t xml:space="preserve">Tabla 20.</w:t>
      </w:r>
      <w:r>
        <w:rPr>
          <w:iCs/>
          <w:i/>
        </w:rPr>
        <w:t xml:space="preserve"> Matriz objetivo → evidencia documental → resultado → limitación</w:t>
      </w:r>
    </w:p>
    <w:tbl>
      <w:tblPr>
        <w:tblStyle w:val="Table"/>
        <w:tblW w:type="pct" w:w="5000"/>
        <w:jc w:val="start"/>
        <w:tblLook w:firstRow="1" w:lastRow="0" w:firstColumn="0" w:lastColumn="0" w:noHBand="0" w:noVBand="0" w:val="0020"/>
      </w:tblPr>
      <w:tblGrid>
        <w:gridCol w:w="1980"/>
        <w:gridCol w:w="1980"/>
        <w:gridCol w:w="1980"/>
        <w:gridCol w:w="1980"/>
      </w:tblGrid>
      <w:tr>
        <w:trPr>
          <w:tblHeader w:val="true"/>
          <w:cantSplit/>
        </w:trPr>
        <w:tc>
          <w:tcPr/>
          <w:p>
            <w:pPr>
              <w:pStyle w:val="Compact"/>
              <w:jc w:val="left"/>
            </w:pPr>
            <w:r>
              <w:t xml:space="preserve">Objetivo (§1.5)</w:t>
            </w:r>
          </w:p>
        </w:tc>
        <w:tc>
          <w:tcPr/>
          <w:p>
            <w:pPr>
              <w:pStyle w:val="Compact"/>
              <w:jc w:val="left"/>
            </w:pPr>
            <w:r>
              <w:t xml:space="preserve">Evidencia documental</w:t>
            </w:r>
          </w:p>
        </w:tc>
        <w:tc>
          <w:tcPr/>
          <w:p>
            <w:pPr>
              <w:pStyle w:val="Compact"/>
              <w:jc w:val="left"/>
            </w:pPr>
            <w:r>
              <w:t xml:space="preserve">Resultado</w:t>
            </w:r>
          </w:p>
        </w:tc>
        <w:tc>
          <w:tcPr/>
          <w:p>
            <w:pPr>
              <w:pStyle w:val="Compact"/>
              <w:jc w:val="left"/>
            </w:pPr>
            <w:r>
              <w:t xml:space="preserve">Limitación</w:t>
            </w:r>
          </w:p>
        </w:tc>
      </w:tr>
      <w:tr>
        <w:trPr>
          <w:cantSplit/>
        </w:trPr>
        <w:tc>
          <w:tcPr/>
          <w:p>
            <w:pPr>
              <w:pStyle w:val="Compact"/>
              <w:jc w:val="left"/>
            </w:pPr>
            <w:r>
              <w:t xml:space="preserve">1. Fundamentos de funciones hash</w:t>
            </w:r>
          </w:p>
        </w:tc>
        <w:tc>
          <w:tcPr/>
          <w:p>
            <w:pPr>
              <w:pStyle w:val="Compact"/>
              <w:jc w:val="left"/>
            </w:pPr>
            <w:r>
              <w:t xml:space="preserve">§2.2</w:t>
            </w:r>
          </w:p>
        </w:tc>
        <w:tc>
          <w:tcPr/>
          <w:p>
            <w:pPr>
              <w:pStyle w:val="Compact"/>
              <w:jc w:val="left"/>
            </w:pPr>
            <w:r>
              <w:t xml:space="preserve">Alcanzado como análisis conceptual</w:t>
            </w:r>
          </w:p>
        </w:tc>
        <w:tc>
          <w:tcPr/>
          <w:p>
            <w:pPr>
              <w:pStyle w:val="Compact"/>
              <w:jc w:val="left"/>
            </w:pPr>
            <w:r>
              <w:t xml:space="preserve">Sin evaluación comparativa de funciones alternativas</w:t>
            </w:r>
          </w:p>
        </w:tc>
      </w:tr>
      <w:tr>
        <w:trPr>
          <w:cantSplit/>
        </w:trPr>
        <w:tc>
          <w:tcPr/>
          <w:p>
            <w:pPr>
              <w:pStyle w:val="Compact"/>
              <w:jc w:val="left"/>
            </w:pPr>
            <w:r>
              <w:t xml:space="preserve">2. Estado del arte 2024-2026</w:t>
            </w:r>
          </w:p>
        </w:tc>
        <w:tc>
          <w:tcPr/>
          <w:p>
            <w:pPr>
              <w:pStyle w:val="Compact"/>
              <w:jc w:val="left"/>
            </w:pPr>
            <w:r>
              <w:t xml:space="preserve">§2.5, §6.2, §6.7</w:t>
            </w:r>
          </w:p>
        </w:tc>
        <w:tc>
          <w:tcPr/>
          <w:p>
            <w:pPr>
              <w:pStyle w:val="Compact"/>
              <w:jc w:val="left"/>
            </w:pPr>
            <w:r>
              <w:t xml:space="preserve">Alcanzado parcialmente: caracterización con fuentes documentales</w:t>
            </w:r>
          </w:p>
        </w:tc>
        <w:tc>
          <w:tcPr/>
          <w:p>
            <w:pPr>
              <w:pStyle w:val="Compact"/>
              <w:jc w:val="left"/>
            </w:pPr>
            <w:r>
              <w:t xml:space="preserve">No hubo revisión sistemática ni evaluación funcional de las herramientas comparadas</w:t>
            </w:r>
          </w:p>
        </w:tc>
      </w:tr>
      <w:tr>
        <w:trPr>
          <w:cantSplit/>
        </w:trPr>
        <w:tc>
          <w:tcPr/>
          <w:p>
            <w:pPr>
              <w:pStyle w:val="Compact"/>
              <w:jc w:val="left"/>
            </w:pPr>
            <w:r>
              <w:t xml:space="preserve">3. Sistematización normativa</w:t>
            </w:r>
          </w:p>
        </w:tc>
        <w:tc>
          <w:tcPr/>
          <w:p>
            <w:pPr>
              <w:pStyle w:val="Compact"/>
              <w:jc w:val="left"/>
            </w:pPr>
            <w:r>
              <w:t xml:space="preserve">§2.4, Tabla 2, §6.3, §10.2</w:t>
            </w:r>
          </w:p>
        </w:tc>
        <w:tc>
          <w:tcPr/>
          <w:p>
            <w:pPr>
              <w:pStyle w:val="Compact"/>
              <w:jc w:val="left"/>
            </w:pPr>
            <w:r>
              <w:t xml:space="preserve">Alcanzado como sistematización</w:t>
            </w:r>
          </w:p>
        </w:tc>
        <w:tc>
          <w:tcPr/>
          <w:p>
            <w:pPr>
              <w:pStyle w:val="Compact"/>
              <w:jc w:val="left"/>
            </w:pPr>
            <w:r>
              <w:t xml:space="preserve">Afirmaciones de cumplimiento reformuladas como contribución; retención indefinida corregida (§4.2)</w:t>
            </w:r>
          </w:p>
        </w:tc>
      </w:tr>
      <w:tr>
        <w:trPr>
          <w:cantSplit/>
        </w:trPr>
        <w:tc>
          <w:tcPr/>
          <w:p>
            <w:pPr>
              <w:pStyle w:val="Compact"/>
              <w:jc w:val="left"/>
            </w:pPr>
            <w:r>
              <w:t xml:space="preserve">4. Modelo de amenazas STRIDE</w:t>
            </w:r>
          </w:p>
        </w:tc>
        <w:tc>
          <w:tcPr/>
          <w:p>
            <w:pPr>
              <w:pStyle w:val="Compact"/>
              <w:jc w:val="left"/>
            </w:pPr>
            <w:r>
              <w:t xml:space="preserve">§2.12, Tabla 3</w:t>
            </w:r>
          </w:p>
        </w:tc>
        <w:tc>
          <w:tcPr/>
          <w:p>
            <w:pPr>
              <w:pStyle w:val="Compact"/>
              <w:jc w:val="left"/>
            </w:pPr>
            <w:r>
              <w:t xml:space="preserve">Alcanzado como análisis de diseño</w:t>
            </w:r>
          </w:p>
        </w:tc>
        <w:tc>
          <w:tcPr/>
          <w:p>
            <w:pPr>
              <w:pStyle w:val="Compact"/>
              <w:jc w:val="left"/>
            </w:pPr>
            <w:r>
              <w:t xml:space="preserve">Mitigaciones descriptas, no verificadas mediante pruebas adversariales</w:t>
            </w:r>
          </w:p>
        </w:tc>
      </w:tr>
      <w:tr>
        <w:trPr>
          <w:cantSplit/>
        </w:trPr>
        <w:tc>
          <w:tcPr/>
          <w:p>
            <w:pPr>
              <w:pStyle w:val="Compact"/>
              <w:jc w:val="left"/>
            </w:pPr>
            <w:r>
              <w:t xml:space="preserve">5. Arquitectura de seis componentes</w:t>
            </w:r>
          </w:p>
        </w:tc>
        <w:tc>
          <w:tcPr/>
          <w:p>
            <w:pPr>
              <w:pStyle w:val="Compact"/>
              <w:jc w:val="left"/>
            </w:pPr>
            <w:r>
              <w:t xml:space="preserve">§4.1, Tabla 5, Figuras 1 y 10</w:t>
            </w:r>
          </w:p>
        </w:tc>
        <w:tc>
          <w:tcPr/>
          <w:p>
            <w:pPr>
              <w:pStyle w:val="Compact"/>
              <w:jc w:val="left"/>
            </w:pPr>
            <w:r>
              <w:t xml:space="preserve">Implementada según el informe</w:t>
            </w:r>
          </w:p>
        </w:tc>
        <w:tc>
          <w:tcPr/>
          <w:p>
            <w:pPr>
              <w:pStyle w:val="Compact"/>
              <w:jc w:val="left"/>
            </w:pPr>
            <w:r>
              <w:t xml:space="preserve">Evaluada solo en topología co-residente y con agente contenedorizado</w:t>
            </w:r>
          </w:p>
        </w:tc>
      </w:tr>
      <w:tr>
        <w:trPr>
          <w:cantSplit/>
        </w:trPr>
        <w:tc>
          <w:tcPr/>
          <w:p>
            <w:pPr>
              <w:pStyle w:val="Compact"/>
              <w:jc w:val="left"/>
            </w:pPr>
            <w:r>
              <w:t>6. Protocolo de entrega al menos una vez con persistencia deduplicada</w:t>
            </w:r>
          </w:p>
        </w:tc>
        <w:tc>
          <w:tcPr/>
          <w:p>
            <w:pPr>
              <w:pStyle w:val="Compact"/>
              <w:jc w:val="left"/>
            </w:pPr>
            <w:r>
              <w:t xml:space="preserve">§4.4, Figura 4</w:t>
            </w:r>
          </w:p>
        </w:tc>
        <w:tc>
          <w:tcPr/>
          <w:p>
            <w:pPr>
              <w:pStyle w:val="Compact"/>
              <w:jc w:val="left"/>
            </w:pPr>
            <w:r>
              <w:t xml:space="preserve">Implementado; verificado por pruebas automatizadas del agente y del backend. Serie posterior de drenaje: 5/5 corridas bajo 30 s en condiciones acotadas.</w:t>
            </w:r>
          </w:p>
        </w:tc>
        <w:tc>
          <w:tcPr/>
          <w:p>
            <w:pPr>
              <w:pStyle w:val="Compact"/>
              <w:jc w:val="left"/>
            </w:pPr>
            <w:r>
              <w:t xml:space="preserve">Garantía delimitada a persistencia deduplicada; no exactamente-una-vez de efectos laterales</w:t>
            </w:r>
          </w:p>
        </w:tc>
      </w:tr>
      <w:tr>
        <w:trPr>
          <w:cantSplit/>
        </w:trPr>
        <w:tc>
          <w:tcPr/>
          <w:p>
            <w:pPr>
              <w:pStyle w:val="Compact"/>
              <w:jc w:val="left"/>
            </w:pPr>
            <w:r>
              <w:t xml:space="preserve">7. Agente con motor de decisión, cola offline, registro previo y baseline cifrada</w:t>
            </w:r>
          </w:p>
        </w:tc>
        <w:tc>
          <w:tcPr/>
          <w:p>
            <w:pPr>
              <w:pStyle w:val="Compact"/>
              <w:jc w:val="left"/>
            </w:pPr>
            <w:r>
              <w:t xml:space="preserve">§4.3, §4.4, §5.6</w:t>
            </w:r>
          </w:p>
        </w:tc>
        <w:tc>
          <w:tcPr/>
          <w:p>
            <w:pPr>
              <w:pStyle w:val="Compact"/>
              <w:jc w:val="left"/>
            </w:pPr>
            <w:r>
              <w:t xml:space="preserve">Implementado; la entrega offline histórica y la aprobación ligada a candidato local fueron evaluadas por separado.</w:t>
            </w:r>
          </w:p>
        </w:tc>
        <w:tc>
          <w:tcPr/>
          <w:p>
            <w:pPr>
              <w:pStyle w:val="Compact"/>
              <w:jc w:val="left"/>
            </w:pPr>
            <w:r>
              <w:t xml:space="preserve">Doce operaciones históricas sin evento conservan causa indeterminada; la precedencia comandos→eventos no quedó cuantificada; el contenido restaurable permanece cifrado en /var/lib/fim-agent/baseline/ y la clave maestra co-reside en el anfitrión.</w:t>
            </w:r>
          </w:p>
        </w:tc>
      </w:tr>
      <w:tr>
        <w:trPr>
          <w:cantSplit/>
        </w:trPr>
        <w:tc>
          <w:tcPr/>
          <w:p>
            <w:pPr>
              <w:pStyle w:val="Compact"/>
              <w:jc w:val="left"/>
            </w:pPr>
            <w:r>
              <w:t xml:space="preserve">8. Backend modular con bloqueo optimista y máquina de estados</w:t>
            </w:r>
          </w:p>
        </w:tc>
        <w:tc>
          <w:tcPr/>
          <w:p>
            <w:pPr>
              <w:pStyle w:val="Compact"/>
              <w:jc w:val="left"/>
            </w:pPr>
            <w:r>
              <w:t xml:space="preserve">§4.5, §4.9, Tabla 15</w:t>
            </w:r>
          </w:p>
        </w:tc>
        <w:tc>
          <w:tcPr/>
          <w:p>
            <w:pPr>
              <w:pStyle w:val="Compact"/>
              <w:jc w:val="left"/>
            </w:pPr>
            <w:r>
              <w:t xml:space="preserve">Implementado; candidato 7a7ee50 con 689/689 aprobadas y 91,34 % de cobertura sobre backend/app. Coverage Run 3 (89,35 %) y el candidato 7df4935 se conservan como cortes separados.</w:t>
            </w:r>
          </w:p>
        </w:tc>
        <w:tc>
          <w:tcPr/>
          <w:p>
            <w:pPr>
              <w:pStyle w:val="Compact"/>
              <w:jc w:val="left"/>
            </w:pPr>
            <w:r>
              <w:t>La suite consolidada acredita el alcance ejecutado, no operación multianfitrión, concurrencia de clientes ni aptitud productiva; Valkey sigue siendo dependencia de autenticación.</w:t>
            </w:r>
          </w:p>
        </w:tc>
      </w:tr>
      <w:tr>
        <w:trPr>
          <w:cantSplit/>
        </w:trPr>
        <w:tc>
          <w:tcPr/>
          <w:p>
            <w:pPr>
              <w:pStyle w:val="Compact"/>
              <w:jc w:val="left"/>
            </w:pPr>
            <w:r>
              <w:t xml:space="preserve">9. Arquitectura criptográfica</w:t>
            </w:r>
          </w:p>
        </w:tc>
        <w:tc>
          <w:tcPr/>
          <w:p>
            <w:pPr>
              <w:pStyle w:val="Compact"/>
              <w:jc w:val="left"/>
            </w:pPr>
            <w:r>
              <w:t xml:space="preserve">§4.8, Tabla 10</w:t>
            </w:r>
          </w:p>
        </w:tc>
        <w:tc>
          <w:tcPr/>
          <w:p>
            <w:pPr>
              <w:pStyle w:val="Compact"/>
              <w:jc w:val="left"/>
            </w:pPr>
            <w:r>
              <w:t xml:space="preserve">mTLS agente-backend verificado en evaluación local controlada; cliente mTLS backend-Valkey verificado contra un contenedor local; HMAC y cifrado local evaluados en pruebas dirigidas.</w:t>
            </w:r>
          </w:p>
        </w:tc>
        <w:tc>
          <w:tcPr/>
          <w:p>
            <w:pPr>
              <w:pStyle w:val="Compact"/>
              <w:jc w:val="left"/>
            </w:pPr>
            <w:r>
              <w:t xml:space="preserve">La corrida histórica, Run 4 y los E2E usaron Valkey sin TLS; no se acredita transporte Valkey cifrado en un despliegue ni entre dos anfitriones. La clave maestra permanece en el anfitrión.</w:t>
            </w:r>
          </w:p>
        </w:tc>
      </w:tr>
      <w:tr>
        <w:trPr>
          <w:cantSplit/>
        </w:trPr>
        <w:tc>
          <w:tcPr/>
          <w:p>
            <w:pPr>
              <w:pStyle w:val="Compact"/>
              <w:jc w:val="left"/>
            </w:pPr>
            <w:r>
              <w:t xml:space="preserve">10. Política de notificaciones con n8n y alternativas</w:t>
            </w:r>
          </w:p>
        </w:tc>
        <w:tc>
          <w:tcPr/>
          <w:p>
            <w:pPr>
              <w:pStyle w:val="Compact"/>
              <w:jc w:val="left"/>
            </w:pPr>
            <w:r>
              <w:t xml:space="preserve">§4.7, §5.3</w:t>
            </w:r>
          </w:p>
        </w:tc>
        <w:tc>
          <w:tcPr/>
          <w:p>
            <w:pPr>
              <w:pStyle w:val="Compact"/>
              <w:jc w:val="left"/>
            </w:pPr>
            <w:r>
              <w:t xml:space="preserve">Batería histórica B4 con receptor HTTP local; evaluaciones posteriores A/B con n8n y webhook controlado. Ensayo posterior: 100/100 solicitudes simultáneas con P99 de 616,626 ms en send_n8n → receptor local.</w:t>
            </w:r>
          </w:p>
        </w:tc>
        <w:tc>
          <w:tcPr/>
          <w:p>
            <w:pPr>
              <w:pStyle w:val="Compact"/>
              <w:jc w:val="left"/>
            </w:pPr>
            <w:r>
              <w:t xml:space="preserve">B4 no atravesó n8n. El ensayo de concurrencia no incluyó n8n, SMTP ni segundo anfitrión. SMTP real y proveedores comerciales no fueron acreditados; la evaluación durable usó retardos nulos y no valida las esperas nominales de 5, 30 y 120 s.</w:t>
            </w:r>
          </w:p>
        </w:tc>
      </w:tr>
      <w:tr>
        <w:trPr>
          <w:cantSplit/>
        </w:trPr>
        <w:tc>
          <w:tcPr/>
          <w:p>
            <w:pPr>
              <w:pStyle w:val="Compact"/>
              <w:jc w:val="left"/>
            </w:pPr>
            <w:r>
              <w:t xml:space="preserve">11. Protocolo experimental reproducible</w:t>
            </w:r>
          </w:p>
        </w:tc>
        <w:tc>
          <w:tcPr/>
          <w:p>
            <w:pPr>
              <w:pStyle w:val="Compact"/>
              <w:jc w:val="left"/>
            </w:pPr>
            <w:r>
              <w:t xml:space="preserve">§3.7, Cap. 5, Anexo F</w:t>
            </w:r>
          </w:p>
        </w:tc>
        <w:tc>
          <w:tcPr/>
          <w:p>
            <w:pPr>
              <w:pStyle w:val="Compact"/>
              <w:jc w:val="left"/>
            </w:pPr>
            <w:r>
              <w:t xml:space="preserve">Batería histórica preservada; candidato 7a7ee50 consolidado PASS con JUnit, coberturas por componente, E2E dirigidos, OpenSpec y custodia autocontenida; ensayos de concurrencia, drenaje repetido y latencia con inicio externo sobre el candidato 7df4935, con verificación independiente de sus estadísticos.</w:t>
            </w:r>
          </w:p>
        </w:tc>
        <w:tc>
          <w:tcPr/>
          <w:p>
            <w:pPr>
              <w:pStyle w:val="Compact"/>
              <w:jc w:val="left"/>
            </w:pPr>
            <w:r>
              <w:t xml:space="preserve">No acredita TLS de Valkey, SMTP comercial, multianfitrión ni el backlog integral; los ensayos posteriores se limitan a un anfitrión. La advertencia main_stack_unchanged=false de dos intentos históricos no reapareció en la repetición con inventarios crudos; su causa original no quedó demostrada.</w:t>
            </w:r>
          </w:p>
        </w:tc>
      </w:tr>
      <w:tr>
        <w:trPr>
          <w:cantSplit/>
        </w:trPr>
        <w:tc>
          <w:tcPr/>
          <w:p>
            <w:pPr>
              <w:pStyle w:val="Compact"/>
              <w:jc w:val="left"/>
            </w:pPr>
            <w:r>
              <w:t xml:space="preserve">Criterio de cobertura de historias (Tabla 1)</w:t>
            </w:r>
          </w:p>
        </w:tc>
        <w:tc>
          <w:tcPr/>
          <w:p>
            <w:pPr>
              <w:pStyle w:val="Compact"/>
              <w:jc w:val="left"/>
            </w:pPr>
            <w:r>
              <w:t xml:space="preserve">§5.5.1, Anexo G</w:t>
            </w:r>
          </w:p>
        </w:tc>
        <w:tc>
          <w:tcPr/>
          <w:p>
            <w:pPr>
              <w:pStyle w:val="Compact"/>
              <w:jc w:val="left"/>
            </w:pPr>
            <w:r>
              <w:t xml:space="preserve">No alcanzado: matriz vigente con 23 historias completas, 8 parciales y 0 sin cobertura funcional.</w:t>
            </w:r>
          </w:p>
        </w:tc>
        <w:tc>
          <w:tcPr/>
          <w:p>
            <w:pPr>
              <w:pStyle w:val="Compact"/>
              <w:jc w:val="left"/>
            </w:pPr>
            <w:r>
              <w:t xml:space="preserve">El criterio exige 31 completas. Las divergencias de US-01, US-11, US-21, US-23 y US-29 no se reinterpretan como cumplimiento.</w:t>
            </w:r>
          </w:p>
        </w:tc>
      </w:tr>
    </w:tbl>
    <w:p>
      <w:pPr>
        <w:pStyle w:val="BodyText"/>
      </w:pPr>
      <w:r>
        <w:rPr>
          <w:bCs/>
          <w:b/>
          <w:iCs/>
          <w:i/>
        </w:rPr>
        <w:t xml:space="preserve">Nota.</w:t>
      </w:r>
      <w:r>
        <w:rPr>
          <w:iCs/>
          <w:i/>
        </w:rPr>
        <w:t xml:space="preserve"> Elaboración propia a partir del contenido del presente documento.</w:t>
      </w:r>
    </w:p>
    <w:p>
      <w:pPr>
        <w:pStyle w:val="BodyText"/>
      </w:pPr>
      <w:r>
        <w:t xml:space="preserve">La matriz permite sostener avances diferenciados: veintitrés historias satisfacen sus criterios canónicos y ocho permanecen parciales. El candidato 7a7ee50 cuenta con una suite consolidada aprobada para el alcance ejecutado y con custodia autocontenida. Esto fortalece la evidencia de implementación sin convertir las pruebas dirigidas en validación del backlog integral. No se declara cumplimiento integral de los once objetivos ni corroboración conjunta de la hipótesis, porque otros criterios preestablecidos continúan parciales o fuera del alcance.</w:t>
      </w:r>
    </w:p>
    <w:p>
      <w:pPr>
        <w:pStyle w:val="BodyText"/>
      </w:pPr>
      <w:r>
        <w:t xml:space="preserve">La limitación de cobertura se concentra en ocho historias parciales. Combinan criterios sin evidencia suficiente con divergencias frente al texto canónico, como la decisión D2 en US-11 o D6/RN-107 en US-23 y US-29. US-09 cuenta ahora con modos textual y binario verificados por criterio. Las pruebas dirigidas, el drenaje y las verificaciones de seguridad y notificación deben interpretarse por separado, con las versiones y condiciones de cada evidencia.</w:t>
      </w:r>
    </w:p>
    <w:bookmarkEnd w:id="117"/>
    <w:bookmarkStart w:id="118" w:name="contribución-teórica"/>
    <w:p>
      <w:pPr>
        <w:pStyle w:val="Heading2"/>
      </w:pPr>
      <w:r>
        <w:rPr>
          <w:bCs/>
          <w:b/>
        </w:rPr>
        <w:t xml:space="preserve">7.2 Contribución teórica</w:t>
      </w:r>
    </w:p>
    <w:p>
      <w:pPr>
        <w:pStyle w:val="FirstParagraph"/>
      </w:pPr>
      <w:r>
        <w:t xml:space="preserve">El trabajo constituye un caso ilustrativo consistente con la idea de que arquitecturas distribuidas basadas en componentes de código abierto del ecosistema Python y JavaScript pueden resultar viables para la construcción de soluciones de seguridad operacional en contextos con recursos limitados. Esta lectura excede lo que el diseño experimental del Capítulo 5 —circunscripto a la plataforma desarrollada en este trabajo y a las condiciones del apartado 3.7— permite afirmar. Se ofrece, por ello, como argumento de aplicabilidad no validado, y no como una segunda hipótesis puesta a prueba junto con la formulada en el apartado 1.6. Adicionalmente, el trabajo documenta tres contribuciones de diseño. La primera es la implementación de un enlace al subsistema fanotify en modo de reporte de identificador de archivo, que habilita la detección de eventos de entrada de directorio y la reconstrucción de rutas de archivos eliminados. La segunda es el esquema de consistencia combinado —cadena de eventos superados junto con protocolo de entrega con persistencia deduplicada, bloqueo optimista y bandeja de salida transaccional— para flujos de aprobación humana en sistemas FIM. La tercera es la composición criptográfica en capas —TLS mutuo con autoridad certificadora propia, HMAC sobre mensajes en ambos sentidos, y cifrado autenticado de baseline con derivación HKDF—. Esta composición articula defensa en profundidad dentro de un sistema FIM, con el alcance de mitigación delimitado en el apartado 2.10. Las tres son contribuciones de ingeniería documentadas; el trabajo no reclama para ellas originalidad científica más allá de la ausencia de antecedentes directos en la literatura que los autores consultaron.</w:t>
      </w:r>
    </w:p>
    <w:bookmarkEnd w:id="118"/>
    <w:bookmarkStart w:id="119" w:name="contribución-metodológica"/>
    <w:p>
      <w:pPr>
        <w:pStyle w:val="Heading2"/>
      </w:pPr>
      <w:r>
        <w:rPr>
          <w:bCs/>
          <w:b/>
        </w:rPr>
        <w:t xml:space="preserve">7.3 Contribución metodológica</w:t>
      </w:r>
    </w:p>
    <w:p>
      <w:pPr>
        <w:pStyle w:val="FirstParagraph"/>
      </w:pPr>
      <w:r>
        <w:t xml:space="preserve">El trabajo aporta tres elementos de orden metodológico. El primero es un protocolo experimental con diseño comparativo contra grupo de control, con baterías complementarias, y planillas de captura publicadas junto con los generadores de carga que las alimentan. Su reproducibilidad es un propósito declarado, cuya verificación por terceros no se ha practicado. La corrida informada, además, presenta discrepancias con la planificación que el apartado 5.3 consigna.</w:t>
      </w:r>
    </w:p>
    <w:p>
      <w:pPr>
        <w:pStyle w:val="BodyText"/>
      </w:pPr>
      <w:r>
        <w:t xml:space="preserve">El segundo es un modelo de amenazas STRIDE aplicado al propio sistema de protección, ejercicio que evita la paradoja de una herramienta de seguridad que no audita sus propias debilidades.</w:t>
      </w:r>
    </w:p>
    <w:p>
      <w:pPr>
        <w:pStyle w:val="BodyText"/>
      </w:pPr>
      <w:r>
        <w:t xml:space="preserve">El tercero, y de mayor valor formativo, es el procedimiento de construcción documentado en el apartado 3.8 y la auditoría interna consignada en el apartado 4.12. La secuencia de especificación previa, implementación, auditoría sistemática con clasificación de hallazgos por severidad, corrección verificada mediante pruebas de regresión, y solamente entonces medición, constituye una disciplina que los trabajos académicos de ingeniería rara vez explicitan. La publicación del registro de hallazgos en el repositorio incluye los diez hallazgos de severidad crítica que la auditoría del 23 de junio de 2026 registró, sobre un total de veintisiete, en un sistema que sus propios autores consideraban terminado. Esta publicación responde a la convicción de que la evidencia del error corregido es más informativa, para quien pretenda replicar el trabajo, que la presentación de un artefacto sin historia. El presente documento no reproduce ese registro, de modo que la caracterización de los hallazgos remite al repositorio del Anexo F.</w:t>
      </w:r>
    </w:p>
    <w:bookmarkEnd w:id="119"/>
    <w:bookmarkStart w:id="120" w:name="contribución-práctica-y-normativa"/>
    <w:p>
      <w:pPr>
        <w:pStyle w:val="Heading2"/>
      </w:pPr>
      <w:r>
        <w:rPr>
          <w:bCs/>
          <w:b/>
        </w:rPr>
        <w:t xml:space="preserve">7.4 Contribución práctica y normativa</w:t>
      </w:r>
    </w:p>
    <w:p>
      <w:pPr>
        <w:pStyle w:val="FirstParagraph"/>
      </w:pPr>
      <w:r>
        <w:t xml:space="preserve">El trabajo proporciona un artefacto de monitoreo de integridad y documenta su diseño, evaluación y evolución. El candidato consolidado 7a7ee50 aprobó las suites de agente, backend y frontend y los E2E dirigidos dentro del alcance consignado. El bundle y el archivo determinista permiten reconstruir exactamente ese candidato. La matriz queda en veintitrés historias completas y ocho parciales. Los ensayos sobre el candidato 7df4935 acreditan, en un único anfitrión, cien notificaciones simultáneas en el tramo de transporte, cinco drenajes bajo 30 s y una latencia P99 de 31,533 ms con inicio externo. No se acreditan validación multianfitrión, TLS de Valkey, concurrencia extremo a extremo, SMTP comercial, alta disponibilidad ni aptitud productiva. La contribución normativa identifica relaciones con controles aplicables, sin acreditar cumplimiento integral.</w:t>
      </w:r>
    </w:p>
    <w:bookmarkEnd w:id="120"/>
    <w:bookmarkStart w:id="121" w:name="contribución-formativa"/>
    <w:p>
      <w:pPr>
        <w:pStyle w:val="Heading2"/>
      </w:pPr>
      <w:r>
        <w:rPr>
          <w:bCs/>
          <w:b/>
        </w:rPr>
        <w:t xml:space="preserve">7.5 Contribución formativa</w:t>
      </w:r>
    </w:p>
    <w:p>
      <w:pPr>
        <w:pStyle w:val="FirstParagraph"/>
      </w:pPr>
      <w:r>
        <w:t xml:space="preserve">El proyecto permitió articular en un sistema cohesivo las competencias adquiridas a lo largo de la Tecnicatura Universitaria en Programación, integrando programación en Python y JavaScript, desarrollo frontend con React y TypeScript, diseño de bases de datos relacionales, protocolos de integración web, mensajería asíncrona, criptografía aplicada, y metodologías de investigación. El enfrentamiento con un problema real de ciberseguridad demandó habilidades no explícitamente cubiertas por el plan de estudios, pero características de la práctica profesional. Entre ellas, la lectura crítica de documentación técnica y de estándares internacionales, y la interpretación de la interfaz de llamadas al sistema del núcleo a partir de su documentación. También el análisis comparativo con criterios objetivos, la elaboración de documentación de decisiones, y la comunicación escrita de razonamientos técnicos con rigor académico.</w:t>
      </w:r>
    </w:p>
    <w:p>
      <w:pPr>
        <w:pStyle w:val="BodyText"/>
      </w:pPr>
      <w:r>
        <w:t xml:space="preserve">La auditoría practicada cuando el sistema se consideraba terminado registró veintisiete hallazgos: diez críticos, ocho altos y nueve medios. Ese registro acredita su detección histórica, no que todos permanezcan corregidos y verificados en el corte actual. Los hallazgos mostraron que, en un sistema distribuido, verificar componentes aislados no sustituye la verificación del conjunto.</w:t>
      </w:r>
    </w:p>
    <w:bookmarkEnd w:id="121"/>
    <w:bookmarkStart w:id="122" w:name="reconocimiento-de-limitaciones"/>
    <w:p>
      <w:pPr>
        <w:pStyle w:val="Heading2"/>
      </w:pPr>
      <w:r>
        <w:rPr>
          <w:bCs/>
          <w:b/>
        </w:rPr>
        <w:t xml:space="preserve">7.6 Reconocimiento de limitaciones</w:t>
      </w:r>
    </w:p>
    <w:p>
      <w:pPr>
        <w:pStyle w:val="FirstParagraph"/>
      </w:pPr>
      <w:r>
        <w:t xml:space="preserve">El trabajo presenta limitaciones propias de un estudio de alcance acotado, que conviene enunciar sin atenuantes, organizadas en las cinco categorías que la introducción del capítulo anuncia.</w:t>
      </w:r>
    </w:p>
    <w:p>
      <w:pPr>
        <w:pStyle w:val="BodyText"/>
      </w:pPr>
      <w:r>
        <w:t xml:space="preserve">Las capacidades y resultados deben interpretarse por corte de evaluación. La batería histórica tuvo orquestador inactivo y transporte sin cifrado. El cierre reporta posteriormente US-09, mTLS local, n8n controlado, cambios de baseline y cuarentena; estas verificaciones no convierten retrospectivamente la batería inicial en una evaluación segura de extremo a extremo.</w:t>
      </w:r>
    </w:p>
    <w:p>
      <w:pPr>
        <w:pStyle w:val="BodyText"/>
      </w:pPr>
      <w:r>
        <w:t xml:space="preserve">La matriz de cierre registra veintitrés historias completas y ocho parciales, sin historias carentes de cobertura funcional. Se dispone de una suite consolidada aprobada para el candidato autocontenido 7a7ee5011d9234023687687ed95a7cdda9437711. Su alcance incluye las suites por componente, E2E dirigidos y OpenSpec, pero no equivale a certificación productiva ni a 31/31 historias. Las ejecuciones históricas y el candidato 7df4935 permanecen separados y no se suman al candidato vigente.</w:t>
      </w:r>
    </w:p>
    <w:p>
      <w:pPr>
        <w:pStyle w:val="BodyText"/>
      </w:pPr>
      <w:r>
        <w:t xml:space="preserve">Las siete y doce ausencias históricas carecen de una cadena causal contemporánea completa. Una nueva corrida clasificó cincuenta eventos reportables y diez descartes legítimos, sin ausencias nuevas inexplicadas, pero no reconstruye los casos anteriores. Run 4 drenó 3.000 eventos preencolados en 29,146 segundos; el cumplimiento queda restringido a ese ensayo de laboratorio, con tasa permitida elevada, rutas únicas y transporte local sin TLS. No constituye validación del mismo tiempo bajo configuración predeterminada o durante toda una desconexión. La serie posterior de cinco corridas (27,784 a 29,188 s) repite ese resultado bajo idénticas restricciones, sin extenderlo a la configuración predeterminada ni a una desconexión completa.</w:t>
      </w:r>
    </w:p>
    <w:p>
      <w:pPr>
        <w:pStyle w:val="BodyText"/>
      </w:pPr>
      <w:r>
        <w:t xml:space="preserve">Las corridas experimentales y los laboratorios E2E documentados se ejecutaron en una topología local de un solo anfitrión y utilizaron Valkey sin TLS. Las pruebas del cliente mTLS del backend contra un contenedor Valkey local verifican ese componente, no el transporte de un despliegue. La verificación local de mTLS entre agente y backend no acredita cifrado del transporte Valkey ni comportamiento multianfitrión. En consecuencia, los resultados no se extrapolan a una instalación distribuida ni a seguridad extremo a extremo. La concurrencia se ensayó sólo en el tramo de transporte de notificaciones, y los canales externos no fueron ensayados. El cifrado local no protege frente a adquisición conjunta del secreto ni compromiso privilegiado del anfitrión. La hipótesis conjunta no se presenta como corroborada por agregación de resultados heterogéneos, y la aptitud productiva no fue establecida.</w:t>
      </w:r>
    </w:p>
    <w:p>
      <w:r>
        <w:br w:type="page"/>
      </w:r>
    </w:p>
    <w:bookmarkEnd w:id="122"/>
    <w:bookmarkEnd w:id="123"/>
    <w:bookmarkStart w:id="134" w:name="Xb25a6a7c21e6be3366c75f6b0b87148b5497398"/>
    <w:p>
      <w:pPr>
        <w:pStyle w:val="Heading1"/>
      </w:pPr>
      <w:r>
        <w:rPr>
          <w:bCs/>
          <w:b/>
        </w:rPr>
        <w:t xml:space="preserve">CAPÍTULO 8. RECOMENDACIONES Y TRABAJO FUTURO</w:t>
      </w:r>
    </w:p>
    <w:p>
      <w:pPr>
        <w:pStyle w:val="FirstParagraph"/>
      </w:pPr>
      <w:r>
        <w:t xml:space="preserve">El presente capítulo distingue dos grupos de propuestas de naturaleza distinta. El apartado 8.1 reúne las correcciones de cierre: cuestiones que el propio Capítulo 5 dejó abiertas o que la revisión del documento identificó, y cuya resolución completa el estudio tal como fue formulado. Los apartados 8.2 a 8.10 reúnen extensiones futuras: líneas que exceden el alcance del presente trabajo, resultan prometedoras para iteraciones posteriores y no constituyen condición para la evaluación del trabajo presentado.</w:t>
      </w:r>
    </w:p>
    <w:bookmarkStart w:id="124" w:name="X49eda8a6a89e21ba36d0dc839ac985b3088f641"/>
    <w:p>
      <w:pPr>
        <w:pStyle w:val="Heading2"/>
      </w:pPr>
      <w:r>
        <w:rPr>
          <w:bCs/>
          <w:b/>
        </w:rPr>
        <w:t xml:space="preserve">8.1 Correcciones de cierre y validación pendiente</w:t>
      </w:r>
    </w:p>
    <w:p>
      <w:pPr>
        <w:pStyle w:val="FirstParagraph"/>
      </w:pPr>
      <w:r>
        <w:t xml:space="preserve">El cierre documental incorpora el análisis de latencia reportado, las evaluaciones controladas de n8n, las verificaciones dirigidas y una suite consolidada del candidato autocontenido 7a7ee50. Permanecen fuera de la evidencia la identificación completa de un código deontológico institucional, la entrega SMTP real, el transporte Valkey con TLS, la concurrencia extremo a extremo con n8n y canal final, la validación multianfitrión y la aptitud productiva. Los fragmentos del diff textual requieren tratamiento explícito como contenido potencialmente sensible.</w:t>
      </w:r>
    </w:p>
    <w:p>
      <w:pPr>
        <w:pStyle w:val="BodyText"/>
      </w:pPr>
      <w:r>
        <w:t>La ejecución consolidada resuelve la ausencia de una corrida conjunta para el candidato exacto, pero no completa la matriz del backlog ni los ensayos experimentales pendientes. Las futuras evaluaciones deben conservar resultados y coberturas separados por componente, distinguir tasas de emisión de concurrencia real y completar sólo los canales que permanezcan dentro del alcance. La verificación de mTLS agente-backend no sustituye la del transporte Valkey.</w:t>
      </w:r>
    </w:p>
    <w:p>
      <w:pPr>
        <w:pStyle w:val="BodyText"/>
      </w:pPr>
      <w:r>
        <w:t xml:space="preserve">Las diecinueve ausencias históricas deben conservar su reserva causal: no es posible crear retroactivamente las trazas que faltan. Para nuevas evaluaciones debe preservarse la instrumentación que permite clasificar cada operación. El drenaje cuenta con cinco corridas posteriores inferiores a treinta segundos bajo condiciones acotadas; la configuración predeterminada y la desconexión completa requieren evaluación separada. Las extensiones multianfitrión y de larga duración deben distinguirse de la evidencia ya obtenida.</w:t>
      </w:r>
    </w:p>
    <w:p>
      <w:pPr>
        <w:pStyle w:val="BodyText"/>
      </w:pPr>
      <w:r>
        <w:t xml:space="preserve">La validación pendiente, distinta de las correcciones anteriores, consiste en extender la evaluación desde el laboratorio hacia un entorno de mayor representatividad. Esto incluye un despliegue con agente nativo, cifrado de transporte habilitado y orquestador de notificaciones activo, así como múltiples anfitriones monitoreados simultáneos con latencia de red real. Incluye, además, ejecución sostenida durante períodos prolongados para evaluar la deriva del comportamiento, y verificación sobre volúmenes de archivos de un orden de magnitud superior al evaluado.</w:t>
      </w:r>
    </w:p>
    <w:bookmarkEnd w:id="124"/>
    <w:bookmarkStart w:id="125" w:name="alta-disponibilidad-del-backend"/>
    <w:p>
      <w:pPr>
        <w:pStyle w:val="Heading2"/>
      </w:pPr>
      <w:r>
        <w:rPr>
          <w:bCs/>
          <w:b/>
        </w:rPr>
        <w:t xml:space="preserve">8.2 Alta disponibilidad del backend</w:t>
      </w:r>
    </w:p>
    <w:p>
      <w:pPr>
        <w:pStyle w:val="FirstParagraph"/>
      </w:pPr>
      <w:r>
        <w:t xml:space="preserve">La decisión de instancia única fija el backend como servicio no replicado en el producto mínimo viable. Para despliegues productivos que exijan alta disponibilidad se propone evaluar arquitecturas multi-réplica con coordinación mediante consumer groups de Valkey, bloqueo optimista en base de datos como método primario de consistencia, y limitación de tasa distribuida. La mayor parte de las decisiones técnicas del presente trabajo resultan compatibles con multi-réplica; otras requieren ajustes puntuales documentables, en particular la limitación de tasa en proceso y el planificador de la bandeja de salida transaccional, que exigiría coordinación para evitar publicaciones duplicadas.</w:t>
      </w:r>
    </w:p>
    <w:bookmarkEnd w:id="125"/>
    <w:bookmarkStart w:id="126" w:name="X518132cccb71291d52a3b5e5bc2e29089d03b13"/>
    <w:p>
      <w:pPr>
        <w:pStyle w:val="Heading2"/>
      </w:pPr>
      <w:r>
        <w:rPr>
          <w:bCs/>
          <w:b/>
        </w:rPr>
        <w:t xml:space="preserve">8.3 Extensión de la raíz de confianza al núcleo</w:t>
      </w:r>
    </w:p>
    <w:p>
      <w:pPr>
        <w:pStyle w:val="FirstParagraph"/>
      </w:pPr>
      <w:r>
        <w:t xml:space="preserve">Se propone la integración con mecanismos de integridad a nivel de núcleo como Integrity Measurement Architecture (IMA), dm-verity o Secure Boot. Estos mecanismos proveen garantías criptográficas sobre los archivos del sistema con independencia del agente de espacio de usuario, y mitigan la amenaza residual de rootkits identificada en el modelo STRIDE.</w:t>
      </w:r>
    </w:p>
    <w:bookmarkEnd w:id="126"/>
    <w:bookmarkStart w:id="127" w:name="arquitectura-híbrida-con-tetragon"/>
    <w:p>
      <w:pPr>
        <w:pStyle w:val="Heading2"/>
      </w:pPr>
      <w:r>
        <w:rPr>
          <w:bCs/>
          <w:b/>
        </w:rPr>
        <w:t xml:space="preserve">8.4 Arquitectura híbrida con Tetragon</w:t>
      </w:r>
    </w:p>
    <w:p>
      <w:pPr>
        <w:pStyle w:val="FirstParagraph"/>
      </w:pPr>
      <w:r>
        <w:t xml:space="preserve">Se propone evaluar una arquitectura híbrida que delegue la detección de bajo nivel de comportamientos sospechosos en Tetragon sobre eBPF, y conserve las capas superiores de la presente propuesta (baseline cifrada, cadena superseded, flujo de aprobación humana, auditoría separada). Esta combinación capturaría las fortalezas complementarias de ambos enfoques.</w:t>
      </w:r>
    </w:p>
    <w:bookmarkEnd w:id="127"/>
    <w:bookmarkStart w:id="128" w:name="respuesta-automatizada-activa"/>
    <w:p>
      <w:pPr>
        <w:pStyle w:val="Heading2"/>
      </w:pPr>
      <w:r>
        <w:rPr>
          <w:bCs/>
          <w:b/>
        </w:rPr>
        <w:t xml:space="preserve">8.5 Respuesta automatizada activa</w:t>
      </w:r>
    </w:p>
    <w:p>
      <w:pPr>
        <w:pStyle w:val="FirstParagraph"/>
      </w:pPr>
      <w:r>
        <w:t xml:space="preserve">Se propone la extensión hacia capacidades de respuesta activa más allá de la restauración y la cuarentena: aislamiento del anfitrión afectado mediante reglas de firewall dinámicas, restauración desde copias de seguridad verificadas externamente, y apertura automática de tickets en sistemas de gestión de incidentes. Cada acción requiere análisis previo de sus implicancias operativas para evitar denegaciones de servicio auto-infligidas.</w:t>
      </w:r>
    </w:p>
    <w:bookmarkEnd w:id="128"/>
    <w:bookmarkStart w:id="129" w:name="gestión-inteligente-de-falsos-positivos"/>
    <w:p>
      <w:pPr>
        <w:pStyle w:val="Heading2"/>
      </w:pPr>
      <w:r>
        <w:rPr>
          <w:bCs/>
          <w:b/>
        </w:rPr>
        <w:t xml:space="preserve">8.6 Gestión inteligente de falsos positivos</w:t>
      </w:r>
    </w:p>
    <w:p>
      <w:pPr>
        <w:pStyle w:val="FirstParagraph"/>
      </w:pPr>
      <w:r>
        <w:t xml:space="preserve">Se propone un módulo de clasificación basado en aprendizaje automático para distinguir modificaciones legítimas de archivos rotativos o configuraciones actualizadas por procesos autorizados, de modificaciones sospechosas. Complementariamente, listas blancas dinámicas auditadas para excluir del monitoreo archivos cuyo cambio frecuente autorizado genere ruido operativo.</w:t>
      </w:r>
    </w:p>
    <w:bookmarkEnd w:id="129"/>
    <w:bookmarkStart w:id="130" w:name="integración-con-ecosistemas-siem"/>
    <w:p>
      <w:pPr>
        <w:pStyle w:val="Heading2"/>
      </w:pPr>
      <w:r>
        <w:rPr>
          <w:bCs/>
          <w:b/>
        </w:rPr>
        <w:t xml:space="preserve">8.7 Integración con ecosistemas SIEM</w:t>
      </w:r>
    </w:p>
    <w:p>
      <w:pPr>
        <w:pStyle w:val="FirstParagraph"/>
      </w:pPr>
      <w:r>
        <w:t xml:space="preserve">Se propone construir conectores para enviar eventos FIM hacia plataformas SIEM empleando formatos estándar como Common Event Format, aprovechando la infraestructura de webhooks existente a través de n8n. Esta extensión convertiría al sistema en fuente de telemetría dentro de arquitecturas de seguridad más amplias sin requerir modificaciones al backend.</w:t>
      </w:r>
    </w:p>
    <w:bookmarkEnd w:id="130"/>
    <w:bookmarkStart w:id="131" w:name="X037dca09597d0ad88a490808c43154d748adad7"/>
    <w:p>
      <w:pPr>
        <w:pStyle w:val="Heading2"/>
      </w:pPr>
      <w:r>
        <w:rPr>
          <w:bCs/>
          <w:b/>
        </w:rPr>
        <w:t xml:space="preserve">8.8 Empaquetado nativo y recomendaciones operativas</w:t>
      </w:r>
    </w:p>
    <w:p>
      <w:pPr>
        <w:pStyle w:val="FirstParagraph"/>
      </w:pPr>
      <w:r>
        <w:t xml:space="preserve">Para facilitar la adopción institucional se propone empaquetar el agente en formato Debian y RPM, lo que simplifica la gestión del ciclo de vida mediante los gestores de paquetes nativos de cada distribución Linux. Complementariamente, para organizaciones que adopten el sistema, se formulan recomendaciones operativas: implementar copia de seguridad automatizada de PostgreSQL y de los secretos críticos, y monitorear externamente el sistema FIM mediante Prometheus con Grafana consumiendo el endpoint de salud. Se recomienda, asimismo, ejecutar ejercicios regulares de simulación de incidentes y revisar periódicamente las reglas para adaptarlas a la evolución de las aplicaciones. Por último, se recomienda documentar explícitamente la política de comunicación hacia los usuarios sobre qué se monitorea y con qué propósito, conforme a las exigencias de transparencia del marco normativo argentino.</w:t>
      </w:r>
    </w:p>
    <w:bookmarkEnd w:id="131"/>
    <w:bookmarkStart w:id="132" w:name="Xcd966947a943dad0803886e092e9cac1778294f"/>
    <w:p>
      <w:pPr>
        <w:pStyle w:val="Heading2"/>
      </w:pPr>
      <w:r>
        <w:t xml:space="preserve">8.9 Custodia de la clave y reconciliación de la baseline</w:t>
      </w:r>
    </w:p>
    <w:p>
      <w:pPr>
        <w:pStyle w:val="FirstParagraph"/>
      </w:pPr>
      <w:r>
        <w:t xml:space="preserve">Se propone abordar de manera conjunta las dos limitaciones que el apartado 2.10 identifica, por cuanto admiten una solución articulada.</w:t>
      </w:r>
    </w:p>
    <w:p>
      <w:pPr>
        <w:pStyle w:val="BodyText"/>
      </w:pPr>
      <w:r>
        <w:t xml:space="preserve">La primera línea es el desplazamiento de la custodia del secreto maestro fuera del anfitrión monitoreado. La opción de entrega por la sesión de autenticación mutua al arrancar, sin persistencia en disco, es la que mejor se ajusta a la infraestructura ya existente, y su adopción exige resolver la dependencia de arranque que introduce sobre el servidor central. Una resolución posible consiste en conservar una copia sellada localmente con vigencia acotada, utilizable solo durante una ventana de indisponibilidad del plano de control, de modo que la autonomía del agente se preserve para cortes breves sin persistir la clave de manera indefinida. El sellado contra un módulo de plataforma confiable queda como alternativa para despliegues cuyo parque de hardware lo admita en su totalidad.</w:t>
      </w:r>
    </w:p>
    <w:p>
      <w:pPr>
        <w:pStyle w:val="BodyText"/>
      </w:pPr>
      <w:r>
        <w:t xml:space="preserve">La segunda línea es la reconciliación periódica entre la baseline local del agente y la representación central de metadatos y hashes. La tabla de entradas de baseline del backend registra los estados resultantes de las resoluciones humanas, pero no se contrasta contra lo que el agente reporta, de modo que una manipulación de la baseline local no produce divergencia detectable. Un mecanismo de reconciliación —por ejemplo, la inclusión en el latido periódico de una huella digital computada sobre el conjunto ordenado de pares ruta-hash, contrastada contra la que el backend deriva de su propio registro— convertiría esa representación central en un control de detección efectivo. Su implementación exige poblar los metadatos y hashes en el momento del enrolamiento y no solamente a partir de la primera resolución humana, extremo que el diseño actual no contempla. No se acredita contenido restaurable centralizado.</w:t>
      </w:r>
    </w:p>
    <w:p>
      <w:pPr>
        <w:pStyle w:val="BodyText"/>
      </w:pPr>
      <w:r>
        <w:t xml:space="preserve">El valor conjunto de ambas líneas es que la segunda no requiere la primera: aun cuando la clave permanezca en el anfitrión, la reconciliación puede transformar un compromiso silencioso en un compromiso detectable frente a adversarios que alteren la baseline local sin controlar la salida del agente. Corresponde, sin embargo, declarar el límite de ese mecanismo: si la huella que se contrasta la computa y reporta el propio agente, un adversario que controle el agente puede reportar la huella que el backend espera, y la reconciliación no lo detecta. Una reconciliación basada exclusivamente en datos reportados por el agente detecta inconsistencias accidentales y manipulaciones de adversarios no privilegiados. Frente al compromiso privilegiado del anfitrión, su valor se limita a elevar el costo del ataque. Esto es así, salvo que la verificación se practique desde fuera del anfitrión, o con un componente cuya integridad no dependa de él.</w:t>
      </w:r>
    </w:p>
    <w:bookmarkEnd w:id="132"/>
    <w:bookmarkStart w:id="133" w:name="atribución-estable-del-proceso-causante"/>
    <w:p>
      <w:pPr>
        <w:pStyle w:val="Heading2"/>
      </w:pPr>
      <w:r>
        <w:t xml:space="preserve">8.10 Atribución estable del proceso causante</w:t>
      </w:r>
    </w:p>
    <w:p>
      <w:pPr>
        <w:pStyle w:val="FirstParagraph"/>
      </w:pPr>
      <w:r>
        <w:t xml:space="preserve">Se propone adoptar el modo de reporte de descriptor de proceso que el núcleo ofrece desde su versión 5.15, de modo que la atribución del proceso causante de un evento resulte inmune a la reutilización de identificadores de proceso descripta en el apartado 2.6. La adopción elevaría la versión mínima del núcleo requerida de 5.9 a 5.15, extremo que debe ponderarse frente a la base instalada de las distribuciones de destino.</w:t>
      </w:r>
    </w:p>
    <w:p>
      <w:r>
        <w:br w:type="page"/>
      </w:r>
    </w:p>
    <w:bookmarkEnd w:id="133"/>
    <w:bookmarkEnd w:id="134"/>
    <w:bookmarkStart w:id="139" w:name="capítulo-9.-consideraciones-éticas"/>
    <w:p>
      <w:pPr>
        <w:pStyle w:val="Heading1"/>
      </w:pPr>
      <w:r>
        <w:rPr>
          <w:bCs/>
          <w:b/>
        </w:rPr>
        <w:t xml:space="preserve">CAPÍTULO 9. CONSIDERACIONES ÉTICAS</w:t>
      </w:r>
    </w:p>
    <w:p>
      <w:pPr>
        <w:pStyle w:val="FirstParagraph"/>
      </w:pPr>
      <w:r>
        <w:t xml:space="preserve">El desarrollo de sistemas de Monitoreo de Integridad de Archivos involucra la observación sistemática de actividad sobre archivos que pueden contener información sensible, lo cual plantea consideraciones éticas ineludibles que el presente capítulo explicita.</w:t>
      </w:r>
    </w:p>
    <w:bookmarkStart w:id="135" w:name="principios-orientadores-del-diseño"/>
    <w:p>
      <w:pPr>
        <w:pStyle w:val="Heading2"/>
      </w:pPr>
      <w:r>
        <w:rPr>
          <w:bCs/>
          <w:b/>
        </w:rPr>
        <w:t xml:space="preserve">9.1 Principios orientadores del diseño</w:t>
      </w:r>
    </w:p>
    <w:p>
      <w:pPr>
        <w:pStyle w:val="FirstParagraph"/>
      </w:pPr>
      <w:r>
        <w:t xml:space="preserve">El primer principio orientador es la delimitación estricta del alcance del monitoreo hacia archivos del sistema operativo, binarios, bibliotecas compartidas y archivos de configuración. El sistema excluye explícitamente de su ámbito los directorios que contienen datos personales, las carpetas home de usuarios, los archivos de correo electrónico y cualquier repositorio que pueda contener información protegida, salvo razones específicas documentadas y con consentimiento informado de los titulares. Este principio operacionaliza la minimización del alcance propia de la Ley 25.326.</w:t>
      </w:r>
    </w:p>
    <w:p>
      <w:pPr>
        <w:pStyle w:val="BodyText"/>
      </w:pPr>
      <w:r>
        <w:t xml:space="preserve">El segundo principio es la minimización de datos. El sistema procesa metadatos de archivos, eventos y operadores. La baseline y las instantáneas restaurables conservan contenido cifrado en el anfitrión monitoreado; la cuarentena agrega contenido y metadatos cifrados sujetos a su política de retención. La incorporación de US-09 requiere considerar también los fragmentos de contenido incluidos en los parches textuales: un diff no es exclusivamente un hash y puede revelar información del archivo. Su transmisión, persistencia, acceso y retención deben incluirse en el inventario de tratamiento, sin confundirlos con una copia central completa de los archivos. El modo binario agrega hex dumps de hasta 256 bytes por lado, que también son contenido del archivo y requieren el mismo tratamiento.</w:t>
      </w:r>
    </w:p>
    <w:p>
      <w:pPr>
        <w:pStyle w:val="BodyText"/>
      </w:pPr>
      <w: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pPr>
        <w:pStyle w:val="BodyText"/>
      </w:pPr>
      <w:r>
        <w:t xml:space="preserve">El campo diff_text puede contener rutas y fragmentos literales de archivos monitoreados; por ello se trata como contenido potencialmente sensible y no como mero metadato. La matriz siguiente describe el comportamiento implementado y separa las restricciones técnicas comprobables de las políticas organizacionales todavía pendientes. El payload canónico de notificación externa no incluye diff_text, hash_expected ni hash_detected; sí incluye ruta, identificadores, datos de proceso y marcas temporales. Por lo tanto, los canales externos no transmiten actualmente el parche, aunque siguen exponiendo metadatos potencialmente sensibles. Por legibilidad, la matriz se presenta en tres partes temáticas (Tablas 21a a 21c) con las mismas columnas y sin omitir filas.</w:t>
      </w:r>
    </w:p>
    <w:p>
      <w:pPr>
        <w:sectPr>
          <w:headerReference w:type="default" r:id="rId9"/>
          <w:footerReference w:type="default" r:id="rId10"/>
          <w:type w:val="nextPage"/>
          <w:pgSz w:w="11906" w:h="16838" w:orient="portrait"/>
          <w:pgMar w:top="1417" w:right="1134" w:bottom="1417" w:left="1701" w:header="708" w:footer="708" w:gutter="0"/>
          <w:cols w:space="708"/>
          <w:docGrid w:linePitch="360"/>
        </w:sectPr>
      </w:pPr>
    </w:p>
    <w:p>
      <w:pPr>
        <w:pStyle w:val="BodyText"/>
        <w:keepNext/>
      </w:pPr>
      <w:r>
        <w:rPr>
          <w:bCs/>
          <w:b/>
          <w:iCs/>
          <w:i/>
        </w:rPr>
        <w:t xml:space="preserve">Tabla 21a.</w:t>
      </w:r>
      <w:r>
        <w:rPr>
          <w:iCs/>
          <w:i/>
        </w:rPr>
        <w:t xml:space="preserve"> Tratamiento de datos por artefacto y canal: generación, transporte y rechazo de ingesta</w:t>
      </w:r>
    </w:p>
    <w:tbl>
      <w:tblPr>
        <w:tblStyle w:val="Table"/>
        <w:tblW w:type="dxa" w:w="14000"/>
        <w:jc w:val="start"/>
        <w:tblLook w:firstRow="1" w:lastRow="0" w:firstColumn="0" w:lastColumn="0" w:noHBand="0" w:noVBand="0" w:val="0020"/>
      </w:tblPr>
      <w:tblGrid>
        <w:gridCol w:w="1500"/>
        <w:gridCol w:w="2500"/>
        <w:gridCol w:w="2150"/>
        <w:gridCol w:w="2450"/>
        <w:gridCol w:w="2600"/>
        <w:gridCol w:w="2800"/>
      </w:tblGrid>
      <w:tr>
        <w:trPr>
          <w:cantSplit/>
          <w:tblHeader/>
        </w:trPr>
        <w:tc>
          <w:tcPr>
            <w:tcW w:w="1500" w:type="dxa"/>
          </w:tcPr>
          <w:p>
            <w:r>
              <w:rPr>
                <w:b/>
                <w:sz w:val="17"/>
                <w:szCs w:val="17"/>
              </w:rPr>
              <w:t>Componente o canal</w:t>
            </w:r>
          </w:p>
        </w:tc>
        <w:tc>
          <w:tcPr>
            <w:tcW w:w="2500" w:type="dxa"/>
          </w:tcPr>
          <w:p>
            <w:r>
              <w:rPr>
                <w:b/>
                <w:sz w:val="17"/>
                <w:szCs w:val="17"/>
              </w:rPr>
              <w:t>Campos relativos al cambio</w:t>
            </w:r>
          </w:p>
        </w:tc>
        <w:tc>
          <w:tcPr>
            <w:tcW w:w="2150" w:type="dxa"/>
          </w:tcPr>
          <w:p>
            <w:r>
              <w:rPr>
                <w:b/>
                <w:sz w:val="17"/>
                <w:szCs w:val="17"/>
              </w:rPr>
              <w:t>Acceso comprobable</w:t>
            </w:r>
          </w:p>
        </w:tc>
        <w:tc>
          <w:tcPr>
            <w:tcW w:w="2450" w:type="dxa"/>
          </w:tcPr>
          <w:p>
            <w:r>
              <w:rPr>
                <w:b/>
                <w:sz w:val="17"/>
                <w:szCs w:val="17"/>
              </w:rPr>
              <w:t>Persistencia y transporte</w:t>
            </w:r>
          </w:p>
        </w:tc>
        <w:tc>
          <w:tcPr>
            <w:tcW w:w="2600" w:type="dxa"/>
          </w:tcPr>
          <w:p>
            <w:r>
              <w:rPr>
                <w:b/>
                <w:sz w:val="17"/>
                <w:szCs w:val="17"/>
              </w:rPr>
              <w:t>Minimización y retención implementadas</w:t>
            </w:r>
          </w:p>
        </w:tc>
        <w:tc>
          <w:tcPr>
            <w:tcW w:w="2800" w:type="dxa"/>
          </w:tcPr>
          <w:p>
            <w:r>
              <w:rPr>
                <w:b/>
                <w:sz w:val="17"/>
                <w:szCs w:val="17"/>
              </w:rPr>
              <w:t>Límite o pendiente</w:t>
            </w:r>
          </w:p>
        </w:tc>
      </w:tr>
      <w:tr>
        <w:trPr>
          <w:cantSplit/>
        </w:trPr>
        <w:tc>
          <w:tcPr>
            <w:tcW w:w="1500" w:type="dxa"/>
          </w:tcPr>
          <w:p>
            <w:r>
              <w:rPr>
                <w:sz w:val="17"/>
                <w:szCs w:val="17"/>
              </w:rPr>
              <w:t>Generación en el agente</w:t>
            </w:r>
          </w:p>
        </w:tc>
        <w:tc>
          <w:tcPr>
            <w:tcW w:w="2500" w:type="dxa"/>
          </w:tcPr>
          <w:p>
            <w:r>
              <w:rPr>
                <w:sz w:val="17"/>
                <w:szCs w:val="17"/>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p>
        </w:tc>
        <w:tc>
          <w:tcPr>
            <w:tcW w:w="2150" w:type="dxa"/>
          </w:tcPr>
          <w:p>
            <w:r>
              <w:rPr>
                <w:sz w:val="17"/>
                <w:szCs w:val="17"/>
              </w:rPr>
              <w:t xml:space="preserve">Proceso local del agente; archivos de cola con modo 0600. En el candidato 7a7ee50 los directorios de cola y de descarte se fuerzan a 0700 al iniciar, accesibles al usuario propietario y a root.</w:t>
            </w:r>
          </w:p>
        </w:tc>
        <w:tc>
          <w:tcPr>
            <w:tcW w:w="2450" w:type="dxa"/>
          </w:tcPr>
          <w:p>
            <w:r>
              <w:rPr>
                <w:sz w:val="17"/>
                <w:szCs w:val="17"/>
              </w:rPr>
              <w:t>El payload completo se guarda como JSON en la cola local antes de transmitirse. Se firma con HMAC-SHA256 al publicar en Valkey; la firma aporta integridad y autenticidad, no confidencialidad.</w:t>
            </w:r>
          </w:p>
        </w:tc>
        <w:tc>
          <w:tcPr>
            <w:tcW w:w="2600" w:type="dxa"/>
          </w:tcPr>
          <w:p>
            <w:r>
              <w:rPr>
                <w:sz w:val="17"/>
                <w:szCs w:val="17"/>
              </w:rPr>
              <w:t>Sólo se genera para modificaciones de archivos regulares cuando baseline y estado actual son texto UTF-8 sin controles rechazados. Baseline,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p>
        </w:tc>
        <w:tc>
          <w:tcPr>
            <w:tcW w:w="2800" w:type="dxa"/>
          </w:tcPr>
          <w:p>
            <w:r>
              <w:rPr>
                <w:sz w:val="17"/>
                <w:szCs w:val="17"/>
              </w:rPr>
              <w:t xml:space="preserve">El contenido de la cola y del descarte no está cifrado. No existe retención temporal demostrada para descartes: PENDIENTE definir cifrado local y plazo de eliminación.</w:t>
            </w:r>
          </w:p>
        </w:tc>
      </w:tr>
      <w:tr>
        <w:trPr>
          <w:cantSplit/>
        </w:trPr>
        <w:tc>
          <w:tcPr>
            <w:tcW w:w="1500" w:type="dxa"/>
          </w:tcPr>
          <w:p>
            <w:r>
              <w:rPr>
                <w:sz w:val="17"/>
                <w:szCs w:val="17"/>
              </w:rPr>
              <w:t>Stream events de Valkey</w:t>
            </w:r>
          </w:p>
        </w:tc>
        <w:tc>
          <w:tcPr>
            <w:tcW w:w="2500" w:type="dxa"/>
          </w:tcPr>
          <w:p>
            <w:r>
              <w:rPr>
                <w:sz w:val="17"/>
                <w:szCs w:val="17"/>
              </w:rPr>
              <w:t xml:space="preserve">Payload completo del evento, incluidos diff_text y, en binarios, los hex dumps, más sent_at y signature.</w:t>
            </w:r>
          </w:p>
        </w:tc>
        <w:tc>
          <w:tcPr>
            <w:tcW w:w="2150" w:type="dxa"/>
          </w:tcPr>
          <w:p>
            <w:r>
              <w:rPr>
                <w:sz w:val="17"/>
                <w:szCs w:val="17"/>
              </w:rPr>
              <w:t>Agente productor y backend consumidor según las credenciales de despliegue.</w:t>
            </w:r>
          </w:p>
        </w:tc>
        <w:tc>
          <w:tcPr>
            <w:tcW w:w="2450" w:type="dxa"/>
          </w:tcPr>
          <w:p>
            <w:r>
              <w:rPr>
                <w:sz w:val="17"/>
                <w:szCs w:val="17"/>
              </w:rPr>
              <w:t xml:space="preserve">JSON en Valkey Streams. Las corridas experimentales y los E2E documentados utilizaron Valkey sin TLS. El candidato 7a7ee50 incorpora un cliente backend con mTLS, probado sólo contra un contenedor local.</w:t>
            </w:r>
          </w:p>
        </w:tc>
        <w:tc>
          <w:tcPr>
            <w:tcW w:w="2600" w:type="dxa"/>
          </w:tcPr>
          <w:p>
            <w:r>
              <w:rPr>
                <w:sz w:val="17"/>
                <w:szCs w:val="17"/>
              </w:rPr>
              <w:t>HMAC sobre el mensaje; validación de esquema, firma e instante antes de aceptar.</w:t>
            </w:r>
          </w:p>
        </w:tc>
        <w:tc>
          <w:tcPr>
            <w:tcW w:w="2800" w:type="dxa"/>
          </w:tcPr>
          <w:p>
            <w:r>
              <w:rPr>
                <w:sz w:val="17"/>
                <w:szCs w:val="17"/>
              </w:rPr>
              <w:t xml:space="preserve">TLS de Valkey en un despliegue, control organizacional de credenciales, cifrado en reposo y política verificable de trimming/retención del stream: PENDIENTES. HMAC no debe describirse como cifrado.</w:t>
            </w:r>
          </w:p>
        </w:tc>
      </w:tr>
      <w:tr>
        <w:trPr>
          <w:cantSplit/>
        </w:trPr>
        <w:tc>
          <w:tcPr>
            <w:tcW w:w="1500" w:type="dxa"/>
          </w:tcPr>
          <w:p>
            <w:r>
              <w:rPr>
                <w:sz w:val="17"/>
                <w:szCs w:val="17"/>
              </w:rPr>
              <w:t>Rechazos de ingesta</w:t>
            </w:r>
          </w:p>
        </w:tc>
        <w:tc>
          <w:tcPr>
            <w:tcW w:w="2500" w:type="dxa"/>
          </w:tcPr>
          <w:p>
            <w:r>
              <w:rPr>
                <w:sz w:val="17"/>
                <w:szCs w:val="17"/>
              </w:rPr>
              <w:t xml:space="preserve">payload_dump: hasta los primeros 4 KiB del JSON rechazado. En el candidato 7a7ee50, diff_text, hex_dump_before y hex_dump_after se reemplazan por un marcador antes de truncar.</w:t>
            </w:r>
          </w:p>
        </w:tc>
        <w:tc>
          <w:tcPr>
            <w:tcW w:w="2150" w:type="dxa"/>
          </w:tcPr>
          <w:p>
            <w:r>
              <w:rPr>
                <w:sz w:val="17"/>
                <w:szCs w:val="17"/>
              </w:rPr>
              <w:t>Persistencia en PostgreSQL; no se identificó un endpoint REST que exponga esta tabla. Acceso administrativo directo a la base: dependiente del despliegue.</w:t>
            </w:r>
          </w:p>
        </w:tc>
        <w:tc>
          <w:tcPr>
            <w:tcW w:w="2450" w:type="dxa"/>
          </w:tcPr>
          <w:p>
            <w:r>
              <w:rPr>
                <w:sz w:val="17"/>
                <w:szCs w:val="17"/>
              </w:rPr>
              <w:t>Tabla rejected_events_audit.</w:t>
            </w:r>
          </w:p>
        </w:tc>
        <w:tc>
          <w:tcPr>
            <w:tcW w:w="2600" w:type="dxa"/>
          </w:tcPr>
          <w:p>
            <w:r>
              <w:rPr>
                <w:sz w:val="17"/>
                <w:szCs w:val="17"/>
              </w:rPr>
              <w:t xml:space="preserve">Límite de 4 KiB por registro y redacción del contenido del cambio.</w:t>
            </w:r>
          </w:p>
        </w:tc>
        <w:tc>
          <w:tcPr>
            <w:tcW w:w="2800" w:type="dxa"/>
          </w:tcPr>
          <w:p>
            <w:r>
              <w:rPr>
                <w:sz w:val="17"/>
                <w:szCs w:val="17"/>
              </w:rPr>
              <w:t xml:space="preserve">No se encontró depuración automática: PENDIENTE definir acceso y retención de rejected_events_audit.</w:t>
            </w:r>
          </w:p>
        </w:tc>
      </w:tr>
    </w:tbl>
    <w:p>
      <w:pPr>
        <w:pStyle w:val="BodyText"/>
        <w:keepNext/>
      </w:pPr>
      <w:r>
        <w:rPr>
          <w:bCs/>
          <w:b/>
          <w:iCs/>
          <w:i/>
        </w:rPr>
        <w:t xml:space="preserve">Tabla 21b.</w:t>
      </w:r>
      <w:r>
        <w:rPr>
          <w:iCs/>
          <w:i/>
        </w:rPr>
        <w:t xml:space="preserve"> Tratamiento de datos por artefacto y canal: persistencia, API de detalle y SSE</w:t>
      </w:r>
    </w:p>
    <w:tbl>
      <w:tblPr>
        <w:tblStyle w:val="Table"/>
        <w:tblW w:type="dxa" w:w="14000"/>
        <w:jc w:val="start"/>
        <w:tblLook w:firstRow="1" w:lastRow="0" w:firstColumn="0" w:lastColumn="0" w:noHBand="0" w:noVBand="0" w:val="0020"/>
      </w:tblPr>
      <w:tblGrid>
        <w:gridCol w:w="1500"/>
        <w:gridCol w:w="2500"/>
        <w:gridCol w:w="2150"/>
        <w:gridCol w:w="2450"/>
        <w:gridCol w:w="2600"/>
        <w:gridCol w:w="2800"/>
      </w:tblGrid>
      <w:tr>
        <w:trPr>
          <w:cantSplit/>
          <w:tblHeader/>
        </w:trPr>
        <w:tc>
          <w:tcPr>
            <w:tcW w:w="1500" w:type="dxa"/>
          </w:tcPr>
          <w:p>
            <w:r>
              <w:rPr>
                <w:b/>
                <w:sz w:val="17"/>
                <w:szCs w:val="17"/>
              </w:rPr>
              <w:t>Componente o canal</w:t>
            </w:r>
          </w:p>
        </w:tc>
        <w:tc>
          <w:tcPr>
            <w:tcW w:w="2500" w:type="dxa"/>
          </w:tcPr>
          <w:p>
            <w:r>
              <w:rPr>
                <w:b/>
                <w:sz w:val="17"/>
                <w:szCs w:val="17"/>
              </w:rPr>
              <w:t>Campos relativos al cambio</w:t>
            </w:r>
          </w:p>
        </w:tc>
        <w:tc>
          <w:tcPr>
            <w:tcW w:w="2150" w:type="dxa"/>
          </w:tcPr>
          <w:p>
            <w:r>
              <w:rPr>
                <w:b/>
                <w:sz w:val="17"/>
                <w:szCs w:val="17"/>
              </w:rPr>
              <w:t>Acceso comprobable</w:t>
            </w:r>
          </w:p>
        </w:tc>
        <w:tc>
          <w:tcPr>
            <w:tcW w:w="2450" w:type="dxa"/>
          </w:tcPr>
          <w:p>
            <w:r>
              <w:rPr>
                <w:b/>
                <w:sz w:val="17"/>
                <w:szCs w:val="17"/>
              </w:rPr>
              <w:t>Persistencia y transporte</w:t>
            </w:r>
          </w:p>
        </w:tc>
        <w:tc>
          <w:tcPr>
            <w:tcW w:w="2600" w:type="dxa"/>
          </w:tcPr>
          <w:p>
            <w:r>
              <w:rPr>
                <w:b/>
                <w:sz w:val="17"/>
                <w:szCs w:val="17"/>
              </w:rPr>
              <w:t>Minimización y retención implementadas</w:t>
            </w:r>
          </w:p>
        </w:tc>
        <w:tc>
          <w:tcPr>
            <w:tcW w:w="2800" w:type="dxa"/>
          </w:tcPr>
          <w:p>
            <w:r>
              <w:rPr>
                <w:b/>
                <w:sz w:val="17"/>
                <w:szCs w:val="17"/>
              </w:rPr>
              <w:t>Límite o pendiente</w:t>
            </w:r>
          </w:p>
        </w:tc>
      </w:tr>
      <w:tr>
        <w:trPr>
          <w:cantSplit/>
        </w:trPr>
        <w:tc>
          <w:tcPr>
            <w:tcW w:w="1500" w:type="dxa"/>
          </w:tcPr>
          <w:p>
            <w:r>
              <w:rPr>
                <w:sz w:val="17"/>
                <w:szCs w:val="17"/>
              </w:rPr>
              <w:t>Tabla events del backend</w:t>
            </w:r>
          </w:p>
        </w:tc>
        <w:tc>
          <w:tcPr>
            <w:tcW w:w="2500" w:type="dxa"/>
          </w:tcPr>
          <w:p>
            <w:r>
              <w:rPr>
                <w:sz w:val="17"/>
                <w:szCs w:val="17"/>
              </w:rPr>
              <w:t xml:space="preserve">path, hashes, diff_text, indicador binario, hex dumps de hasta 256 bytes por lado y metadatos del proceso/evento. No conserva las dos versiones completas del archivo.</w:t>
            </w:r>
          </w:p>
        </w:tc>
        <w:tc>
          <w:tcPr>
            <w:tcW w:w="2150" w:type="dxa"/>
          </w:tcPr>
          <w:p>
            <w:r>
              <w:rPr>
                <w:sz w:val="17"/>
                <w:szCs w:val="17"/>
              </w:rPr>
              <w:t xml:space="preserve">GET /events/{id} exige rol administrador en el candidato 7a7ee50. El listado y la cadena de eventos no incluyen diff_text ni hex dumps; el detalle sí.</w:t>
            </w:r>
          </w:p>
        </w:tc>
        <w:tc>
          <w:tcPr>
            <w:tcW w:w="2450" w:type="dxa"/>
          </w:tcPr>
          <w:p>
            <w:r>
              <w:rPr>
                <w:sz w:val="17"/>
                <w:szCs w:val="17"/>
              </w:rPr>
              <w:t xml:space="preserve">PostgreSQL. El backend vuelve a validar texto seguro y estructura de parche unificado; si el parche supera 1 MiB lo trunca con una marca explícita. Los hex dumps se validan y acotan a 4.096 caracteres.</w:t>
            </w:r>
          </w:p>
        </w:tc>
        <w:tc>
          <w:tcPr>
            <w:tcW w:w="2600" w:type="dxa"/>
          </w:tcPr>
          <w:p>
            <w:r>
              <w:rPr>
                <w:sz w:val="17"/>
                <w:szCs w:val="17"/>
              </w:rPr>
              <w:t>Los eventos terminales de más de 30 días se eliminan cada hora sólo si no están referenciados por audit_log.</w:t>
            </w:r>
          </w:p>
        </w:tc>
        <w:tc>
          <w:tcPr>
            <w:tcW w:w="2800" w:type="dxa"/>
          </w:tcPr>
          <w:p>
            <w:r>
              <w:rPr>
                <w:sz w:val="17"/>
                <w:szCs w:val="17"/>
              </w:rPr>
              <w:t xml:space="preserve">Los eventos pendientes y los referenciados por auditoría quedan fuera de esa depuración. audit_log no posee depuración automática: PENDIENTE definir plazo organizacional y evaluar un rol más granular que administrador.</w:t>
            </w:r>
          </w:p>
        </w:tc>
      </w:tr>
      <w:tr>
        <w:trPr>
          <w:cantSplit/>
        </w:trPr>
        <w:tc>
          <w:tcPr>
            <w:tcW w:w="1500" w:type="dxa"/>
          </w:tcPr>
          <w:p>
            <w:r>
              <w:rPr>
                <w:sz w:val="17"/>
                <w:szCs w:val="17"/>
              </w:rPr>
              <w:t>API de detalle y visor web</w:t>
            </w:r>
          </w:p>
        </w:tc>
        <w:tc>
          <w:tcPr>
            <w:tcW w:w="2500" w:type="dxa"/>
          </w:tcPr>
          <w:p>
            <w:r>
              <w:rPr>
                <w:sz w:val="17"/>
                <w:szCs w:val="17"/>
              </w:rPr>
              <w:t xml:space="preserve">El detalle entrega hash_expected, diff_text y, en binarios, la comparación de hashes y los hex dumps. El visor usa react-diff-viewer-continued por fragmento.</w:t>
            </w:r>
          </w:p>
        </w:tc>
        <w:tc>
          <w:tcPr>
            <w:tcW w:w="2150" w:type="dxa"/>
          </w:tcPr>
          <w:p>
            <w:r>
              <w:rPr>
                <w:sz w:val="17"/>
                <w:szCs w:val="17"/>
              </w:rPr>
              <w:t xml:space="preserve">Sólo usuarios con rol administrador pueden consultar el detalle (candidato 7a7ee50).</w:t>
            </w:r>
          </w:p>
        </w:tc>
        <w:tc>
          <w:tcPr>
            <w:tcW w:w="2450" w:type="dxa"/>
          </w:tcPr>
          <w:p>
            <w:r>
              <w:rPr>
                <w:sz w:val="17"/>
                <w:szCs w:val="17"/>
              </w:rPr>
              <w:t>Respuesta HTTP y memoria de la aplicación web; el access token se mantiene en memoria según el diseño documentado.</w:t>
            </w:r>
          </w:p>
        </w:tc>
        <w:tc>
          <w:tcPr>
            <w:tcW w:w="2600" w:type="dxa"/>
          </w:tcPr>
          <w:p>
            <w:r>
              <w:rPr>
                <w:sz w:val="17"/>
                <w:szCs w:val="17"/>
              </w:rPr>
              <w:t>El diff no forma parte del endpoint de listado; ausencia de diff se muestra como tal y la truncación se hace visible. React escapa el texto renderizado.</w:t>
            </w:r>
          </w:p>
        </w:tc>
        <w:tc>
          <w:tcPr>
            <w:tcW w:w="2800" w:type="dxa"/>
          </w:tcPr>
          <w:p>
            <w:r>
              <w:rPr>
                <w:sz w:val="17"/>
                <w:szCs w:val="17"/>
              </w:rPr>
              <w:t xml:space="preserve">TLS del despliegue, cachés intermedias, política de descarga/copia y control de acceso más granular que el rol administrador: PENDIENTES. No se acredita inmunidad frente a XSS ni secreto frente a un administrador legítimo.</w:t>
            </w:r>
          </w:p>
        </w:tc>
      </w:tr>
      <w:tr>
        <w:trPr>
          <w:cantSplit/>
        </w:trPr>
        <w:tc>
          <w:tcPr>
            <w:tcW w:w="1500" w:type="dxa"/>
          </w:tcPr>
          <w:p>
            <w:r>
              <w:rPr>
                <w:sz w:val="17"/>
                <w:szCs w:val="17"/>
              </w:rPr>
              <w:t>SSE de alertas</w:t>
            </w:r>
          </w:p>
        </w:tc>
        <w:tc>
          <w:tcPr>
            <w:tcW w:w="2500" w:type="dxa"/>
          </w:tcPr>
          <w:p>
            <w:r>
              <w:rPr>
                <w:sz w:val="17"/>
                <w:szCs w:val="17"/>
              </w:rPr>
              <w:t>id, event_id interno, severidad, estado, canal, marcas de entrega/error, contador y fecha. No incluye path ni diff_text.</w:t>
            </w:r>
          </w:p>
        </w:tc>
        <w:tc>
          <w:tcPr>
            <w:tcW w:w="2150" w:type="dxa"/>
          </w:tcPr>
          <w:p>
            <w:r>
              <w:rPr>
                <w:sz w:val="17"/>
                <w:szCs w:val="17"/>
              </w:rPr>
              <w:t>Endpoint restringido a rol administrador mediante JWT.</w:t>
            </w:r>
          </w:p>
        </w:tc>
        <w:tc>
          <w:tcPr>
            <w:tcW w:w="2450" w:type="dxa"/>
          </w:tcPr>
          <w:p>
            <w:r>
              <w:rPr>
                <w:sz w:val="17"/>
                <w:szCs w:val="17"/>
              </w:rPr>
              <w:t>Cola efímera en memoria por suscriptor, máximo 100; ante saturación descarta el elemento nuevo.</w:t>
            </w:r>
          </w:p>
        </w:tc>
        <w:tc>
          <w:tcPr>
            <w:tcW w:w="2600" w:type="dxa"/>
          </w:tcPr>
          <w:p>
            <w:r>
              <w:rPr>
                <w:sz w:val="17"/>
                <w:szCs w:val="17"/>
              </w:rPr>
              <w:t>No persiste el parche ni lo replica por SSE.</w:t>
            </w:r>
          </w:p>
        </w:tc>
        <w:tc>
          <w:tcPr>
            <w:tcW w:w="2800" w:type="dxa"/>
          </w:tcPr>
          <w:p>
            <w:r>
              <w:rPr>
                <w:sz w:val="17"/>
                <w:szCs w:val="17"/>
              </w:rPr>
              <w:t>El token viaja como parámetro de consulta en este endpoint; su posible exposición en logs/proxies requiere tratamiento operativo: PENDIENTE.</w:t>
            </w:r>
          </w:p>
        </w:tc>
      </w:tr>
    </w:tbl>
    <w:p>
      <w:pPr>
        <w:pStyle w:val="BodyText"/>
        <w:keepNext/>
      </w:pPr>
      <w:r>
        <w:rPr>
          <w:bCs/>
          <w:b/>
          <w:iCs/>
          <w:i/>
        </w:rPr>
        <w:t xml:space="preserve">Tabla 21c.</w:t>
      </w:r>
      <w:r>
        <w:rPr>
          <w:iCs/>
          <w:i/>
        </w:rPr>
        <w:t xml:space="preserve"> Tratamiento de datos por artefacto y canal: notificaciones externas, receptor controlado y logs</w:t>
      </w:r>
    </w:p>
    <w:tbl>
      <w:tblPr>
        <w:tblStyle w:val="Table"/>
        <w:tblW w:type="dxa" w:w="14000"/>
        <w:jc w:val="start"/>
        <w:tblLook w:firstRow="1" w:lastRow="0" w:firstColumn="0" w:lastColumn="0" w:noHBand="0" w:noVBand="0" w:val="0020"/>
      </w:tblPr>
      <w:tblGrid>
        <w:gridCol w:w="1500"/>
        <w:gridCol w:w="2500"/>
        <w:gridCol w:w="2150"/>
        <w:gridCol w:w="2450"/>
        <w:gridCol w:w="2600"/>
        <w:gridCol w:w="2800"/>
      </w:tblGrid>
      <w:tr>
        <w:trPr>
          <w:cantSplit/>
          <w:tblHeader/>
        </w:trPr>
        <w:tc>
          <w:tcPr>
            <w:tcW w:w="1500" w:type="dxa"/>
          </w:tcPr>
          <w:p>
            <w:r>
              <w:rPr>
                <w:b/>
                <w:sz w:val="17"/>
                <w:szCs w:val="17"/>
              </w:rPr>
              <w:t>Componente o canal</w:t>
            </w:r>
          </w:p>
        </w:tc>
        <w:tc>
          <w:tcPr>
            <w:tcW w:w="2500" w:type="dxa"/>
          </w:tcPr>
          <w:p>
            <w:r>
              <w:rPr>
                <w:b/>
                <w:sz w:val="17"/>
                <w:szCs w:val="17"/>
              </w:rPr>
              <w:t>Campos relativos al cambio</w:t>
            </w:r>
          </w:p>
        </w:tc>
        <w:tc>
          <w:tcPr>
            <w:tcW w:w="2150" w:type="dxa"/>
          </w:tcPr>
          <w:p>
            <w:r>
              <w:rPr>
                <w:b/>
                <w:sz w:val="17"/>
                <w:szCs w:val="17"/>
              </w:rPr>
              <w:t>Acceso comprobable</w:t>
            </w:r>
          </w:p>
        </w:tc>
        <w:tc>
          <w:tcPr>
            <w:tcW w:w="2450" w:type="dxa"/>
          </w:tcPr>
          <w:p>
            <w:r>
              <w:rPr>
                <w:b/>
                <w:sz w:val="17"/>
                <w:szCs w:val="17"/>
              </w:rPr>
              <w:t>Persistencia y transporte</w:t>
            </w:r>
          </w:p>
        </w:tc>
        <w:tc>
          <w:tcPr>
            <w:tcW w:w="2600" w:type="dxa"/>
          </w:tcPr>
          <w:p>
            <w:r>
              <w:rPr>
                <w:b/>
                <w:sz w:val="17"/>
                <w:szCs w:val="17"/>
              </w:rPr>
              <w:t>Minimización y retención implementadas</w:t>
            </w:r>
          </w:p>
        </w:tc>
        <w:tc>
          <w:tcPr>
            <w:tcW w:w="2800" w:type="dxa"/>
          </w:tcPr>
          <w:p>
            <w:r>
              <w:rPr>
                <w:b/>
                <w:sz w:val="17"/>
                <w:szCs w:val="17"/>
              </w:rPr>
              <w:t>Límite o pendiente</w:t>
            </w:r>
          </w:p>
        </w:tc>
      </w:tr>
      <w:tr>
        <w:trPr>
          <w:cantSplit/>
        </w:trPr>
        <w:tc>
          <w:tcPr>
            <w:tcW w:w="1500" w:type="dxa"/>
          </w:tcPr>
          <w:p>
            <w:r>
              <w:rPr>
                <w:sz w:val="17"/>
                <w:szCs w:val="17"/>
              </w:rPr>
              <w:t>n8n, SMTP y webhook alternativo</w:t>
            </w:r>
          </w:p>
        </w:tc>
        <w:tc>
          <w:tcPr>
            <w:tcW w:w="2500" w:type="dxa"/>
          </w:tcPr>
          <w:p>
            <w:r>
              <w:rPr>
                <w:sz w:val="17"/>
                <w:szCs w:val="17"/>
              </w:rPr>
              <w:t>Payload canónico: schema_version, notification_id, tipo, IDs de alerta/evento/agente, path, severidad, estado, acción y fallo, indicador de symlink, PID/UID/ejecutable y tres marcas temporales. n8n agrega backend_dispatched_at. No incluye diff_text ni hashes.</w:t>
            </w:r>
          </w:p>
        </w:tc>
        <w:tc>
          <w:tcPr>
            <w:tcW w:w="2150" w:type="dxa"/>
          </w:tcPr>
          <w:p>
            <w:r>
              <w:rPr>
                <w:sz w:val="17"/>
                <w:szCs w:val="17"/>
              </w:rPr>
              <w:t>Destinatarios y operadores configurados para cada canal; no existe en el código una política organizacional de destinatarios.</w:t>
            </w:r>
          </w:p>
        </w:tc>
        <w:tc>
          <w:tcPr>
            <w:tcW w:w="2450" w:type="dxa"/>
          </w:tcPr>
          <w:p>
            <w:r>
              <w:rPr>
                <w:sz w:val="17"/>
                <w:szCs w:val="17"/>
              </w:rPr>
              <w:t>n8n y webhook reciben JSON; SMTP envía el mismo payload completo como cuerpo de texto. El backend conserva en alerts estado, canal, intentos, error y marcas temporales, no una copia adicional del payload.</w:t>
            </w:r>
          </w:p>
        </w:tc>
        <w:tc>
          <w:tcPr>
            <w:tcW w:w="2600" w:type="dxa"/>
          </w:tcPr>
          <w:p>
            <w:r>
              <w:rPr>
                <w:sz w:val="17"/>
                <w:szCs w:val="17"/>
              </w:rPr>
              <w:t>La última alternativa, el log, reduce los campos a severidad, event_id, path y alert_id. Los workflows exportados para correo, Slack y ticketing usan subconjuntos que incluyen al menos ruta e identificadores.</w:t>
            </w:r>
          </w:p>
        </w:tc>
        <w:tc>
          <w:tcPr>
            <w:tcW w:w="2800" w:type="dxa"/>
          </w:tcPr>
          <w:p>
            <w:r>
              <w:rPr>
                <w:sz w:val="17"/>
                <w:szCs w:val="17"/>
              </w:rPr>
              <w:t>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p>
        </w:tc>
      </w:tr>
      <w:tr>
        <w:trPr>
          <w:cantSplit/>
        </w:trPr>
        <w:tc>
          <w:tcPr>
            <w:tcW w:w="1500" w:type="dxa"/>
          </w:tcPr>
          <w:p>
            <w:r>
              <w:rPr>
                <w:sz w:val="17"/>
                <w:szCs w:val="17"/>
              </w:rPr>
              <w:t>Receptor controlado de la evaluación n8n</w:t>
            </w:r>
          </w:p>
        </w:tc>
        <w:tc>
          <w:tcPr>
            <w:tcW w:w="2500" w:type="dxa"/>
          </w:tcPr>
          <w:p>
            <w:r>
              <w:rPr>
                <w:sz w:val="17"/>
                <w:szCs w:val="17"/>
              </w:rPr>
              <w:t>Conserva el JSON recibido, que no contiene diff_text pero sí los metadatos del payload canónico.</w:t>
            </w:r>
          </w:p>
        </w:tc>
        <w:tc>
          <w:tcPr>
            <w:tcW w:w="2150" w:type="dxa"/>
          </w:tcPr>
          <w:p>
            <w:r>
              <w:rPr>
                <w:sz w:val="17"/>
                <w:szCs w:val="17"/>
              </w:rPr>
              <w:t>Laboratorio local controlado.</w:t>
            </w:r>
          </w:p>
        </w:tc>
        <w:tc>
          <w:tcPr>
            <w:tcW w:w="2450" w:type="dxa"/>
          </w:tcPr>
          <w:p>
            <w:r>
              <w:rPr>
                <w:sz w:val="17"/>
                <w:szCs w:val="17"/>
              </w:rPr>
              <w:t>SQLite con notification_id único y payload_json.</w:t>
            </w:r>
          </w:p>
        </w:tc>
        <w:tc>
          <w:tcPr>
            <w:tcW w:w="2600" w:type="dxa"/>
          </w:tcPr>
          <w:p>
            <w:r>
              <w:rPr>
                <w:sz w:val="17"/>
                <w:szCs w:val="17"/>
              </w:rPr>
              <w:t>Deduplicación por notification_id.</w:t>
            </w:r>
          </w:p>
        </w:tc>
        <w:tc>
          <w:tcPr>
            <w:tcW w:w="2800" w:type="dxa"/>
          </w:tcPr>
          <w:p>
            <w:r>
              <w:rPr>
                <w:sz w:val="17"/>
                <w:szCs w:val="17"/>
              </w:rPr>
              <w:t>No se identificó una política temporal de borrado en el receptor de prueba. No extrapolar a proveedores comerciales.</w:t>
            </w:r>
          </w:p>
        </w:tc>
      </w:tr>
      <w:tr>
        <w:trPr>
          <w:cantSplit/>
        </w:trPr>
        <w:tc>
          <w:tcPr>
            <w:tcW w:w="1500" w:type="dxa"/>
          </w:tcPr>
          <w:p>
            <w:r>
              <w:rPr>
                <w:sz w:val="17"/>
                <w:szCs w:val="17"/>
              </w:rPr>
              <w:t>Logs y trazas instrumentadas revisadas</w:t>
            </w:r>
          </w:p>
        </w:tc>
        <w:tc>
          <w:tcPr>
            <w:tcW w:w="2500" w:type="dxa"/>
          </w:tcPr>
          <w:p>
            <w:r>
              <w:rPr>
                <w:sz w:val="17"/>
                <w:szCs w:val="17"/>
              </w:rPr>
              <w:t xml:space="preserve">Los sanitizadores de logs del agente y del backend redactan las claves diff_text y hex_dump; las trazas experimentales registran ruta, operación, hashes y size_delta; la alternativa terminal registra ruta e IDs, no el parche.</w:t>
            </w:r>
          </w:p>
        </w:tc>
        <w:tc>
          <w:tcPr>
            <w:tcW w:w="2150" w:type="dxa"/>
          </w:tcPr>
          <w:p>
            <w:r>
              <w:rPr>
                <w:sz w:val="17"/>
                <w:szCs w:val="17"/>
              </w:rPr>
              <w:t>Operadores con acceso a logs, según despliegue.</w:t>
            </w:r>
          </w:p>
        </w:tc>
        <w:tc>
          <w:tcPr>
            <w:tcW w:w="2450" w:type="dxa"/>
          </w:tcPr>
          <w:p>
            <w:r>
              <w:rPr>
                <w:sz w:val="17"/>
                <w:szCs w:val="17"/>
              </w:rPr>
              <w:t>Archivos/salida de logs y paquetes de evidencia.</w:t>
            </w:r>
          </w:p>
        </w:tc>
        <w:tc>
          <w:tcPr>
            <w:tcW w:w="2600" w:type="dxa"/>
          </w:tcPr>
          <w:p>
            <w:r>
              <w:rPr>
                <w:sz w:val="17"/>
                <w:szCs w:val="17"/>
              </w:rPr>
              <w:t xml:space="preserve">Pruebas de inspección sobre la detección del agente y la ingesta del backend: ningún log capturado contiene el contenido del cambio. Los paquetes recientes retiran medios binarios no sanitizables.</w:t>
            </w:r>
          </w:p>
        </w:tc>
        <w:tc>
          <w:tcPr>
            <w:tcW w:w="2800" w:type="dxa"/>
          </w:tcPr>
          <w:p>
            <w:r>
              <w:rPr>
                <w:sz w:val="17"/>
                <w:szCs w:val="17"/>
              </w:rPr>
              <w:t xml:space="preserve">Las pruebas inspeccionan los logs estructurados de esas rutas; no demuestran ausencia del contenido en toda excepción, log de terceros o herramienta externa: PENDIENTE revisión operativa del despliegue.</w:t>
            </w:r>
          </w:p>
        </w:tc>
      </w:tr>
    </w:tbl>
    <w:p>
      <w:pPr>
        <w:pStyle w:val="BodyText"/>
      </w:pPr>
      <w:r>
        <w:t>Nota. La tabla describe el tratamiento observable y sus límites. La cola local conserva JSON en texto plano con permisos 0600 para cada archivo; Valkey se utilizó sin TLS en las corridas documentadas; events y payload_dump pueden contener diff_text según las condiciones indicadas. El payload externo no incluye diff_text ni hashes. Esta descripción no acredita una política organizacional implementada ni cumplimiento integral de la Ley 25.326.</w:t>
      </w:r>
    </w:p>
    <w:p>
      <w:pPr>
        <w:sectPr>
          <w:headerReference w:type="default" r:id="rId9"/>
          <w:footerReference w:type="default" r:id="rId10"/>
          <w:type w:val="nextPage"/>
          <w:pgSz w:w="16838" w:h="11906" w:orient="landscape"/>
          <w:pgMar w:top="1417" w:right="1134" w:bottom="1417" w:left="1701" w:header="708" w:footer="708" w:gutter="0"/>
          <w:cols w:space="708"/>
          <w:docGrid w:linePitch="360"/>
        </w:sectPr>
      </w:pPr>
    </w:p>
    <w:p>
      <w:pPr>
        <w:pStyle w:val="BodyText"/>
      </w:pPr>
      <w:r>
        <w:t>Interpretación. La minimización implementada evita enviar el contenido del parche a los canales externos de notificación, pero no elimina el riesgo: la ruta, el ejecutable y la identidad técnica del agente también pueden revelar información. Además, el parche permanece en la cola local, en Valkey durante el transporte y en PostgreSQL. La aceptación productiva requiere definir sujetos autorizados, finalidad, plazos, eliminación y configuración de transporte. La revisión de logs fue dirigida y no demuestra ausencia global del contenido.</w:t>
      </w:r>
    </w:p>
    <w:bookmarkEnd w:id="135"/>
    <w:bookmarkStart w:id="136" w:name="X9d0adab85f2c7c504c47fe23f046a1245e122b2"/>
    <w:p>
      <w:pPr>
        <w:pStyle w:val="Heading2"/>
      </w:pPr>
      <w:r>
        <w:rPr>
          <w:bCs/>
          <w:b/>
        </w:rPr>
        <w:t xml:space="preserve">9.2 Responsabilidad en la divulgación técnica</w:t>
      </w:r>
    </w:p>
    <w:p>
      <w:pPr>
        <w:pStyle w:val="FirstParagraph"/>
      </w:pPr>
      <w:r>
        <w:t xml:space="preserve">El presente trabajo, al hacer públicos los detalles técnicos mediante la descripción detallada de la arquitectura, asume el compromiso ético de contribuir al fortalecimiento defensivo de la comunidad sin proveer información explotable por adversarios. El Capítulo 2 documenta limitaciones conocidas de fanotify; esta información no constituye una técnica de evasión novedosa sino una limitación documentada en múltiples fuentes previas. Su inclusión alerta a los implementadores sobre la necesidad de defensas complementarias y resulta consistente con el principio de divulgación responsable.</w:t>
      </w:r>
    </w:p>
    <w:bookmarkEnd w:id="136"/>
    <w:bookmarkStart w:id="137" w:name="Xa7013fd519e648359ecc9660d1651bfe24f6a38"/>
    <w:p>
      <w:pPr>
        <w:pStyle w:val="Heading2"/>
      </w:pPr>
      <w:r>
        <w:rPr>
          <w:bCs/>
          <w:b/>
        </w:rPr>
        <w:t xml:space="preserve">9.3 Uso de herramientas de inteligencia artificial</w:t>
      </w:r>
    </w:p>
    <w:p>
      <w:pPr>
        <w:pStyle w:val="FirstParagraph"/>
      </w:pPr>
      <w:r>
        <w:t xml:space="preserve">En concordancia con los lineamientos éticos emergentes sobre el uso de inteligencia artificial en la producción académica, los autores declaran que durante la redacción del presente trabajo se utilizaron herramientas de IA generativa con fines de corrección estilística, verificación de consistencia y organización expositiva. Las siguientes dimensiones son de autoría exclusivamente humana: la identificación del problema de investigación, la formulación de la hipótesis y los objetivos, las decisiones de arquitectura y diseño técnico, la selección del stack tecnológico, la definición del protocolo experimental y la planificación del trabajo futuro. Las contribuciones de las herramientas se limitaron a producción textual bajo supervisión y validación permanente de los autores.</w:t>
      </w:r>
    </w:p>
    <w:bookmarkEnd w:id="137"/>
    <w:bookmarkStart w:id="138" w:name="adecuación-a-la-normativa-argentina"/>
    <w:p>
      <w:pPr>
        <w:pStyle w:val="Heading2"/>
      </w:pPr>
      <w:r>
        <w:rPr>
          <w:bCs/>
          <w:b/>
        </w:rPr>
        <w:t xml:space="preserve">9.4 Adecuación a la normativa argentina</w:t>
      </w:r>
    </w:p>
    <w:p>
      <w:pPr>
        <w:pStyle w:val="FirstParagraph"/>
      </w:pPr>
      <w:r>
        <w:t xml:space="preserve">El tratamiento de datos personales de los operadores del sistema debe realizarse conforme a los principios de la Ley 25.326, incluyendo finalidad legítima, proporcionalidad y limitación de la conservación. Corresponde corregir una afirmación de una versión anterior de este documento. Los registros de la tabla de auditoría asocian un operador identificado con las acciones que practicó y el momento en que lo hizo, y por ello constituyen datos personales en el sentido del artículo 2 de la ley. Esa norma define como tales a la información de cualquier tipo referida a personas físicas determinadas o determinables. La circunstancia de que el operador esté identificado en el contexto de una relación laboral no sustrae esos registros del régimen legal; solo incide en la base de licitud del tratamiento y en la finalidad que lo justifica. De ello se siguen tres consecuencias. La primera es que la tabla de auditoría es una base de datos personales cuya conservación debe limitarse a lo necesario para la finalidad de auditoría, conforme al artículo 4, inciso 7. Esto motiva la corrección de la política de retención consignada en el apartado 4.2. La segunda es que los operadores deberán ser informados explícitamente sobre este tratamiento mediante política de privacidad publicada, y dispondrán de los mecanismos para ejercer los derechos de acceso, rectificación y supresión que la ley les reconoce. La tercera es que las organizaciones que implementen el sistema en territorio argentino deberán cumplir las obligaciones ante la AAIP cuando resulten aplicables. El desarrollo del presente trabajo se condujo bajo principios de ética profesional en ciencias informáticas. El análisis ético se apoya en los principios de finalidad, proporcionalidad, transparencia y seguridad desarrollados en este capítulo, sin atribuir adhesión a un código deontológico específico que no haya sido identificado.</w:t>
      </w:r>
    </w:p>
    <w:p>
      <w:r>
        <w:br w:type="page"/>
      </w:r>
    </w:p>
    <w:bookmarkEnd w:id="138"/>
    <w:bookmarkEnd w:id="139"/>
    <w:bookmarkStart w:id="142" w:name="capítulo-10.-glosario"/>
    <w:p>
      <w:pPr>
        <w:pStyle w:val="Heading1"/>
      </w:pPr>
      <w:r>
        <w:rPr>
          <w:bCs/>
          <w:b/>
        </w:rPr>
        <w:t xml:space="preserve">CAPÍTULO 10. GLOSARIO</w:t>
      </w:r>
    </w:p>
    <w:p>
      <w:pPr>
        <w:pStyle w:val="FirstParagraph"/>
      </w:pPr>
      <w:r>
        <w:t xml:space="preserve">El presente glosario recoge los términos técnicos que aparecen a lo largo del trabajo, junto con las leyes argentinas mencionadas, con el propósito de facilitar la lectura a evaluadores cuyo perfil profesional no necesariamente coincida con el de la programación. Las entradas se organizan en dos secciones: la primera, alfabética, comprende términos técnicos; la segunda, por orden de jerarquía normativa y temporal, comprende los instrumentos legales argentinos invocados en la tesis. Las entradas breves ya explicadas mediante siglas en la Lista de Abreviaturas de los preliminares no se repiten aquí a menos que el concepto amerite definición extendida.</w:t>
      </w:r>
    </w:p>
    <w:bookmarkStart w:id="140" w:name="términos-técnicos"/>
    <w:p>
      <w:pPr>
        <w:pStyle w:val="Heading2"/>
      </w:pPr>
      <w:r>
        <w:rPr>
          <w:bCs/>
          <w:b/>
        </w:rPr>
        <w:t xml:space="preserve">10.1 Términos técnicos</w:t>
      </w:r>
    </w:p>
    <w:p>
      <w:pPr>
        <w:pStyle w:val="FirstParagraph"/>
      </w:pPr>
      <w:r>
        <w:t xml:space="preserve">Criterio terminológico. En la primera aparición se ofrece, cuando existe, el equivalente español seguido del término técnico de uso extendido. Se mantienen en inglés los identificadores de protocolo, campos, estados, bibliotecas, archivos y patrones cuya traducción dificultaría la correspondencia con el código. Se conservan baseline (estado de referencia) y payload (carga útil), por ser términos estándar del dominio y estar definidos en este glosario. En la prosa se usan alternativa automática por fallback, instantánea por snapshot, comprobación de tipos por typecheck, construcción por build y arnés de prueba por harness. Bundle designa exclusivamente el paquete autocontenido de Git.</w:t>
      </w:r>
    </w:p>
    <w:p>
      <w:pPr>
        <w:pStyle w:val="FirstParagraph"/>
      </w:pPr>
      <w:r>
        <w:rPr>
          <w:bCs/>
          <w:b/>
        </w:rPr>
        <w:t xml:space="preserve">AES-256-GCM.</w:t>
      </w:r>
      <w: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la baseline almacenada en el disco del agente.</w:t>
      </w:r>
    </w:p>
    <w:p>
      <w:pPr>
        <w:pStyle w:val="BodyText"/>
      </w:pPr>
      <w:r>
        <w:rPr>
          <w:bCs/>
          <w:b/>
        </w:rPr>
        <w:t xml:space="preserve">Agente.</w:t>
      </w:r>
      <w:r>
        <w:t xml:space="preserve"> Componente de software que se instala en cada anfitrión monitoreado. En esta tesis opera como servicio del sistema gestionado por systemd y observa los eventos de archivo mediante el subsistema fanotify del núcleo Linux.</w:t>
      </w:r>
    </w:p>
    <w:p>
      <w:pPr>
        <w:pStyle w:val="BodyText"/>
      </w:pPr>
      <w:r>
        <w:t xml:space="preserve">Alternativa automática (fallback). Canal o mecanismo de respaldo que el sistema utiliza sin intervención humana cuando el mecanismo principal no está disponible o falla; en este trabajo, la cascada SMTP, webhook directo y log crítico.</w:t>
      </w:r>
    </w:p>
    <w:p>
      <w:pPr>
        <w:pStyle w:val="BodyText"/>
      </w:pPr>
      <w:r>
        <w:rPr>
          <w:bCs/>
          <w:b/>
        </w:rPr>
        <w:t xml:space="preserve">API.</w:t>
      </w:r>
      <w:r>
        <w:t xml:space="preserve"> Sigla de Application Programming Interface, interfaz de programación de aplicaciones. Mecanismo formal mediante el cual un componente de software expone sus capacidades para que otros componentes las consuman.</w:t>
      </w:r>
    </w:p>
    <w:p>
      <w:pPr>
        <w:pStyle w:val="BodyText"/>
      </w:pPr>
      <w:r>
        <w:rPr>
          <w:bCs/>
          <w:b/>
        </w:rPr>
        <w:t xml:space="preserve">Argon2id.</w:t>
      </w:r>
      <w:r>
        <w:t xml:space="preserve"> Función de hashing con consumo intensivo de memoria, ganadora de la Password Hashing Competition de 2015. Se emplea para almacenar contraseñas de operadores del sistema de manera que resulte costoso para un atacante intentar descubrirlas incluso disponiendo de la base de datos.</w:t>
      </w:r>
    </w:p>
    <w:p>
      <w:pPr>
        <w:pStyle w:val="BodyText"/>
      </w:pPr>
      <w:r>
        <w:t xml:space="preserve">Arnés de prueba (harness). Programa que prepara condiciones, ejecuta un ensayo y registra sus resultados de forma repetible, sin formar parte del producto evaluado.</w:t>
      </w:r>
    </w:p>
    <w:p>
      <w:pPr>
        <w:pStyle w:val="BodyText"/>
      </w:pPr>
      <w:r>
        <w:rPr>
          <w:bCs/>
          <w:b/>
        </w:rPr>
        <w:t xml:space="preserve">Backend.</w:t>
      </w:r>
      <w:r>
        <w:t xml:space="preserve"> Parte del sistema que se ejecuta en un servidor y no es visible directamente para el usuario. Contiene la lógica de negocio, gestiona la base de datos y expone una API que el frontend consume.</w:t>
      </w:r>
    </w:p>
    <w:p>
      <w:pPr>
        <w:pStyle w:val="BodyText"/>
      </w:pPr>
      <w:r>
        <w:rPr>
          <w:bCs/>
          <w:b/>
        </w:rPr>
        <w:t xml:space="preserve">Baseline.</w:t>
      </w:r>
      <w:r>
        <w:t xml:space="preserve"> Estado de referencia legítimo de los archivos monitoreados, expresado como una tabla que asocia cada ruta con su huella digital criptográfica SHA-256. Es el patrón contra el cual se comparan las modificaciones futuras para decidir si son legítimas o no.</w:t>
      </w:r>
    </w:p>
    <w:p>
      <w:pPr>
        <w:pStyle w:val="BodyText"/>
      </w:pPr>
      <w:r>
        <w:rPr>
          <w:bCs/>
          <w:b/>
        </w:rPr>
        <w:t xml:space="preserve">Bloqueo optimista.</w:t>
      </w:r>
      <w:r>
        <w:t xml:space="preserve"> Técnica de control de concurrencia en bases de datos que evita bloquear registros para su lectura. En su lugar, cada registro tiene un número de versión, y el intento de actualización falla si la versión cambió desde el último acceso.</w:t>
      </w:r>
    </w:p>
    <w:p>
      <w:pPr>
        <w:pStyle w:val="BodyText"/>
      </w:pPr>
      <w:r>
        <w:t xml:space="preserve">Bundle de Git. Archivo autocontenido que empaqueta objetos y referencias de un repositorio Git; permite recuperar un commit exacto sin acceso al repositorio original.</w:t>
      </w:r>
    </w:p>
    <w:p>
      <w:pPr>
        <w:pStyle w:val="BodyText"/>
      </w:pPr>
      <w:r>
        <w:rPr>
          <w:bCs/>
          <w:b/>
        </w:rPr>
        <w:t xml:space="preserve">CA propia.</w:t>
      </w:r>
      <w:r>
        <w:t xml:space="preserve"> Autoridad certificadora gestionada internamente por la propia organización, que emite certificados digitales para autenticar a sus agentes sin depender de autoridades comerciales públicas.</w:t>
      </w:r>
    </w:p>
    <w:p>
      <w:pPr>
        <w:pStyle w:val="BodyText"/>
      </w:pPr>
      <w:r>
        <w:rPr>
          <w:bCs/>
          <w:b/>
        </w:rPr>
        <w:t xml:space="preserve">CAP_SYS_ADMIN.</w:t>
      </w:r>
      <w:r>
        <w:t xml:space="preserve"> Capacidad del núcleo Linux que otorga permisos administrativos especializados sin requerir el usuario root. El agente la necesita para operar fanotify en modo completo.</w:t>
      </w:r>
    </w:p>
    <w:p>
      <w:pPr>
        <w:pStyle w:val="BodyText"/>
      </w:pPr>
      <w:r>
        <w:rPr>
          <w:bCs/>
          <w:b/>
        </w:rPr>
        <w:t xml:space="preserve">Certificado X.509.</w:t>
      </w:r>
      <w:r>
        <w:t xml:space="preserve"> Documento digital estandarizado que asocia una clave pública con una identidad (persona, servicio o dispositivo) y está firmado por una autoridad certificadora. Es el formato utilizado por TLS.</w:t>
      </w:r>
    </w:p>
    <w:p>
      <w:pPr>
        <w:pStyle w:val="BodyText"/>
      </w:pPr>
      <w:r>
        <w:rPr>
          <w:bCs/>
          <w:b/>
        </w:rPr>
        <w:t xml:space="preserve">Contenedor.</w:t>
      </w:r>
      <w:r>
        <w:t xml:space="preserve"> Forma ligera de virtualización en la que un conjunto de procesos comparte el núcleo del sistema operativo anfitrión pero se ejecuta con su propio sistema de archivos, redes y vista de procesos aislados.</w:t>
      </w:r>
    </w:p>
    <w:p>
      <w:pPr>
        <w:pStyle w:val="BodyText"/>
      </w:pPr>
      <w:r>
        <w:rPr>
          <w:bCs/>
          <w:b/>
        </w:rPr>
        <w:t xml:space="preserve">Docker / Docker Compose.</w:t>
      </w:r>
      <w:r>
        <w:t xml:space="preserve"> Docker es la plataforma de contenedores más difundida. Docker Compose es una herramienta complementaria que describe en un archivo YAML un conjunto de servicios conformando una aplicación multi-contenedor.</w:t>
      </w:r>
    </w:p>
    <w:p>
      <w:pPr>
        <w:pStyle w:val="BodyText"/>
      </w:pPr>
      <w:r>
        <w:rPr>
          <w:bCs/>
          <w:b/>
        </w:rPr>
        <w:t xml:space="preserve">eBPF.</w:t>
      </w:r>
      <w:r>
        <w:t xml:space="preserve"> Tecnología del núcleo Linux que permite ejecutar pequeños programas seguros dentro del núcleo, con propósitos de observabilidad, redes o seguridad, sin modificar el código del propio núcleo.</w:t>
      </w:r>
    </w:p>
    <w:p>
      <w:pPr>
        <w:pStyle w:val="BodyText"/>
      </w:pPr>
      <w:r>
        <w:rPr>
          <w:bCs/>
          <w:b/>
        </w:rPr>
        <w:t xml:space="preserve">Encuestamiento</w:t>
      </w:r>
      <w:r>
        <w:t xml:space="preserve">. calco del inglés polling. Consulta repetida a intervalos programados para detectar cambios de estado, por oposición a la notificación reactiva de eventos. Usado en el trabajo para describir el modelo de las herramientas de FIM tradicionales (Tripwire, AIDE) por contraste con el modelo reactivo adoptado.</w:t>
      </w:r>
    </w:p>
    <w:p>
      <w:pPr>
        <w:pStyle w:val="BodyText"/>
      </w:pPr>
      <w:r>
        <w:t>fanotify.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pPr>
        <w:pStyle w:val="BodyText"/>
      </w:pPr>
      <w:r>
        <w:rPr>
          <w:bCs/>
          <w:b/>
        </w:rPr>
        <w:t xml:space="preserve">FastAPI.</w:t>
      </w:r>
      <w:r>
        <w:t xml:space="preserve"> Framework de desarrollo web escrito en Python, orientado a la construcción de APIs con alto rendimiento, validación automática de datos y documentación automática conforme al estándar OpenAPI.</w:t>
      </w:r>
    </w:p>
    <w:p>
      <w:pPr>
        <w:pStyle w:val="BodyText"/>
      </w:pPr>
      <w:r>
        <w:rPr>
          <w:bCs/>
          <w:b/>
        </w:rPr>
        <w:t xml:space="preserve">FIM.</w:t>
      </w:r>
      <w:r>
        <w:t xml:space="preserve"> Sigla de File Integrity Monitoring, Monitoreo de Integridad de Archivos. Categoría de herramienta de seguridad cuyo propósito es detectar alteraciones no autorizadas de archivos del sistema comparando su estado actual contra una baseline de referencia.</w:t>
      </w:r>
    </w:p>
    <w:p>
      <w:pPr>
        <w:pStyle w:val="BodyText"/>
      </w:pPr>
      <w:r>
        <w:rPr>
          <w:bCs/>
          <w:b/>
        </w:rPr>
        <w:t xml:space="preserve">Frontend.</w:t>
      </w:r>
      <w:r>
        <w:t xml:space="preserve"> Parte del sistema con la cual el usuario interactúa directamente desde su navegador. En este trabajo se construye con React y TypeScript.</w:t>
      </w:r>
    </w:p>
    <w:p>
      <w:pPr>
        <w:pStyle w:val="BodyText"/>
      </w:pPr>
      <w:r>
        <w:rPr>
          <w:bCs/>
          <w:b/>
        </w:rPr>
        <w:t xml:space="preserve">Hash / SHA-256.</w:t>
      </w:r>
      <w: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w:t>
      </w:r>
    </w:p>
    <w:p>
      <w:pPr>
        <w:pStyle w:val="BodyText"/>
      </w:pPr>
      <w:r>
        <w:rPr>
          <w:bCs/>
          <w:b/>
        </w:rPr>
        <w:t xml:space="preserve">HKDF-SHA256.</w:t>
      </w:r>
      <w:r>
        <w:t xml:space="preserve"> Función de derivación de claves estandarizada en el RFC 5869. Transforma un material secreto inicial en una clave criptográfica de uso específico incorporando una sal y una cadena de contexto.</w:t>
      </w:r>
    </w:p>
    <w:p>
      <w:pPr>
        <w:pStyle w:val="BodyText"/>
      </w:pPr>
      <w:r>
        <w:rPr>
          <w:bCs/>
          <w:b/>
        </w:rPr>
        <w:t xml:space="preserve">HMAC-SHA256.</w:t>
      </w:r>
      <w:r>
        <w:t xml:space="preserve"> Esquema de autenticación de mensajes basado en función hash, que usa SHA-256 como primitiva. Verifica simultáneamente que un mensaje proviene del emisor esperado y que no fue alterado.</w:t>
      </w:r>
    </w:p>
    <w:p>
      <w:pPr>
        <w:pStyle w:val="BodyText"/>
      </w:pPr>
      <w:r>
        <w:t>inotify.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pPr>
        <w:pStyle w:val="BodyText"/>
      </w:pPr>
      <w:r>
        <w:t xml:space="preserve">Instantánea (snapshot). Copia identificada del estado de un conjunto de archivos en un momento dado; en este trabajo, tanto las versiones restaurables cifradas del agente como los árboles de fuentes congelados para una evaluación.</w:t>
      </w:r>
    </w:p>
    <w:p>
      <w:pPr>
        <w:pStyle w:val="BodyText"/>
      </w:pPr>
      <w:r>
        <w:rPr>
          <w:bCs/>
          <w:b/>
        </w:rPr>
        <w:t xml:space="preserve">JSON.</w:t>
      </w:r>
      <w:r>
        <w:t xml:space="preserve"> Formato de texto estandarizado para representar datos estructurados, de amplio uso en la comunicación entre servicios web.</w:t>
      </w:r>
    </w:p>
    <w:p>
      <w:pPr>
        <w:pStyle w:val="BodyText"/>
      </w:pPr>
      <w:r>
        <w:rPr>
          <w:bCs/>
          <w:b/>
        </w:rPr>
        <w:t xml:space="preserve">JWT.</w:t>
      </w:r>
      <w:r>
        <w:t xml:space="preserve"> Sigla de JSON Web Token. Formato de token de autenticación que contiene información codificada en JSON y firmada criptográficamente. Se emplea para autenticar operadores contra el backend.</w:t>
      </w:r>
    </w:p>
    <w:p>
      <w:pPr>
        <w:pStyle w:val="BodyText"/>
      </w:pPr>
      <w:r>
        <w:rPr>
          <w:bCs/>
          <w:b/>
        </w:rPr>
        <w:t xml:space="preserve">Kernel / Núcleo Linux.</w:t>
      </w:r>
      <w:r>
        <w:t xml:space="preserve"> Componente central del sistema operativo Linux. Gestiona el acceso a los dispositivos físicos, la memoria, los procesos y los sistemas de archivos. Los subsistemas fanotify e inotify son funciones provistas por el núcleo.</w:t>
      </w:r>
    </w:p>
    <w:p>
      <w:pPr>
        <w:pStyle w:val="BodyText"/>
      </w:pPr>
      <w:r>
        <w:rPr>
          <w:bCs/>
          <w:b/>
        </w:rPr>
        <w:t xml:space="preserve">mTLS.</w:t>
      </w:r>
      <w:r>
        <w:t xml:space="preserve"> Sigla de mutual TLS, autenticación mutua mediante certificados sobre el protocolo TLS. Tanto cliente como servidor presentan certificados y se verifican recíprocamente.</w:t>
      </w:r>
    </w:p>
    <w:p>
      <w:pPr>
        <w:pStyle w:val="BodyText"/>
      </w:pPr>
      <w:r>
        <w:rPr>
          <w:bCs/>
          <w:b/>
        </w:rPr>
        <w:t xml:space="preserve">n8n.</w:t>
      </w:r>
      <w:r>
        <w:t xml:space="preserve"> Plataforma de código abierto para automatizar flujos de trabajo, con un editor visual basado en nodos. En esta tesis se emplea exclusivamente como enrutador de notificaciones hacia canales externos como correo electrónico o mensajería corporativa.</w:t>
      </w:r>
    </w:p>
    <w:p>
      <w:pPr>
        <w:pStyle w:val="BodyText"/>
      </w:pPr>
      <w:r>
        <w:rPr>
          <w:bCs/>
          <w:b/>
        </w:rPr>
        <w:t xml:space="preserve">ORM.</w:t>
      </w:r>
      <w:r>
        <w:t xml:space="preserve"> Sigla de Object-Relational Mapper, mapeador objeto-relacional. Biblioteca que permite representar las tablas de una base de datos como clases de un lenguaje de programación, simplificando su manipulación.</w:t>
      </w:r>
    </w:p>
    <w:p>
      <w:pPr>
        <w:pStyle w:val="BodyText"/>
      </w:pPr>
      <w:r>
        <w:rPr>
          <w:bCs/>
          <w:b/>
        </w:rPr>
        <w:t xml:space="preserve">Patrón Repository.</w:t>
      </w:r>
      <w:r>
        <w:t xml:space="preserve"> Patrón de diseño que encapsula en clases dedicadas todo el código que accede a la base de datos para cada entidad del dominio, aislándolo del resto del sistema.</w:t>
      </w:r>
    </w:p>
    <w:p>
      <w:pPr>
        <w:pStyle w:val="BodyText"/>
      </w:pPr>
      <w:r>
        <w:rPr>
          <w:bCs/>
          <w:b/>
        </w:rPr>
        <w:t xml:space="preserve">Payload.</w:t>
      </w:r>
      <w:r>
        <w:t xml:space="preserve"> Contenido útil de un mensaje, distinguido de los metadatos o el encabezado. En un webhook, el payload es el cuerpo JSON que describe el evento.</w:t>
      </w:r>
    </w:p>
    <w:p>
      <w:pPr>
        <w:pStyle w:val="BodyText"/>
      </w:pPr>
      <w:r>
        <w:rPr>
          <w:bCs/>
          <w:b/>
        </w:rPr>
        <w:t xml:space="preserve">PostgreSQL.</w:t>
      </w:r>
      <w:r>
        <w:t xml:space="preserve"> Sistema de gestión de bases de datos relacionales de código abierto, con una larga trayectoria de estabilidad y un conjunto amplio de características avanzadas.</w:t>
      </w:r>
    </w:p>
    <w:p>
      <w:pPr>
        <w:pStyle w:val="BodyText"/>
      </w:pPr>
      <w:r>
        <w:rPr>
          <w:bCs/>
          <w:b/>
        </w:rPr>
        <w:t xml:space="preserve">Python.</w:t>
      </w:r>
      <w:r>
        <w:t xml:space="preserve"> Lenguaje de programación de alto nivel, interpretado y de propósito general. Se emplea en este trabajo para el agente y para el backend.</w:t>
      </w:r>
    </w:p>
    <w:p>
      <w:pPr>
        <w:pStyle w:val="BodyText"/>
      </w:pPr>
      <w:r>
        <w:rPr>
          <w:bCs/>
          <w:b/>
        </w:rPr>
        <w:t xml:space="preserve">React.</w:t>
      </w:r>
      <w:r>
        <w:t xml:space="preserve"> Biblioteca de JavaScript para construir interfaces de usuario basadas en componentes reutilizables. Desarrollada inicialmente por Facebook y actualmente de código abierto.</w:t>
      </w:r>
    </w:p>
    <w:p>
      <w:pPr>
        <w:pStyle w:val="BodyText"/>
      </w:pPr>
      <w:r>
        <w:rPr>
          <w:bCs/>
          <w:b/>
        </w:rPr>
        <w:t xml:space="preserve">Rootkit.</w:t>
      </w:r>
      <w:r>
        <w:t xml:space="preserve"> Tipo de software malicioso que se instala a nivel del núcleo del sistema operativo u otros niveles privilegiados, con el propósito específico de ocultar su propia presencia y la de otras actividades maliciosas.</w:t>
      </w:r>
    </w:p>
    <w:p>
      <w:pPr>
        <w:pStyle w:val="BodyText"/>
      </w:pPr>
      <w:r>
        <w:rPr>
          <w:bCs/>
          <w:b/>
        </w:rPr>
        <w:t xml:space="preserve">SOAR.</w:t>
      </w:r>
      <w:r>
        <w:t xml:space="preserve"> Sigla de Security Orchestration, Automation and Response. Categoría de plataformas que orquestan herramientas de seguridad heterogéneas, automatizan tareas repetitivas y gestionan la respuesta a incidentes de forma estructurada.</w:t>
      </w:r>
    </w:p>
    <w:p>
      <w:pPr>
        <w:pStyle w:val="BodyText"/>
      </w:pPr>
      <w:r>
        <w:rPr>
          <w:bCs/>
          <w:b/>
        </w:rPr>
        <w:t xml:space="preserve">systemd.</w:t>
      </w:r>
      <w:r>
        <w:t xml:space="preserve"> Gestor de servicios y procesos de inicio adoptado por las principales distribuciones de Linux contemporáneas. El agente del presente sistema se despliega como unidad de systemd, lo que simplifica su arranque automático, reinicio ante fallo y gestión del ciclo de vida.</w:t>
      </w:r>
    </w:p>
    <w:p>
      <w:pPr>
        <w:pStyle w:val="BodyText"/>
      </w:pPr>
      <w:r>
        <w:rPr>
          <w:bCs/>
          <w:b/>
        </w:rPr>
        <w:t xml:space="preserve">TLS 1.3.</w:t>
      </w:r>
      <w:r>
        <w:t xml:space="preserve"> Versión vigente del protocolo Transport Layer Security, que reemplaza a TLS 1.2. Provee cifrado y autenticación del canal de comunicación entre dos partes, y es el mecanismo que opera detrás del protocolo HTTPS.</w:t>
      </w:r>
    </w:p>
    <w:p>
      <w:pPr>
        <w:pStyle w:val="BodyText"/>
      </w:pPr>
      <w:r>
        <w:rPr>
          <w:bCs/>
          <w:b/>
        </w:rPr>
        <w:t xml:space="preserve">Unit of Work.</w:t>
      </w:r>
      <w:r>
        <w:t xml:space="preserve"> Patrón de diseño que agrupa múltiples operaciones de acceso a datos bajo una única transacción, garantizando que todas se confirmen en conjunto o ninguna lo haga.</w:t>
      </w:r>
    </w:p>
    <w:p>
      <w:pPr>
        <w:pStyle w:val="BodyText"/>
      </w:pPr>
      <w:r>
        <w:rPr>
          <w:bCs/>
          <w:b/>
        </w:rPr>
        <w:t xml:space="preserve">UUID.</w:t>
      </w:r>
      <w:r>
        <w:t xml:space="preserve"> Sigla de Universally Unique Identifier. Identificador de 128 bits generado de modo tal que la probabilidad de colisión entre dos identificadores creados por separado es prácticamente nula.</w:t>
      </w:r>
    </w:p>
    <w:p>
      <w:pPr>
        <w:pStyle w:val="BodyText"/>
      </w:pPr>
      <w:r>
        <w:rPr>
          <w:bCs/>
          <w:b/>
        </w:rPr>
        <w:t xml:space="preserve">Valkey / Valkey Streams.</w:t>
      </w:r>
      <w:r>
        <w:t xml:space="preserve"> Valkey es un almacén de estructura de datos en memoria, derivado del proyecto Redis en 2024 bajo gobernanza de la Linux Foundation. Sus streams son una estructura de datos persistente y ordenada por tiempo que soporta semántica de mensajería.</w:t>
      </w:r>
    </w:p>
    <w:p>
      <w:pPr>
        <w:pStyle w:val="BodyText"/>
      </w:pPr>
      <w:r>
        <w:rPr>
          <w:bCs/>
          <w:b/>
        </w:rPr>
        <w:t xml:space="preserve">Webhook.</w:t>
      </w:r>
      <w:r>
        <w:t xml:space="preserve"> Mecanismo mediante el cual un sistema notifica a otro la ocurrencia de un evento enviando una solicitud HTTP a una URL preconfigurada. Es el mecanismo principal de integración con n8n en este trabajo.</w:t>
      </w:r>
    </w:p>
    <w:p>
      <w:pPr>
        <w:pStyle w:val="BodyText"/>
      </w:pPr>
      <w:r>
        <w:rPr>
          <w:bCs/>
          <w:b/>
        </w:rPr>
        <w:t xml:space="preserve">Zero Trust.</w:t>
      </w:r>
      <w:r>
        <w:t xml:space="preserve"> Arquitectura de seguridad que rechaza el concepto de perímetro confiable y exige verificación explícita de cada interacción, siguiendo los principios de verificación permanente, privilegio mínimo y asunción de compromiso.</w:t>
      </w:r>
    </w:p>
    <w:bookmarkEnd w:id="140"/>
    <w:bookmarkStart w:id="141" w:name="Xe1e1d2adba735391c5483e072fb9d9a94fda4b0"/>
    <w:p>
      <w:pPr>
        <w:pStyle w:val="Heading2"/>
      </w:pPr>
      <w:r>
        <w:rPr>
          <w:bCs/>
          <w:b/>
        </w:rPr>
        <w:t xml:space="preserve">10.2 Instrumentos legales argentinos invocados</w:t>
      </w:r>
    </w:p>
    <w:p>
      <w:pPr>
        <w:pStyle w:val="FirstParagraph"/>
      </w:pPr>
      <w:r>
        <w:t xml:space="preserve">Las entradas siguientes identifican la normativa argentina citada en el trabajo, sintetizan su contenido general y explicitan el motivo por el cual el diseño del sistema toma dicho instrumento como referencia o restricción.</w:t>
      </w:r>
    </w:p>
    <w:p>
      <w:pPr>
        <w:pStyle w:val="BodyText"/>
      </w:pPr>
      <w:r>
        <w:rPr>
          <w:bCs/>
          <w:b/>
        </w:rPr>
        <w:t xml:space="preserve">Constitución Nacional, artículo 43 (incorporado por la reforma de 1994).</w:t>
      </w:r>
      <w:r>
        <w:t xml:space="preserve"> Consagra la acción de hábeas data y reconoce el derecho de toda persona a conocer los datos que sobre ella existen en registros públicos o privados destinados a proveer informes, así como a exigir su supresión, rectificación, confidencialidad o actualización en caso de falsedad o discriminación. Es el vértice constitucional del régimen de protección de datos y el fundamento último del marco regulatorio descripto a continuación. Su relevancia para la tesis es que establece el carácter de derecho fundamental de la protección de datos personales, lo cual justifica la exigencia de controles técnicos como el aquí propuesto.</w:t>
      </w:r>
    </w:p>
    <w:p>
      <w:pPr>
        <w:pStyle w:val="BodyText"/>
      </w:pPr>
      <w:r>
        <w:rPr>
          <w:bCs/>
          <w:b/>
        </w:rPr>
        <w:t xml:space="preserve">Ley 25.326 de Protección de los Datos Personales (sancionada en 2000, con actualizaciones incorporadas hasta marzo de 2026).</w:t>
      </w:r>
      <w:r>
        <w:t xml:space="preserve"> Constituye el régimen legal integral para la protección de los datos personales en Argentina. Su artículo 9.º obliga al responsable del tratamiento a adoptar medidas técnicas y organizativas para garantizar la seguridad y confidencialidad de los datos, y específicamente a evitar su adulteración, pérdida, consulta o tratamiento no autorizado, y a permitir detectar desviaciones. Este artículo constituye el fundamento legal directo de la adopción de sistemas de Monitoreo de Integridad de Archivos en el ordenamiento argentino: la plataforma propuesta implementa una medida técnica orientada a detectar adulteraciones, objetivo que la ley impone como deber del responsable del tratamiento.</w:t>
      </w:r>
    </w:p>
    <w:p>
      <w:pPr>
        <w:pStyle w:val="BodyText"/>
      </w:pPr>
      <w:r>
        <w:rPr>
          <w:bCs/>
          <w:b/>
        </w:rPr>
        <w:t xml:space="preserve">Ley 26.388 de Delitos Informáticos (sancionada en 2008).</w:t>
      </w:r>
      <w:r>
        <w:t xml:space="preserve"> Modifica el Código Penal argentino para tipificar como delitos el acceso ilegítimo a sistemas informáticos, el daño informático (alteración, destrucción o inutilización de datos o programas), la interrupción de comunicaciones electrónicas, y otras conductas del mismo ámbito. En el diseño de la tesis esta ley es relevante porque la tabla de auditoría del sistema, especificada en el Capítulo 4, puede aportar información en eventuales investigaciones conducidas bajo este marco penal, con el valor probatorio que la integridad del registro y la cadena de custodia permitan acreditar (apartado 4.11).</w:t>
      </w:r>
    </w:p>
    <w:p>
      <w:pPr>
        <w:pStyle w:val="BodyText"/>
      </w:pPr>
      <w:r>
        <w:rPr>
          <w:bCs/>
          <w:b/>
        </w:rPr>
        <w:t xml:space="preserve">Resolución AAIP 47/2018 — Medidas de Seguridad Recomendadas.</w:t>
      </w:r>
      <w:r>
        <w:t xml:space="preserve"> Emitida por la Agencia de Acceso a la Información Pública, aprueba un conjunto de medidas de seguridad recomendadas para el tratamiento de datos personales en medios informatizados, organizadas en cinco procesos: recolección, control de acceso, conservación, destrucción y gestión de incidentes. En el diseño de la tesis, el sistema propuesto contribuye específicamente al proceso de control de acceso mediante el registro auditable de todas las acciones administrativas sobre archivos, y al proceso de gestión de incidentes mediante detección temprana y notificación automatizada. Esta resolución, de carácter recomendatorio, orienta la decisión arquitectónica de separar la tabla de auditoría de los logs estructurados; no fundamenta una retención indefinida, cuya corrección se consigna en el apartado 4.2.</w:t>
      </w:r>
    </w:p>
    <w:p>
      <w:pPr>
        <w:pStyle w:val="BodyText"/>
      </w:pPr>
      <w:r>
        <w:rPr>
          <w:bCs/>
          <w:b/>
        </w:rPr>
        <w:t xml:space="preserve">Resolución AAIP 126/2024 — Régimen Sancionatorio.</w:t>
      </w:r>
      <w:r>
        <w:t xml:space="preserve"> Actualiza el régimen sancionatorio bajo la Ley 25.326, estableciendo una clasificación tripartita de las infracciones en leves, graves y muy graves, y fijando los criterios de graduación de las sanciones. Es especialmente relevante para la tesis que el propio incumplimiento del deber de informar las medidas de seguridad implementadas figura entre las infracciones leves; esto refuerza la importancia de contar con documentación técnica auditable como la producida por la plataforma propuesta, que deja trazabilidad completa de los controles aplicados.</w:t>
      </w:r>
    </w:p>
    <w:p>
      <w:pPr>
        <w:pStyle w:val="BodyText"/>
      </w:pPr>
      <w:r>
        <w:rPr>
          <w:bCs/>
          <w:b/>
        </w:rPr>
        <w:t xml:space="preserve">Resolución 44/2023 — Segunda Estrategia Nacional de Ciberseguridad.</w:t>
      </w:r>
      <w:r>
        <w:t xml:space="preserve"> Emitida por la Secretaría de Innovación Pública, aprueba la Segunda Estrategia Nacional de Ciberseguridad. Los objetivos centrales incluyen proteger las infraestructuras críticas nacionales, fortalecer las capacidades de prevención, detección y respuesta a incidentes, y promover la formación de capital humano especializado en ciberseguridad. El diseño de la tesis se alinea directamente con el objetivo de detección y respuesta, en tanto la plataforma detecta modificaciones en tiempo real y notifica para habilitar la respuesta operativa.</w:t>
      </w:r>
    </w:p>
    <w:p>
      <w:pPr>
        <w:pStyle w:val="BodyText"/>
      </w:pPr>
      <w:r>
        <w:rPr>
          <w:bCs/>
          <w:b/>
        </w:rPr>
        <w:t xml:space="preserve">Decisión Administrativa 641/2021 — Requisitos Mínimos de Seguridad de la Información.</w:t>
      </w:r>
      <w:r>
        <w:t xml:space="preserve"> Emitida por la Jefatura de Gabinete de Ministros, aprueba los Requisitos Mínimos de Seguridad de la Información para los organismos del Sector Público Nacional. Establece controles técnicos obligatorios: gestión de identidades, cifrado, respaldos, registros de auditoría y gestión de incidentes. La tesis toma esta normativa, aplicable únicamente a los organismos del Sector Público Nacional, como referencia para enmarcar los controles técnicos del sistema propuesto, que contribuye a los requerimientos asociados a detección de alteraciones, registros de auditoría, cifrado y gestión de incidentes sin acreditar su cumplimiento.</w:t>
      </w:r>
    </w:p>
    <w:p>
      <w:pPr>
        <w:pStyle w:val="BodyText"/>
      </w:pPr>
      <w:r>
        <w:rPr>
          <w:bCs/>
          <w:b/>
        </w:rPr>
        <w:t xml:space="preserve">Decreto de Necesidad y Urgencia 941/2025 — Creación del Centro Nacional de Ciberseguridad.</w:t>
      </w:r>
      <w:r>
        <w:t xml:space="preserve"> Publicado el 2 de enero de 2026, crea el Centro Nacional de Ciberseguridad (CNC) como organismo descentralizado en la órbita de la Secretaría de Innovación, Ciencia y Tecnología de la Jefatura de Gabinete de Ministros. El CNC queda constituido como autoridad nacional en materia de ciberseguridad, con competencia sobre la protección de infraestructuras críticas, el monitoreo y respuesta ante incidentes del Sector Público Nacional y la conducción del CERT nacional. El decreto separa formalmente las funciones de ciberseguridad de las de ciberinteligencia. Su relevancia para la tesis radica en consolidar la autoridad técnica nacional ante la cual podrían eventualmente reportarse incidentes detectados por sistemas como el aquí propuesto.</w:t>
      </w:r>
    </w:p>
    <w:p>
      <w:pPr>
        <w:pStyle w:val="BodyText"/>
      </w:pPr>
      <w:r>
        <w:t>Decreto 92/2026 — Designación de Autoridades del CNC. Publicado el 9 de febrero de 2026, designó formalmente al doctor Ariel Waissbein como Director Ejecutivo del Centro Nacional de Ciberseguridad y al señor Ezequiel Gutesman como Subdirector Ejecutivo, dando cumplimiento al artículo 25 del Decreto 941/2025 y activando operativamente el organismo (Poder Ejecutivo Nacional, 2026).</w:t>
      </w:r>
    </w:p>
    <w:p>
      <w:r>
        <w:br w:type="page"/>
      </w:r>
    </w:p>
    <w:bookmarkEnd w:id="141"/>
    <w:bookmarkEnd w:id="142"/>
    <w:bookmarkStart w:id="149" w:name="capítulo-11.-referencias-bibliográficas"/>
    <w:p>
      <w:pPr>
        <w:pStyle w:val="Heading1"/>
      </w:pPr>
      <w:r>
        <w:rPr>
          <w:bCs/>
          <w:b/>
        </w:rPr>
        <w:t xml:space="preserve">CAPÍTULO 11. REFERENCIAS BIBLIOGRÁFICAS</w:t>
      </w:r>
    </w:p>
    <w:p>
      <w:pPr>
        <w:pStyle w:val="FirstParagraph"/>
      </w:pPr>
      <w:r>
        <w:t>Las referencias se presentan en una única lista alfabética conforme a APA 7.ª edición. Se conserva únicamente la información respaldada por la auditoría bibliográfica; los documentos dinámicos se identifican sin fecha y con fecha de recuperación cuando corresponde.</w:t>
      </w:r>
    </w:p>
    <w:bookmarkStart w:id="143" w:name="normativa-argentina"/>
    <w:p>
      <w:pPr>
        <w:ind w:left="720" w:hanging="720"/>
        <w:spacing w:before="0" w:after="0" w:line="480" w:lineRule="auto"/>
      </w:pPr>
      <w:r>
        <w:t xml:space="preserve">Agencia de Acceso a la Información Pública. (2018). </w:t>
      </w:r>
      <w:r>
        <w:rPr>
          <w:i/>
        </w:rPr>
        <w:t>Resolución 47/2018: Medidas de seguridad recomendadas para el tratamiento y conservación de los datos personales en medios informatizados</w:t>
      </w:r>
      <w:r>
        <w:t>. Boletín Oficial de la República Argentina. https://www.argentina.gob.ar/normativa/nacional/resoluci%C3%B3n-47-2018-312662/texto</w:t>
      </w:r>
    </w:p>
    <w:p>
      <w:pPr>
        <w:ind w:left="720" w:hanging="720"/>
        <w:spacing w:before="0" w:after="0" w:line="480" w:lineRule="auto"/>
      </w:pPr>
      <w:r>
        <w:t xml:space="preserve">Agencia de Acceso a la Información Pública. (2024). </w:t>
      </w:r>
      <w:r>
        <w:rPr>
          <w:i/>
        </w:rPr>
        <w:t>Resolución 126/2024: Clasificación de las conductas punibles y graduación de las sanciones bajo la Ley 25.326</w:t>
      </w:r>
      <w:r>
        <w:t>. Boletín Oficial de la República Argentina. https://www.argentina.gob.ar/normativa/nacional/resoluci%C3%B3n-126-2024-399750</w:t>
      </w:r>
    </w:p>
    <w:p>
      <w:pPr>
        <w:ind w:left="720" w:hanging="720"/>
        <w:spacing w:before="0" w:after="0" w:line="480" w:lineRule="auto"/>
      </w:pPr>
      <w:r>
        <w:t xml:space="preserve">AIDE Project. (s. f.). </w:t>
      </w:r>
      <w:r>
        <w:rPr>
          <w:i/>
        </w:rPr>
        <w:t>AIDE manual</w:t>
      </w:r>
      <w:r>
        <w:t xml:space="preserve"> (versión 0.16.2). https://aide.github.io/doc/</w:t>
      </w:r>
    </w:p>
    <w:p>
      <w:pPr>
        <w:ind w:left="720" w:hanging="720"/>
        <w:spacing w:before="0" w:after="0" w:line="480" w:lineRule="auto"/>
      </w:pPr>
      <w:r>
        <w:t xml:space="preserve">Biryukov, A., Dinu, D., Khovratovich, D., &amp; Josefsson, S. (2021). </w:t>
      </w:r>
      <w:r>
        <w:rPr>
          <w:i/>
        </w:rPr>
        <w:t>Argon2 memory-hard function for password hashing and proof-of-work applications</w:t>
      </w:r>
      <w:r>
        <w:t xml:space="preserve"> (RFC 9106). Internet Engineering Task Force. https://www.rfc-editor.org/rfc/rfc9106</w:t>
      </w:r>
    </w:p>
    <w:p>
      <w:pPr>
        <w:ind w:left="720" w:hanging="720"/>
        <w:spacing w:before="0" w:after="0" w:line="480" w:lineRule="auto"/>
      </w:pPr>
      <w:r>
        <w:t xml:space="preserve">Centro Nacional de Ciberseguridad. (2026). </w:t>
      </w:r>
      <w:r>
        <w:rPr>
          <w:i/>
        </w:rPr>
        <w:t>Disposición 1/2026: Reglamento técnico en materia de políticas de contingencia, planes de contingencia y centros de procesamiento de datos alternativos</w:t>
      </w:r>
      <w:r>
        <w:t>. Boletín Oficial de la República Argentina. https://www.argentina.gob.ar/normativa/nacional/disposici%C3%B3n-1-2026-425749/texto</w:t>
      </w:r>
    </w:p>
    <w:p>
      <w:pPr>
        <w:ind w:left="720" w:hanging="720"/>
        <w:spacing w:before="0" w:after="0" w:line="480" w:lineRule="auto"/>
      </w:pPr>
      <w:r>
        <w:t xml:space="preserve">Cichonski, P., Millar, T., Grance, T., &amp; Scarfone, K. (2012). </w:t>
      </w:r>
      <w:r>
        <w:rPr>
          <w:i/>
        </w:rPr>
        <w:t>Computer security incident handling guide</w:t>
      </w:r>
      <w:r>
        <w:t xml:space="preserve"> (NIST Special Publication 800-61 Rev. 2). National Institute of Standards and Technology. https://doi.org/10.6028/NIST.SP.800-61r2</w:t>
      </w:r>
    </w:p>
    <w:p>
      <w:pPr>
        <w:ind w:left="720" w:hanging="720"/>
        <w:spacing w:before="0" w:after="0" w:line="480" w:lineRule="auto"/>
      </w:pPr>
      <w:r>
        <w:t xml:space="preserve">Cilium Authors. (s. f.). </w:t>
      </w:r>
      <w:r>
        <w:rPr>
          <w:i/>
        </w:rPr>
        <w:t>Tetragon documentation</w:t>
      </w:r>
      <w:r>
        <w:t>. Recuperado el 11 de septiembre de 2026, de https://tetragon.io/docs/</w:t>
      </w:r>
    </w:p>
    <w:p>
      <w:pPr>
        <w:ind w:left="720" w:hanging="720"/>
        <w:spacing w:before="0" w:after="0" w:line="480" w:lineRule="auto"/>
      </w:pPr>
      <w:r>
        <w:t xml:space="preserve">Cloud Native Computing Foundation. (2024, 29 de febrero). </w:t>
      </w:r>
      <w:r>
        <w:rPr>
          <w:i/>
        </w:rPr>
        <w:t>Cloud Native Computing Foundation announces Falco graduation</w:t>
      </w:r>
      <w:r>
        <w:t>. https://www.cncf.io/announcements/2024/02/29/cloud-native-computing-foundation-announces-falco-graduation/</w:t>
      </w:r>
    </w:p>
    <w:p>
      <w:pPr>
        <w:ind w:left="720" w:hanging="720"/>
        <w:spacing w:before="0" w:after="0" w:line="480" w:lineRule="auto"/>
      </w:pPr>
      <w:r>
        <w:t xml:space="preserve">Cybersecurity and Infrastructure Security Agency. (2024, 29 de marzo). </w:t>
      </w:r>
      <w:r>
        <w:rPr>
          <w:i/>
        </w:rPr>
        <w:t>Reported supply chain compromise affecting XZ Utils data compression library, CVE-2024-3094</w:t>
      </w:r>
      <w:r>
        <w:t>. https://www.cisa.gov/news-events/alerts/2024/03/29/reported-supply-chain-compromise-affecting-xz-utils-data-compression-library-cve-2024-3094</w:t>
      </w:r>
    </w:p>
    <w:p>
      <w:pPr>
        <w:ind w:left="720" w:hanging="720"/>
        <w:spacing w:before="0" w:after="0" w:line="480" w:lineRule="auto"/>
      </w:pPr>
      <w:r>
        <w:t xml:space="preserve">FastAPI. (s. f.). </w:t>
      </w:r>
      <w:r>
        <w:rPr>
          <w:i/>
        </w:rPr>
        <w:t>FastAPI documentation</w:t>
      </w:r>
      <w:r>
        <w:t>. Recuperado el 11 de septiembre de 2026, de https://fastapi.tiangolo.com/</w:t>
      </w:r>
    </w:p>
    <w:p>
      <w:pPr>
        <w:ind w:left="720" w:hanging="720"/>
        <w:spacing w:before="0" w:after="0" w:line="480" w:lineRule="auto"/>
      </w:pPr>
      <w:r>
        <w:t xml:space="preserve">Freund, A. (2024, 29 de marzo). Backdoor in upstream xz/liblzma leading to ssh server compromise [Mensaje en lista de correo]. </w:t>
      </w:r>
      <w:r>
        <w:rPr>
          <w:i/>
        </w:rPr>
        <w:t>oss-security</w:t>
      </w:r>
      <w:r>
        <w:t>. https://www.openwall.com/lists/oss-security/2024/03/29/4</w:t>
      </w:r>
    </w:p>
    <w:p>
      <w:pPr>
        <w:ind w:left="720" w:hanging="720"/>
        <w:spacing w:before="0" w:after="0" w:line="480" w:lineRule="auto"/>
      </w:pPr>
      <w:r>
        <w:t xml:space="preserve">Hevner, A. R., March, S. T., Park, J., &amp; Ram, S. (2004). Design science in information systems research. </w:t>
      </w:r>
      <w:r>
        <w:rPr>
          <w:i/>
        </w:rPr>
        <w:t>MIS Quarterly, 28</w:t>
      </w:r>
      <w:r>
        <w:t>(1), 75–105. https://doi.org/10.2307/25148625</w:t>
      </w:r>
    </w:p>
    <w:p>
      <w:pPr>
        <w:ind w:left="720" w:hanging="720"/>
        <w:spacing w:before="0" w:after="0" w:line="480" w:lineRule="auto"/>
      </w:pPr>
      <w:r>
        <w:t xml:space="preserve">Honorable Congreso de la Nación Argentina. (2000). </w:t>
      </w:r>
      <w:r>
        <w:rPr>
          <w:i/>
        </w:rPr>
        <w:t>Ley 25.326 de Protección de los Datos Personales</w:t>
      </w:r>
      <w:r>
        <w:t>. Boletín Oficial de la República Argentina. https://www.argentina.gob.ar/normativa/nacional/ley-25326-64790/texto</w:t>
      </w:r>
    </w:p>
    <w:p>
      <w:pPr>
        <w:ind w:left="720" w:hanging="720"/>
        <w:spacing w:before="0" w:after="0" w:line="480" w:lineRule="auto"/>
      </w:pPr>
      <w:r>
        <w:t xml:space="preserve">Honorable Congreso de la Nación Argentina. (2008). </w:t>
      </w:r>
      <w:r>
        <w:rPr>
          <w:i/>
        </w:rPr>
        <w:t>Ley 26.388 de Delitos Informáticos</w:t>
      </w:r>
      <w:r>
        <w:t>. Boletín Oficial de la República Argentina. https://www.argentina.gob.ar/normativa/nacional/ley-26388-141790</w:t>
      </w:r>
    </w:p>
    <w:p>
      <w:pPr>
        <w:ind w:left="720" w:hanging="720"/>
        <w:spacing w:before="0" w:after="0" w:line="480" w:lineRule="auto"/>
      </w:pPr>
      <w:r>
        <w:t xml:space="preserve">IBM Security. (2024). </w:t>
      </w:r>
      <w:r>
        <w:rPr>
          <w:i/>
        </w:rPr>
        <w:t>X-Force Threat Intelligence Index 2024</w:t>
      </w:r>
      <w:r>
        <w:t>. IBM. https://www.ibm.com/think/x-force/2024-x-force-threat-intelligence-index</w:t>
      </w:r>
    </w:p>
    <w:p>
      <w:pPr>
        <w:ind w:left="720" w:hanging="720"/>
        <w:spacing w:before="0" w:after="0" w:line="480" w:lineRule="auto"/>
      </w:pPr>
      <w:r>
        <w:t xml:space="preserve">International Organization for Standardization. (2022). </w:t>
      </w:r>
      <w:r>
        <w:rPr>
          <w:i/>
        </w:rPr>
        <w:t>ISO/IEC 27002:2022—Information security, cybersecurity and privacy protection—Information security controls</w:t>
      </w:r>
      <w:r>
        <w:t>. https://www.iso.org/standard/75652.html</w:t>
      </w:r>
    </w:p>
    <w:p>
      <w:pPr>
        <w:ind w:left="720" w:hanging="720"/>
        <w:spacing w:before="0" w:after="0" w:line="480" w:lineRule="auto"/>
      </w:pPr>
      <w:r>
        <w:t xml:space="preserve">Jefatura de Gabinete de Ministros. (2021). </w:t>
      </w:r>
      <w:r>
        <w:rPr>
          <w:i/>
        </w:rPr>
        <w:t>Decisión Administrativa 641/2021: Requisitos mínimos de seguridad de la información para organismos del Sector Público Nacional</w:t>
      </w:r>
      <w:r>
        <w:t>. Boletín Oficial de la República Argentina. https://www.argentina.gob.ar/normativa/nacional/decisi%C3%B3n_administrativa-641-2021-351345</w:t>
      </w:r>
    </w:p>
    <w:p>
      <w:pPr>
        <w:ind w:left="720" w:hanging="720"/>
        <w:spacing w:before="0" w:after="0" w:line="480" w:lineRule="auto"/>
      </w:pPr>
      <w:r>
        <w:t xml:space="preserve">Joint Task Force. (2020). </w:t>
      </w:r>
      <w:r>
        <w:rPr>
          <w:i/>
        </w:rPr>
        <w:t>Security and privacy controls for information systems and organizations</w:t>
      </w:r>
      <w:r>
        <w:t xml:space="preserve"> (NIST Special Publication 800-53 Rev. 5). National Institute of Standards and Technology. https://doi.org/10.6028/NIST.SP.800-53r5</w:t>
      </w:r>
    </w:p>
    <w:p>
      <w:pPr>
        <w:ind w:left="720" w:hanging="720"/>
        <w:spacing w:before="0" w:after="0" w:line="480" w:lineRule="auto"/>
      </w:pPr>
      <w:r>
        <w:t xml:space="preserve">Kim, G. H., &amp; Spafford, E. H. (1994). The design and implementation of Tripwire: A file system integrity checker. En </w:t>
      </w:r>
      <w:r>
        <w:rPr>
          <w:i/>
        </w:rPr>
        <w:t>Proceedings of the 2nd ACM Conference on Computer and Communications Security</w:t>
      </w:r>
      <w:r>
        <w:t xml:space="preserve"> (pp. 18–29). Association for Computing Machinery. https://doi.org/10.1145/191177.191183</w:t>
      </w:r>
    </w:p>
    <w:p>
      <w:pPr>
        <w:ind w:left="720" w:hanging="720"/>
        <w:spacing w:before="0" w:after="0" w:line="480" w:lineRule="auto"/>
      </w:pPr>
      <w:r>
        <w:t xml:space="preserve">Krawczyk, H., &amp; Eronen, P. (2010). </w:t>
      </w:r>
      <w:r>
        <w:rPr>
          <w:i/>
        </w:rPr>
        <w:t>HMAC-based extract-and-expand key derivation function (HKDF)</w:t>
      </w:r>
      <w:r>
        <w:t xml:space="preserve"> (RFC 5869). Internet Engineering Task Force. https://www.rfc-editor.org/rfc/rfc5869</w:t>
      </w:r>
    </w:p>
    <w:p>
      <w:pPr>
        <w:ind w:left="720" w:hanging="720"/>
        <w:spacing w:before="0" w:after="0" w:line="480" w:lineRule="auto"/>
      </w:pPr>
      <w:r>
        <w:t xml:space="preserve">Leurent, G., &amp; Peyrin, T. (2020). SHA-1 is a shambles: First chosen-prefix collision on SHA-1 and application to the PGP web of trust. En </w:t>
      </w:r>
      <w:r>
        <w:rPr>
          <w:i/>
        </w:rPr>
        <w:t>29th USENIX Security Symposium (USENIX Security 20)</w:t>
      </w:r>
      <w:r>
        <w:t xml:space="preserve"> (pp. 1839–1856). USENIX Association. https://www.usenix.org/conference/usenixsecurity20/presentation/leurent</w:t>
      </w:r>
    </w:p>
    <w:p>
      <w:pPr>
        <w:ind w:left="720" w:hanging="720"/>
        <w:spacing w:before="0" w:after="0" w:line="480" w:lineRule="auto"/>
      </w:pPr>
      <w:r>
        <w:t xml:space="preserve">Linux man-pages project. (2026a). </w:t>
      </w:r>
      <w:r>
        <w:rPr>
          <w:i/>
        </w:rPr>
        <w:t>fanotify_init(2)—Create and initialize fanotify group</w:t>
      </w:r>
      <w:r>
        <w:t xml:space="preserve"> (Linux man-pages 6.19). https://man7.org/linux/man-pages/man2/fanotify_init.2.html</w:t>
      </w:r>
    </w:p>
    <w:p>
      <w:pPr>
        <w:ind w:left="720" w:hanging="720"/>
        <w:spacing w:before="0" w:after="0" w:line="480" w:lineRule="auto"/>
      </w:pPr>
      <w:r>
        <w:t xml:space="preserve">Linux man-pages project. (2026b). </w:t>
      </w:r>
      <w:r>
        <w:rPr>
          <w:i/>
        </w:rPr>
        <w:t>fanotify_mark(2)—Add, remove, or modify a fanotify mark on a filesystem object</w:t>
      </w:r>
      <w:r>
        <w:t xml:space="preserve"> (Linux man-pages 6.19). https://man7.org/linux/man-pages/man2/fanotify_mark.2.html</w:t>
      </w:r>
    </w:p>
    <w:p>
      <w:pPr>
        <w:ind w:left="720" w:hanging="720"/>
        <w:spacing w:before="0" w:after="0" w:line="480" w:lineRule="auto"/>
      </w:pPr>
      <w:r>
        <w:t xml:space="preserve">Linux man-pages project. (2026c). </w:t>
      </w:r>
      <w:r>
        <w:rPr>
          <w:i/>
        </w:rPr>
        <w:t>inotify(7)—Monitoring filesystem events</w:t>
      </w:r>
      <w:r>
        <w:t xml:space="preserve"> (Linux man-pages 6.19). https://man7.org/linux/man-pages/man7/inotify.7.html</w:t>
      </w:r>
    </w:p>
    <w:p>
      <w:pPr>
        <w:ind w:left="720" w:hanging="720"/>
        <w:spacing w:before="0" w:after="0" w:line="480" w:lineRule="auto"/>
      </w:pPr>
      <w:r>
        <w:t xml:space="preserve">Mandiant. (2024). </w:t>
      </w:r>
      <w:r>
        <w:rPr>
          <w:i/>
        </w:rPr>
        <w:t>M-Trends 2024: Special report</w:t>
      </w:r>
      <w:r>
        <w:t>. Google Cloud. https://cloud.google.com/blog/topics/threat-intelligence/m-trends-2024</w:t>
      </w:r>
    </w:p>
    <w:p>
      <w:pPr>
        <w:ind w:left="720" w:hanging="720"/>
        <w:spacing w:before="0" w:after="0" w:line="480" w:lineRule="auto"/>
      </w:pPr>
      <w:r>
        <w:t xml:space="preserve">McNemar, Q. (1947). Note on the sampling error of the difference between correlated proportions or percentages. </w:t>
      </w:r>
      <w:r>
        <w:rPr>
          <w:i/>
        </w:rPr>
        <w:t>Psychometrika, 12</w:t>
      </w:r>
      <w:r>
        <w:t>(2), 153–157. https://doi.org/10.1007/BF02295996</w:t>
      </w:r>
    </w:p>
    <w:p>
      <w:pPr>
        <w:ind w:left="720" w:hanging="720"/>
        <w:spacing w:before="0" w:after="0" w:line="480" w:lineRule="auto"/>
      </w:pPr>
      <w:r>
        <w:t xml:space="preserve">National Institute of Standards and Technology. (2015). </w:t>
      </w:r>
      <w:r>
        <w:rPr>
          <w:i/>
        </w:rPr>
        <w:t>Secure Hash Standard (SHS)</w:t>
      </w:r>
      <w:r>
        <w:t xml:space="preserve"> (FIPS PUB 180-4). https://doi.org/10.6028/NIST.FIPS.180-4</w:t>
      </w:r>
    </w:p>
    <w:p>
      <w:pPr>
        <w:ind w:left="720" w:hanging="720"/>
        <w:spacing w:before="0" w:after="0" w:line="480" w:lineRule="auto"/>
      </w:pPr>
      <w:r>
        <w:t xml:space="preserve">Nelson, A., Rekhi, S., Souppaya, M., &amp; Scarfone, K. (2025). </w:t>
      </w:r>
      <w:r>
        <w:rPr>
          <w:i/>
        </w:rPr>
        <w:t>Incident response recommendations and considerations for cybersecurity risk management: A CSF 2.0 community profile</w:t>
      </w:r>
      <w:r>
        <w:t xml:space="preserve"> (NIST Special Publication 800-61 Rev. 3). National Institute of Standards and Technology. https://doi.org/10.6028/NIST.SP.800-61r3</w:t>
      </w:r>
    </w:p>
    <w:p>
      <w:pPr>
        <w:ind w:left="720" w:hanging="720"/>
        <w:spacing w:before="0" w:after="0" w:line="480" w:lineRule="auto"/>
      </w:pPr>
      <w:r>
        <w:t xml:space="preserve">Newcombe, R. G. (1998). Improved confidence intervals for the difference between binomial proportions based on paired data. </w:t>
      </w:r>
      <w:r>
        <w:rPr>
          <w:i/>
        </w:rPr>
        <w:t>Statistics in Medicine, 17</w:t>
      </w:r>
      <w:r>
        <w:t>(22), 2635–2650. https://doi.org/10.1002/%28SICI%291097-0258%2819981130%2917%3A22%3C2635%3A%3AAID-SIM954%3E3.0.CO%3B2-C</w:t>
      </w:r>
    </w:p>
    <w:p>
      <w:pPr>
        <w:ind w:left="720" w:hanging="720"/>
        <w:spacing w:before="0" w:after="0" w:line="480" w:lineRule="auto"/>
      </w:pPr>
      <w:r>
        <w:t xml:space="preserve">n8n. (s. f.-a). </w:t>
      </w:r>
      <w:r>
        <w:rPr>
          <w:i/>
        </w:rPr>
        <w:t>n8n documentation</w:t>
      </w:r>
      <w:r>
        <w:t>. Recuperado el 11 de septiembre de 2026, de https://docs.n8n.io/</w:t>
      </w:r>
    </w:p>
    <w:p>
      <w:pPr>
        <w:ind w:left="720" w:hanging="720"/>
        <w:spacing w:before="0" w:after="0" w:line="480" w:lineRule="auto"/>
      </w:pPr>
      <w:r>
        <w:t xml:space="preserve">n8n. (s. f.-b). </w:t>
      </w:r>
      <w:r>
        <w:rPr>
          <w:i/>
        </w:rPr>
        <w:t>Sustainable Use License</w:t>
      </w:r>
      <w:r>
        <w:t>. Recuperado el 11 de septiembre de 2026, de https://docs.n8n.io/n8n-community-license/sustainable-use-license.md</w:t>
      </w:r>
    </w:p>
    <w:p>
      <w:pPr>
        <w:ind w:left="720" w:hanging="720"/>
        <w:spacing w:before="0" w:after="0" w:line="480" w:lineRule="auto"/>
      </w:pPr>
      <w:r>
        <w:t xml:space="preserve">PCI Security Standards Council. (2022). </w:t>
      </w:r>
      <w:r>
        <w:rPr>
          <w:i/>
        </w:rPr>
        <w:t>Payment Card Industry Data Security Standard: Requirements and testing procedures</w:t>
      </w:r>
      <w:r>
        <w:t xml:space="preserve"> (versión 4.0). https://blog.pcisecuritystandards.org/pci-dss-v4-0-resource-hub</w:t>
      </w:r>
    </w:p>
    <w:p>
      <w:pPr>
        <w:ind w:left="720" w:hanging="720"/>
        <w:spacing w:before="0" w:after="0" w:line="480" w:lineRule="auto"/>
      </w:pPr>
      <w:r>
        <w:t xml:space="preserve">Peddoju, S. K., Upadhyay, H., &amp; Lagos, L. (2020). File integrity monitoring tools: Issues, challenges, and solutions. </w:t>
      </w:r>
      <w:r>
        <w:rPr>
          <w:i/>
        </w:rPr>
        <w:t>Concurrency and Computation: Practice and Experience, 32</w:t>
      </w:r>
      <w:r>
        <w:t>(22), e5825. https://doi.org/10.1002/cpe.5825</w:t>
      </w:r>
    </w:p>
    <w:p>
      <w:pPr>
        <w:ind w:left="720" w:hanging="720"/>
        <w:spacing w:before="0" w:after="0" w:line="480" w:lineRule="auto"/>
      </w:pPr>
      <w:r>
        <w:t xml:space="preserve">Peffers, K., Tuunanen, T., Rothenberger, M. A., &amp; Chatterjee, S. (2007). A design science research methodology for information systems research. </w:t>
      </w:r>
      <w:r>
        <w:rPr>
          <w:i/>
        </w:rPr>
        <w:t>Journal of Management Information Systems, 24</w:t>
      </w:r>
      <w:r>
        <w:t>(3), 45–77. https://doi.org/10.2753/MIS0742-1222240302</w:t>
      </w:r>
    </w:p>
    <w:p>
      <w:pPr>
        <w:ind w:left="720" w:hanging="720"/>
        <w:spacing w:before="0" w:after="0" w:line="480" w:lineRule="auto"/>
      </w:pPr>
      <w:r>
        <w:t xml:space="preserve">Poder Ejecutivo Nacional. (2025). </w:t>
      </w:r>
      <w:r>
        <w:rPr>
          <w:i/>
        </w:rPr>
        <w:t>Decreto de Necesidad y Urgencia 941/2025: Modificación de la Ley 25.520 y creación del Centro Nacional de Ciberseguridad</w:t>
      </w:r>
      <w:r>
        <w:t>. Boletín Oficial de la República Argentina. https://www.argentina.gob.ar/normativa/nacional/decreto-941-2025-422011/texto</w:t>
      </w:r>
    </w:p>
    <w:p>
      <w:pPr>
        <w:ind w:left="720" w:hanging="720"/>
        <w:spacing w:before="0" w:after="0" w:line="480" w:lineRule="auto"/>
      </w:pPr>
      <w:r>
        <w:t xml:space="preserve">Poder Ejecutivo Nacional. (2026). </w:t>
      </w:r>
      <w:r>
        <w:rPr>
          <w:i/>
        </w:rPr>
        <w:t>Decreto 92/2026: Designación de autoridades del Centro Nacional de Ciberseguridad</w:t>
      </w:r>
      <w:r>
        <w:t>. Boletín Oficial de la República Argentina. https://www.argentina.gob.ar/normativa/nacional/decreto-92-2026-423015</w:t>
      </w:r>
    </w:p>
    <w:p>
      <w:pPr>
        <w:ind w:left="720" w:hanging="720"/>
        <w:spacing w:before="0" w:after="0" w:line="480" w:lineRule="auto"/>
      </w:pPr>
      <w:r>
        <w:t xml:space="preserve">PostgreSQL Global Development Group. (s. f.). </w:t>
      </w:r>
      <w:r>
        <w:rPr>
          <w:i/>
        </w:rPr>
        <w:t>PostgreSQL 18 documentation</w:t>
      </w:r>
      <w:r>
        <w:t>. Recuperado el 11 de septiembre de 2026, de https://www.postgresql.org/docs/18/</w:t>
      </w:r>
    </w:p>
    <w:p>
      <w:pPr>
        <w:ind w:left="720" w:hanging="720"/>
        <w:spacing w:before="0" w:after="0" w:line="480" w:lineRule="auto"/>
      </w:pPr>
      <w:r>
        <w:t xml:space="preserve">Python Software Foundation. (s. f.). </w:t>
      </w:r>
      <w:r>
        <w:rPr>
          <w:i/>
        </w:rPr>
        <w:t>Python 3.12 documentation: hashlib—Secure hashes and message digests</w:t>
      </w:r>
      <w:r>
        <w:t>. Recuperado el 11 de septiembre de 2026, de https://docs.python.org/3.12/library/hashlib.html</w:t>
      </w:r>
    </w:p>
    <w:p>
      <w:pPr>
        <w:ind w:left="720" w:hanging="720"/>
        <w:spacing w:before="0" w:after="0" w:line="480" w:lineRule="auto"/>
      </w:pPr>
      <w:r>
        <w:t xml:space="preserve">Rescorla, E. (2018). </w:t>
      </w:r>
      <w:r>
        <w:rPr>
          <w:i/>
        </w:rPr>
        <w:t>The Transport Layer Security (TLS) protocol version 1.3</w:t>
      </w:r>
      <w:r>
        <w:t xml:space="preserve"> (RFC 8446). Internet Engineering Task Force. https://www.rfc-editor.org/rfc/rfc8446</w:t>
      </w:r>
    </w:p>
    <w:p>
      <w:pPr>
        <w:ind w:left="720" w:hanging="720"/>
        <w:spacing w:before="0" w:after="0" w:line="480" w:lineRule="auto"/>
      </w:pPr>
      <w:r>
        <w:t xml:space="preserve">Rose, S., Borchert, O., Mitchell, S., &amp; Connelly, S. (2020). </w:t>
      </w:r>
      <w:r>
        <w:rPr>
          <w:i/>
        </w:rPr>
        <w:t>Zero trust architecture</w:t>
      </w:r>
      <w:r>
        <w:t xml:space="preserve"> (NIST Special Publication 800-207). National Institute of Standards and Technology. https://doi.org/10.6028/NIST.SP.800-207</w:t>
      </w:r>
    </w:p>
    <w:p>
      <w:pPr>
        <w:ind w:left="720" w:hanging="720"/>
        <w:spacing w:before="0" w:after="0" w:line="480" w:lineRule="auto"/>
      </w:pPr>
      <w:r>
        <w:t xml:space="preserve">Secretaría de Innovación Pública. (2023). </w:t>
      </w:r>
      <w:r>
        <w:rPr>
          <w:i/>
        </w:rPr>
        <w:t>Resolución 44/2023: Segunda Estrategia Nacional de Ciberseguridad</w:t>
      </w:r>
      <w:r>
        <w:t>. Boletín Oficial de la República Argentina. https://www.argentina.gob.ar/normativa/nacional/resoluci%C3%B3n-44-2023-389245</w:t>
      </w:r>
    </w:p>
    <w:p>
      <w:pPr>
        <w:ind w:left="720" w:hanging="720"/>
        <w:spacing w:before="0" w:after="0" w:line="480" w:lineRule="auto"/>
      </w:pPr>
      <w:r>
        <w:t xml:space="preserve">The Falco Authors. (2026). </w:t>
      </w:r>
      <w:r>
        <w:rPr>
          <w:i/>
        </w:rPr>
        <w:t>Falco documentation</w:t>
      </w:r>
      <w:r>
        <w:t>. https://falco.org/docs/</w:t>
      </w:r>
    </w:p>
    <w:p>
      <w:pPr>
        <w:ind w:left="720" w:hanging="720"/>
        <w:spacing w:before="0" w:after="0" w:line="480" w:lineRule="auto"/>
      </w:pPr>
      <w:r>
        <w:t xml:space="preserve">Valkey Contributors. (s. f.). </w:t>
      </w:r>
      <w:r>
        <w:rPr>
          <w:i/>
        </w:rPr>
        <w:t>Valkey documentation</w:t>
      </w:r>
      <w:r>
        <w:t>. Recuperado el 11 de septiembre de 2026, de https://valkey.io/docs/</w:t>
      </w:r>
    </w:p>
    <w:p>
      <w:pPr>
        <w:ind w:left="720" w:hanging="720"/>
        <w:spacing w:before="0" w:after="0" w:line="480" w:lineRule="auto"/>
      </w:pPr>
      <w:r>
        <w:t xml:space="preserve">Verizon Business. (2024). </w:t>
      </w:r>
      <w:r>
        <w:rPr>
          <w:i/>
        </w:rPr>
        <w:t>2024 Data Breach Investigations Report</w:t>
      </w:r>
      <w:r>
        <w:t>. Verizon. https://www.verizon.com/business/resources/reports/2024-dbir-data-breach-investigations-report.pdf</w:t>
      </w:r>
    </w:p>
    <w:p>
      <w:pPr>
        <w:ind w:left="720" w:hanging="720"/>
        <w:spacing w:before="0" w:after="0" w:line="480" w:lineRule="auto"/>
      </w:pPr>
      <w:r>
        <w:t xml:space="preserve">Wazuh Inc. (s. f.). </w:t>
      </w:r>
      <w:r>
        <w:rPr>
          <w:i/>
        </w:rPr>
        <w:t>File integrity monitoring</w:t>
      </w:r>
      <w:r>
        <w:t>. Recuperado el 11 de septiembre de 2026, de https://documentation.wazuh.com/current/learning-wazuh/detect-fs-changes.html</w:t>
      </w:r>
    </w:p>
    <w:p>
      <w:pPr>
        <w:ind w:left="720" w:hanging="720"/>
        <w:spacing w:before="0" w:after="0" w:line="480" w:lineRule="auto"/>
      </w:pPr>
      <w:r>
        <w:t xml:space="preserve">Wieringa, R. J. (2014). </w:t>
      </w:r>
      <w:r>
        <w:rPr>
          <w:i/>
        </w:rPr>
        <w:t>Design science methodology for information systems and software engineering</w:t>
      </w:r>
      <w:r>
        <w:t>. Springer. https://doi.org/10.1007/978-3-662-43839-8</w:t>
      </w:r>
    </w:p>
    <w:p>
      <w:pPr>
        <w:ind w:left="720" w:hanging="720"/>
        <w:spacing w:before="0" w:after="0" w:line="480" w:lineRule="auto"/>
      </w:pPr>
      <w:r>
        <w:t xml:space="preserve">Wohlin, C., Runeson, P., Höst, M., Ohlsson, M. C., Regnell, B., &amp; Wesslén, A. (2012). </w:t>
      </w:r>
      <w:r>
        <w:rPr>
          <w:i/>
        </w:rPr>
        <w:t>Experimentation in software engineering</w:t>
      </w:r>
      <w:r>
        <w:t>. Springer. https://doi.org/10.1007/978-3-642-29044-2</w:t>
      </w:r>
    </w:p>
    <w:p>
      <w:pPr>
        <w:pStyle w:val="Heading1"/>
      </w:pPr>
      <w:r>
        <w:rPr>
          <w:bCs/>
          <w:b/>
        </w:rPr>
        <w:t xml:space="preserve">CAPÍTULO 12. ANEXOS</w:t>
      </w:r>
    </w:p>
    <w:p>
      <w:pPr>
        <w:pStyle w:val="FirstParagraph"/>
      </w:pPr>
      <w:r>
        <w:t xml:space="preserve">Los anexos cumplen funciones diferenciadas: A–E describen flujos, persistencia y despliegue; F localiza código y evidencia reproducible; G enumera el backlog; y H presenta la organización de componentes. Complementan los capítulos centrales, pero no sustituyen los criterios de aceptación, métodos ni resultados allí delimitados.</w:t>
      </w:r>
    </w:p>
    <w:bookmarkStart w:id="150" w:name="Xe2d5701c2e8c6afe7878e1209a3796a16f16285"/>
    <w:p>
      <w:pPr>
        <w:pStyle w:val="Heading2"/>
      </w:pPr>
      <w:r>
        <w:rPr>
          <w:bCs/>
          <w:b/>
        </w:rPr>
        <w:t xml:space="preserve">Anexo A. Flujo de procesamiento del agente</w:t>
      </w:r>
    </w:p>
    <w:p>
      <w:pPr>
        <w:pStyle w:val="FirstParagraph"/>
      </w:pPr>
      <w:r>
        <w:t xml:space="preserve">El presente anexo describe en detalle secuencial el flujo operativo del agente, complementando la exposición del apartado 4.3 con granularidad adicional sobre los puntos de sincronización. El flujo se organiza en tres fases temporales bien diferenciadas, coincidentes con las presentadas gráficamente en la Figura 3.</w:t>
      </w:r>
    </w:p>
    <w:p>
      <w:pPr>
        <w:pStyle w:val="BodyText"/>
      </w:pPr>
      <w:r>
        <w:t xml:space="preserve">Fase de arranque. El agente, al iniciarse como servicio de systemd, ejecuta secuencialmente las siguientes tareas: lectura del archivo de configuración local y de las variables de entorno; carga del secreto maestro de baseline desde el archivo protegido con permisos restrictivos; derivación de la clave de cifrado simétrico mediante HKDF-SHA256 a partir del secreto maestro, del identificador del agente y de la cadena de propósito; apertura de la baseline cifrada; rehidratación del registro de acciones previas, con procesamiento diferenciado de las entradas pendientes (que se reintentarán) y las entradas en ejecución (que se reportarán al backend como estado indeterminado); verificación de la vigencia del certificado TLS local; establecimiento de la conexión TLS mutua con el backend; consumo del stream commands para recibir configuración actualizada y nueva versión del ruleset; y finalmente configuración de fanotify con las rutas configuradas mediante marcas específicas del tipo de operación a monitorear.</w:t>
      </w:r>
    </w:p>
    <w:p>
      <w:pPr>
        <w:pStyle w:val="BodyText"/>
      </w:pPr>
      <w:r>
        <w:t xml:space="preserve">Fase de operación. Por cada evento recibido desde fanotify, el agente ejecuta: cálculo del hash SHA-256 del archivo modificado; consulta a la baseline para obtener el hash de referencia; decisión de descarte silencioso si los hashes coinciden (comportamiento que, de confirmarse como causa de las operaciones sin evento del Capítulo 5, no constituiría un falso negativo); evaluación del motor de decisión local contra las reglas cacheadas si difieren; escritura de una entrada de registro de acción previa con estado pendiente antes de ejecutar cualquier acción modificatoria; ejecución de la acción seleccionada entre las cuatro posibles; actualización del registro a completado o fallido con los detalles del resultado; y publicación del evento en el stream events de Valkey con los campos requeridos (identificador UUID, path, hash, estado, detected_at, versión del esquema de mensajes). Si el backend se encuentra indisponible, el evento se serializa al directorio de cola local con política drop-oldest al superar el umbral de cien megabytes.</w:t>
      </w:r>
    </w:p>
    <w:p>
      <w:pPr>
        <w:pStyle w:val="BodyText"/>
      </w:pPr>
      <w:r>
        <w:t xml:space="preserve">Fase de sincronización periódica. De modo continuo y paralelo al flujo principal, el agente emite latidos al stream agent_heartbeat cada diez segundos y consume del stream commands los mensajes de confirmación (event_ack) para eliminar las entradas correspondientes de la cola local. Al recibir la señal SIGTERM, transita a modo de drenaje ordenado según el protocolo descrito en el apartado 4.3.</w:t>
      </w:r>
    </w:p>
    <w:bookmarkEnd w:id="150"/>
    <w:bookmarkStart w:id="151" w:name="Xd58cdd6d629097e9c3a9de75685f6091b31eff3"/>
    <w:p>
      <w:pPr>
        <w:pStyle w:val="Heading2"/>
      </w:pPr>
      <w:r>
        <w:rPr>
          <w:bCs/>
          <w:b/>
        </w:rPr>
        <w:t xml:space="preserve">Anexo B. Flujo de aprobación humana en el backend</w:t>
      </w:r>
    </w:p>
    <w:p>
      <w:pPr>
        <w:pStyle w:val="FirstParagraph"/>
      </w:pPr>
      <w:r>
        <w:t xml:space="preserve">El flujo de aprobación humana recorre los siguientes pasos cuando el operador interactúa con un evento en estado pending. El frontend carga la lista de eventos mediante el endpoint correspondiente, que retorna cada evento con su versión actual. Cuando el operador selecciona un evento y ejecuta la acción de aprobación, el frontend envía una solicitud al backend incluyendo el identificador del evento y el número de versión que se muestra actualmente. El backend recibe la solicitud en el router correspondiente, autentica al operador mediante el token JWT,invoca el servicio de resolución del dominio de acciones y, dentro de una única transacción de base de datos, intenta actualizar el estado del evento ejecutando la sentencia SQL UPDATE con la cláusula WHERE que verifica simultáneamente el identificador, la versión esperada y el estado pending.</w:t>
      </w:r>
    </w:p>
    <w:p>
      <w:pPr>
        <w:pStyle w:val="BodyText"/>
      </w:pPr>
      <w:r>
        <w:t xml:space="preserve">Si el UPDATE afecta una fila, el caso de uso ejecuta además, dentro de la misma transacción del Unit of Work, el incremento del contador de versión del conjunto de reglas, la actualización de la entrada de baseline correspondiente al par ruta-agente con el hash que el propio evento reporta conforme al criterio expuesto en el apartado 4.4, el registro de la acción en la tabla de auditoría con el identificador del operador, y la inserción del comando baseline_update en la bandeja de salida con su payload ya firmado mediante HMAC-SHA256. Si alguna operación intermedia falla, la transacción se revierte íntegramente y se retorna error al frontend. Confirmada la transacción, el servicio practica un intento inmediato de publicación de los comandos pendientes sobre el stream; su fracaso no revierte nada, por cuanto la fila persistida garantiza el reintento posterior. La emisión de notificaciones no participa de este flujo: se origina en la ingesta del evento y se procesa de forma asíncrona conforme al apartado 4.7, decisión que evita practicar llamadas de red con reintentos dentro de una transacción abierta.</w:t>
      </w:r>
    </w:p>
    <w:p>
      <w:pPr>
        <w:pStyle w:val="BodyText"/>
      </w:pPr>
      <w:r>
        <w:t xml:space="preserve">Si el UPDATE afecta cero filas (lo que ocurre cuando otra operación alteró simultáneamente el estado o la versión del evento), el caso de uso retorna HTTP 409 con cuerpo que identifica el conflicto. El frontend traduce esta respuesta en un mensaje al operador y refresca automáticamente la lista, mostrando el nuevo estado del evento.</w:t>
      </w:r>
    </w:p>
    <w:bookmarkEnd w:id="151"/>
    <w:bookmarkStart w:id="152" w:name="X2855d74f93241ee5926989f56bb0d03de482f5c"/>
    <w:p>
      <w:pPr>
        <w:pStyle w:val="Heading2"/>
      </w:pPr>
      <w:r>
        <w:rPr>
          <w:bCs/>
          <w:b/>
        </w:rPr>
        <w:t xml:space="preserve">Anexo C. Extracto del esquema de persistencia</w:t>
      </w:r>
    </w:p>
    <w:p>
      <w:pPr>
        <w:pStyle w:val="FirstParagraph"/>
      </w:pPr>
      <w:r>
        <w:t xml:space="preserve">El presente anexo describe en lenguaje llano el esquema PostgreSQL, complementado por el script SQL completo (generado mediante pg_dump --schema-only) que se adjunta a continuación. El esquema comprende once tablas.</w:t>
      </w:r>
    </w:p>
    <w:p>
      <w:pPr>
        <w:pStyle w:val="BodyText"/>
      </w:pPr>
      <w:r>
        <w:t xml:space="preserve">La tabla events contiene el registro temporal de las modificaciones detectadas: identificador interno autoincremental, identificador de evento (event_id), identificador del agente, ruta del archivo, hash SHA-256 detectado (hash_detected) —el valor de referencia previo se obtiene por comparación contra baseline_entries en el momento del procesamiento, no se duplica en esta tabla—, estado del evento (pending, approved, rejected, superseded, auto_restored, quarantined, alert_only), número de versión para bloqueo optimista, referencia al evento padre en caso de cadena superseded, metadatos del proceso que originó la modificación (PID, UID, ejecutable), timestamps de detección/recepción/creación, y el operador y timestamp de resolución en caso de intervención humana.</w:t>
      </w:r>
    </w:p>
    <w:p>
      <w:pPr>
        <w:pStyle w:val="BodyText"/>
      </w:pPr>
      <w:r>
        <w:t xml:space="preserve">La tabla baseline_entries mantiene el estado autoritativo por ruta monitoreada: ruta, agente, hash esperado, estado (present/absent), versión de ruleset vigente y timestamp de última actualización.</w:t>
      </w:r>
    </w:p>
    <w:p>
      <w:pPr>
        <w:pStyle w:val="BodyText"/>
      </w:pPr>
      <w:r>
        <w:t xml:space="preserve">La tabla agents registra cada agente desplegado: identificador, estado (online, offline, draining, dead), último latido recibido, versión de ruleset aplicada, presión de cola (queue_pressure), credenciales de bootstrap y rutas vigiladas.</w:t>
      </w:r>
    </w:p>
    <w:p>
      <w:pPr>
        <w:pStyle w:val="BodyText"/>
      </w:pPr>
      <w:r>
        <w:t xml:space="preserve">La tabla alerts registra el ciclo de vida de cada notificación derivada de un evento: severidad, canal de entrega, timestamps de entrega o falla, último error y cantidad de reintentos.</w:t>
      </w:r>
    </w:p>
    <w:p>
      <w:pPr>
        <w:pStyle w:val="BodyText"/>
      </w:pPr>
      <w:r>
        <w:t xml:space="preserve">La tabla rules contiene el motor de reglas configurables: patrón, severidad y acción asociada (auto_restore, quarantine, manual_review, alert_only).</w:t>
      </w:r>
    </w:p>
    <w:p>
      <w:pPr>
        <w:pStyle w:val="BodyText"/>
      </w:pPr>
      <w:r>
        <w:t xml:space="preserve">La tabla audit_log, no sujeta a rotación en la versión evaluada (política de retención pendiente, apartado 4.2), registra cada acción administrativa: operador, tipo de acción, tipo y ID del recurso afectado, detalle y timestamp.</w:t>
      </w:r>
    </w:p>
    <w:p>
      <w:pPr>
        <w:pStyle w:val="BodyText"/>
      </w:pPr>
      <w:r>
        <w:t xml:space="preserve">Las tablas restantes completan el esquema: users (usuarios y credenciales del panel), published_commands (comandos emitidos hacia los agentes), rejected_events_audit (eventos descartados en el borde de ingesta, con motivo de rechazo), revoked_certificates (certificados mTLS revocados) y ruleset_version (historial de versiones del conjunto de reglas).</w:t>
      </w:r>
    </w:p>
    <w:bookmarkEnd w:id="152"/>
    <w:bookmarkStart w:id="156" w:name="Xf88ebc6aec039cba3283d59b7c8e556b46809b4"/>
    <w:p>
      <w:pPr>
        <w:pStyle w:val="Heading2"/>
      </w:pPr>
      <w:r>
        <w:rPr>
          <w:bCs/>
          <w:b/>
        </w:rPr>
        <w:t xml:space="preserve">Anexo D. Estructura del archivo Docker Compose</w:t>
      </w:r>
    </w:p>
    <w:p>
      <w:pPr>
        <w:pStyle w:val="FirstParagraph"/>
      </w:pPr>
      <w:r>
        <w:t xml:space="preserve">El archivo docker-compose.yml del servidor central define los siguientes servicios. El servicio db ejecuta la imagen oficial de PostgreSQL 18 con volumen persistente para los datos, healthcheck mediante la utilidad pg_isready, política de reinicio always, red interna exclusiva con el backend, y variables de entorno que contienen las credenciales iniciales. El servicio valkey ejecuta la imagen oficial de Valkey 9.0 con volumen persistente para los streams, healthcheck con el comando PING, y política de reinicio always.</w:t>
      </w:r>
    </w:p>
    <w:p>
      <w:pPr>
        <w:pStyle w:val="BodyText"/>
      </w:pPr>
      <w:r>
        <w:t xml:space="preserve">El servicio backend ejecuta la imagen construida del backend; en su rutina de arranque (lifespan de FastAPI) verifica la versión del esquema aplicada contra las migraciones numeradas y aplica las pendientes antes de aceptar tráfico; la creación inicial de las tablas se practica mediante scripts SQL en el primer arranque de PostgreSQL, conforme al apartado 4.5 y siembra el usuario administrador inicial con flag de cambio forzado de contraseña, antes de aceptar tráfico. Depende de los servicios db y valkey en estado healthy, expone el puerto de la API, monta los certificados TLS como secretos de solo lectura, e incluye healthcheck sobre el endpoint /healthz.</w:t>
      </w:r>
    </w:p>
    <w:p>
      <w:pPr>
        <w:pStyle w:val="BodyText"/>
      </w:pPr>
      <w:r>
        <w:t xml:space="preserve">El servicio frontend ejecuta la imagen construida del frontend con nginx como servidor web, expone el puerto correspondiente, depende del backend y lleva las cabeceras de hardening configuradas en su propia configuración de nginx. El servicio n8n ejecuta la imagen oficial con volumen persistente para sus flujos, expone su puerto administrativo restringido a la red interna, y se conecta a la misma red que el backend para recibir los webhooks.</w:t>
      </w:r>
    </w:p>
    <w:p>
      <w:pPr>
        <w:pStyle w:val="BodyText"/>
      </w:pPr>
      <w:r>
        <w:drawing>
          <wp:inline>
            <wp:extent cx="5760000" cy="3544616"/>
            <wp:effectExtent b="0" l="0" r="0" t="0"/>
            <wp:docPr descr="" title="" id="154" name="Picture"/>
            <a:graphic>
              <a:graphicData uri="http://schemas.openxmlformats.org/drawingml/2006/picture">
                <pic:pic>
                  <pic:nvPicPr>
                    <pic:cNvPr descr="./media/image5.png" id="155" name="Picture"/>
                    <pic:cNvPicPr>
                      <a:picLocks noChangeArrowheads="1" noChangeAspect="1"/>
                    </pic:cNvPicPr>
                  </pic:nvPicPr>
                  <pic:blipFill>
                    <a:blip r:embed="rId153"/>
                    <a:stretch>
                      <a:fillRect/>
                    </a:stretch>
                  </pic:blipFill>
                  <pic:spPr bwMode="auto">
                    <a:xfrm>
                      <a:off x="0" y="0"/>
                      <a:ext cx="5760000" cy="3544616"/>
                    </a:xfrm>
                    <a:prstGeom prst="rect">
                      <a:avLst/>
                    </a:prstGeom>
                    <a:noFill/>
                    <a:ln w="9525">
                      <a:noFill/>
                      <a:headEnd/>
                      <a:tailEnd/>
                    </a:ln>
                  </pic:spPr>
                </pic:pic>
              </a:graphicData>
            </a:graphic>
          </wp:inline>
        </w:drawing>
      </w:r>
    </w:p>
    <w:p>
      <w:pPr>
        <w:pStyle w:val="BodyText"/>
        <w:keepNext/>
      </w:pPr>
      <w:r>
        <w:rPr>
          <w:bCs/>
          <w:b/>
          <w:iCs/>
          <w:i/>
        </w:rPr>
        <w:t xml:space="preserve">Figura 9.</w:t>
      </w:r>
      <w:r>
        <w:rPr>
          <w:iCs/>
          <w:i/>
        </w:rPr>
        <w:t xml:space="preserve"> Vista conceptual del despliegue de la plataforma FIM; usa estereotipos visuales inspirados en UML, pero no constituye un modelo UML ni C4 formal.</w:t>
      </w:r>
    </w:p>
    <w:p>
      <w:pPr>
        <w:pStyle w:val="BodyText"/>
      </w:pPr>
      <w:r>
        <w:t>Nota. El agente se despliega como servicio nativo de systemd en el host monitoreado; la baseline restaurable permanece cifrada localmente en /var/lib/fim-agent/baseline/. El servidor central agrupa los cinco contenedores de Docker Compose. El canal agente–backend usa TLS 1.3 con mTLS en la evaluación local controlada. Valkey Streams constituye un transporte separado: las corridas documentadas usaron Valkey local sin TLS. La evidencia no acredita despliegue multianfitrión.</w:t>
      </w:r>
    </w:p>
    <w:bookmarkEnd w:id="156"/>
    <w:bookmarkStart w:id="157" w:name="anexo-e.-unit-file-de-systemd-del-agente"/>
    <w:p>
      <w:pPr>
        <w:pStyle w:val="Heading2"/>
      </w:pPr>
      <w:r>
        <w:rPr>
          <w:bCs/>
          <w:b/>
        </w:rPr>
        <w:t xml:space="preserve">Anexo E. Unit file de systemd del agente</w:t>
      </w:r>
    </w:p>
    <w:p>
      <w:pPr>
        <w:pStyle w:val="FirstParagraph"/>
      </w:pPr>
      <w:r>
        <w:t xml:space="preserve">El agente se despliega mediante un archivo de unidad de systemd ubicado en /etc/systemd/system/fim-agent.service. En el candidato 7a7ee50, el servicio ejecuta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baseline. Las tres últimas responden a la remediación automática, no a la detección, y amplían la superficie de privilegio del proceso. La unidad no fija límites de memoria ni de CPU, ni directivas como ProtectHome o MemoryDenyWriteExecute.</w:t>
      </w:r>
    </w:p>
    <w:bookmarkEnd w:id="157"/>
    <w:bookmarkStart w:id="158" w:name="anexo-f.-disponibilidad-del-código"/>
    <w:p>
      <w:pPr>
        <w:pStyle w:val="Heading2"/>
      </w:pPr>
      <w:r>
        <w:rPr>
          <w:bCs/>
          <w:b/>
        </w:rPr>
        <w:t xml:space="preserve">Anexo F. Disponibilidad del código</w:t>
      </w:r>
    </w:p>
    <w:p>
      <w:pPr>
        <w:pStyle w:val="FirstParagraph"/>
      </w:pPr>
      <w:r>
        <w:t>El repositorio de referencia del proyecto es https://github.com/3zequiel3/tesis-fim-serio. La entrega distingue los resultados históricos, ubicados según su documentación en resultados/, y el paquete de cierre, organizado en docs/cierre/. Este último contiene INFORME_CIERRE_TECNICO.md, RESULTADOS_VERIFICADOS.md, MATRIZ_TRAZABILIDAD.md, REPRODUCIR.md e índices de evidencia. El DOCX aislado no contiene los artefactos ejecutables ni los datos brutos referidos. Cada ensayo debe consultarse en el repositorio junto con su versión de código, configuración, manifiesto y datos; la disponibilidad de una URL no sustituye un depósito institucional ni permite atribuir los resultados a un único commit final.</w:t>
      </w:r>
    </w:p>
    <w:p>
      <w:pPr>
        <w:pStyle w:val="Heading2"/>
      </w:pPr>
      <w:r>
        <w:t>F.1 Manifiesto mínimo de procedencia e integridad</w:t>
      </w:r>
    </w:p>
    <w:p>
      <w:pPr>
        <w:pStyle w:val="BodyText"/>
      </w:pPr>
      <w:r>
        <w:t>La evidencia pertenece a cortes distintos y no debe sumarse como una única suite. Los hashes identifican los archivos observados y permiten comprobar integridad cuando el paquete acompaña la entrega; no sustituyen el depósito de los bytes ni convierten una copia de trabajo modificada en un commit final.</w:t>
      </w:r>
    </w:p>
    <w:p>
      <w:pPr>
        <w:pStyle w:val="BodyText"/>
      </w:pPr>
      <w:r>
        <w:t>Batería histórica 2. Identidad y alcance: Commit declarado 77f0c53e9c5dac28f9b36e56e09bcdb8b214ba1c; 912 casos, 911 aprobados y uno omitido. resultados/entorno.txt declara un archivo sin commitear. Artefacto: resultados/entorno.txt SHA-256 verificado: 3d9f689d0a63805d214545cb8968af7355788a25473fc13555ba1f4fae9bc915 Comprobación: sha256sum resultados/entorno.txt y git cat-file -e 77f0c53e9c5dac28f9b36e56e09bcdb8b214ba1c^{commit} Limitación: El commit no identifica por sí solo el archivo local no commiteado; no es una instantánea limpia.</w:t>
      </w:r>
    </w:p>
    <w:p>
      <w:pPr>
        <w:pStyle w:val="BodyText"/>
      </w:pPr>
      <w:r>
        <w:t>Coverage Run 3 posterior. Identidad y alcance: HEAD declarado c806d1c220824b4e9c7ce6af5f18441482473bc0 más cambios locales incluidos en su manifiesto; 572 casos, 570 aprobados, dos omitidos; cobertura de sentencias 89,3525 %. Artefacto: docs/cierre/evidencia/20260909-coverage-run3/SHA256SUMS SHA-256 verificado: d1b7ac65814ed71e483c153a85167020534de8309174daecfa8c21ad76c8c25b Comprobación: (cd docs/cierre/evidencia/20260909-coverage-run3 &amp;&amp; sha256sum -c SHA256SUMS) Limitación: Anterior a incorporaciones posteriores; no acredita mTLS ni el estado final.</w:t>
      </w:r>
    </w:p>
    <w:p>
      <w:pPr>
        <w:pStyle w:val="BodyText"/>
      </w:pPr>
      <w:r>
        <w:t>Corrida causal posterior. Identidad y alcance: Evalúa el mecanismo actual sobre sus propios casos, sin reconstruir las 19 ausencias históricas. Artefacto: docs/cierre/evidencia/absence-20260910T052521Z-r2/SHA256SUMS SHA-256 verificado: 0bff353aca996f06fd738d42a332246c396e990a546e5d05971cdab2e8b7f477 Comprobación: (cd docs/cierre/evidencia/absence-20260910T052521Z-r2 &amp;&amp; sha256sum -c SHA256SUMS) Limitación: No demuestra causalidad retrospectiva de las ausencias históricas.</w:t>
      </w:r>
    </w:p>
    <w:p>
      <w:pPr>
        <w:pStyle w:val="BodyText"/>
      </w:pPr>
      <w:r>
        <w:t>Drenaje Run 4 posterior. Identidad y alcance: 3.000 eventos preencolados, ensayo local y tasa modificada; 29,146 s. Artefacto: docs/cierre/evidencia/drenaje-20260910-run4-unit1/SHA256SUMS SHA-256 verificado: e77050a081c0ae8404a977fc3e0eee5ecce7d6aa3f604e9c5db6e89837130984 Comprobación: (cd docs/cierre/evidencia/drenaje-20260910-run4-unit1 &amp;&amp; sha256sum -c SHA256SUMS) Limitación: Una corrida válida; no repite la desconexión de cinco minutos ni demuestra variabilidad.</w:t>
      </w:r>
    </w:p>
    <w:p>
      <w:pPr>
        <w:pStyle w:val="BodyText"/>
      </w:pPr>
      <w:r>
        <w:t>n8n y alternativas posterior. Identidad y alcance: Receptor webhook controlado y persistencia de estados; commits f0a2907f2b2d282ea39ff255290f9625744c4bbf, e2519ebee40a149fc2cfaabf8b67c2407eac4da9, 3bec5841e92181047e4282453d085b7d944971c2. Artefacto: n8n/e2e/evidence/20260910-durable-fallback.json SHA-256 verificado: 92150b5d57a1182ac65349719dd72d424f9cc9a1ecb504d0a0c79dd594370e7d Comprobación: sha256sum n8n/e2e/evidence/20260910-durable-fallback.json y git cat-file -e &lt;commit&gt;^{commit} para cada commit Limitación: No acredita SMTP real, proveedor comercial, retardos nominales ni multinstancia.</w:t>
      </w:r>
    </w:p>
    <w:p>
      <w:pPr>
        <w:pStyle w:val="BodyText"/>
      </w:pPr>
      <w:r>
        <w:t>US-03/16/17/25 posterior. Identidad y alcance: Laboratorio Compose local aislado en estado/datos/recursos; 66/66 backend, 19/19 frontend y construcción PASS según RESULTADO.md. Artefacto: docs/cierre/evidencia/us03-us16-us17-us25-isolated-20260911T015529Z/SHA256SUMS SHA-256 verificado: 84088bddf17c9c53024de060523d6ad6c7abc049519cf9d42e8cd012c846da5c Comprobación: (cd docs/cierre/evidencia/us03-us16-us17-us25-isolated-20260911T015529Z &amp;&amp; sha256sum -c SHA256SUMS); reproducción declarada: scripts/run-isolated-acceptance-lab.sh Limitación: El paquete no consigna un commit o manifiesto de fuentes completo. No aísla host físico, daemon Docker, kernel ni caché de imágenes.</w:t>
      </w:r>
    </w:p>
    <w:p>
      <w:pPr>
        <w:pStyle w:val="BodyText"/>
      </w:pPr>
      <w:r>
        <w:t>US-02/20/31 posterior vigente. Identidad y alcance: Instantánea de archivos congelada con HEAD base 6948aae2a7dbdf73ef6e269d0fc7cbd8398ce9b0; dos corridas US-20 2/2 y dos combinadas 5/5. Artefacto: docs/cierre/evidencia/us02-us20-us31-fixed-us20isolated20260911T0220Z/SHA256SUMS; inventario interno candidate-files.sha256 SHA-256 verificado: Manifiesto de paquete: d5f2fd6cbbd3c54c606f4ea08de648f94c2c74261956e9427db541d6ce605872; inventario: 152e70d3bc6c4d532882e6dc8fe1f95cb21a090b126d8bd890aff7f2b9e6ff2a Comprobación: (cd docs/cierre/evidencia/us02-us20-us31-fixed-us20isolated20260911T0220Z &amp;&amp; sha256sum -c SHA256SUMS) Limitación: Instantánea del sistema de archivos, no commit limpio; laboratorio local de un solo host. COMMANDS.md quedó sanitizado y no conserva el nombre ejecutable, aunque el script existente es scripts/run-us02-us20-us31-acceptance-lab.sh.</w:t>
      </w:r>
    </w:p>
    <w:p>
      <w:pPr>
        <w:pStyle w:val="BodyText"/>
      </w:pPr>
      <w:r>
        <w:t>Documento V7. Identidad y alcance: Documento auditado, sin modificar resultados adversos. Artefacto: docs/cierre/Tesis_v7_cierre_tecnico.docx SHA-256 verificado: db6fff628bf6d17265c24c2c577673c02d41284a48248ec3ff31bd1178305d50 Comprobación: sha256sum docs/cierre/Tesis_v7_cierre_tecnico.docx Limitación: La versión documental no identifica un estado final ejecutable consolidado.</w:t>
      </w:r>
    </w:p>
    <w:p>
      <w:pPr>
        <w:pStyle w:val="BodyText"/>
      </w:pPr>
      <w:r>
        <w:t>Auditoría V7. Identidad y alcance: Informe y métricas que asignan 7,5/10 redondeado. Artefacto: docs/cierre/AUDITORIA_INTEGRAL_TESIS_V7.md; docs/cierre/AUDITORIA_INTEGRAL_TESIS_V7_METRICAS.json SHA-256 verificado: Informe: 06a5a7906f9fef185df2ad1aca745da97291911848fde8e0ac3a672667a2dc1a; métricas: 7d0e058eb9dcb38b47c71d52b97fc52066d4dd75e8a2dc69f5d8e0e6859490f2 Comprobación: sha256sum docs/cierre/AUDITORIA_INTEGRAL_TESIS_V7.md docs/cierre/AUDITORIA_INTEGRAL_TESIS_V7_METRICAS.json Limitación: La auditoría evalúa el documento; no ejecuta una certificación integral del sistema.</w:t>
      </w:r>
    </w:p>
    <w:p>
      <w:pPr>
        <w:pStyle w:val="FirstParagraph"/>
      </w:pPr>
      <w:r>
        <w:t>Primer candidato consolidado — intento histórico fallido. final-consolidated-20260911T214511Z/ queda preservado y separado, asociado al commit temporal 6e81ccf95f8da644b74b41a499d3414a08248e06: agente 505 aprobadas, 2 fallidas y 1 omitida; backend 590 aprobadas y 8 fallidas; frontend 128 aprobadas, sin cobertura propia. No se mezcla con el candidato corregido.</w:t>
      </w:r>
    </w:p>
    <w:p>
      <w:pPr>
        <w:pStyle w:val="FirstParagraph"/>
      </w:pPr>
      <w:r>
        <w:t xml:space="preserve">Candidato corregido de la versión anterior (7df4935). El paquete docs/cierre/evidencia/final-consolidated-fixed-20260911T225314Z/ identifica el commit temporal autocontenido 7df4935f769a2e393a5e6a6330df605c77592e52 y el árbol 95455f919ec602b6cddf1440341652d99b784bd3. custody/candidate.bundle tiene SHA-256 3b26d3301d5ad7def9ecb2723a71b73d88855e8250aa253e6657539b3a050a9c y custody/candidate-tree.tar.gz, 1d3e8e731b6d802f7a0e5549a5f5ddd843dbd1a656ced735a3696311c3dc2f26. La recuperación desde cero verificó commit, tree, checkout limpio y 813/813 archivos; el archivo reprodujo los mismos 813 archivos y se regeneró byte a byte.</w:t>
      </w:r>
    </w:p>
    <w:p>
      <w:pPr>
        <w:pStyle w:val="FirstParagraph"/>
      </w:pPr>
      <w:r>
        <w:t xml:space="preserve">Resultados del candidato 7df4935. Agente: 507 aprobadas, 0 fallidas, 1 omitida y 78,93 % (2638/3342). Backend: 599/599 y 90,69 % (2737/3018) sobre backend/app. Frontend: 128/128, comprobación de tipos y construcción PASS; líneas/statements 57,97 % (1995/3441), funciones 55,55 % (105/189) y ramas 76,00 % (396/521). E2E dirigidos US-02/20/31 y US-03/16/17/25: PASS. OpenSpec: 44 especificaciones y 249 requisitos, PASS. El manifiesto selló 292/292 entradas SHA-256; el parseo de JUnit/cobertura, privacidad y limpieza también aprobaron.</w:t>
      </w:r>
    </w:p>
    <w:p>
      <w:pPr>
        <w:pStyle w:val="FirstParagraph"/>
      </w:pPr>
      <w:r>
        <w:t xml:space="preserve">Advertencia ambiental. En dos intentos US-02/20/31, main_stack_unchanged=false registró un cambio del inventario externo del stack principal. Ambos laboratorios finalizaron con exit 0 y sin recursos residuales. La causa no fue determinada: no se ignora la advertencia ni se atribuye como fallo del candidato. Repetición posterior: docs/cierre/evidencia/us02-us20-us31-fixed-v10m820260912T190809Z/ y docs/cierre/evidencia/v10-closure-20260912T190052Z/m8/. El script del laboratorio se ejecutó sin cambios desde un envoltorio que guardó los inventarios crudos. Resultado: main_stack_unchanged=true; inventarios de estado, de identidad e imagen y de StartedAt/RestartCount idénticos antes y después; cero recursos residuales; SHA256SUMS verificado. Como dato contextual, el contenedor backend del stack principal registra StartedAt 2026-09-11T22:45:01Z, unos catorce minutos antes del primer intento; con esa antigüedad, el campo de estado se expresa en minutos y cambia durante una corrida de varios minutos. El mecanismo es compatible con la advertencia, pero no se presenta como causa demostrada.</w:t>
      </w:r>
    </w:p>
    <w:p>
      <w:pPr>
        <w:pStyle w:val="FirstParagraph"/>
      </w:pPr>
      <w:r>
        <w:rPr>
          <w:bCs/>
          <w:b/>
        </w:rPr>
        <w:t xml:space="preserve">Ensayos posteriores de cierre.</w:t>
      </w:r>
      <w:r>
        <w:t xml:space="preserve"> El paquete docs/cierre/evidencia/experiments-closure-20260912T004612Z/ identifica el mismo candidato (commit 7df4935f769a2e393a5e6a6330df605c77592e52, árbol 95455f919ec602b6cddf1440341652d99b784bd3). Su SHA256SUMS (SHA-256 235797a854e92be524e0458f6e647a44e91352cb5bb2fa095841769bda64a16a) verifica 155 archivos. scripts/verify_experiments.py recompone desde los registros individuales los estadísticos de concurrencia, drenaje y latencia y aprueba 17 condiciones; su reejecución reprodujo metadata/independent-verification.json. Comprobación: (cd docs/cierre/evidencia/experiments-closure-20260912T004612Z &amp;&amp; sha256sum -c SHA256SUMS &amp;&amp; python3 scripts/verify_experiments.py .). Se conservan los intentos inválidos de concurrencia (88/100), drenaje interrumpido y latencia sin modificaciones. Límites: anfitrión único, Valkey sin TLS, sin n8n, SMTP ni segundo anfitrión.</w:t>
      </w:r>
    </w:p>
    <w:p>
      <w:pPr>
        <w:pStyle w:val="FirstParagraph"/>
      </w:pPr>
      <w:r>
        <w:t xml:space="preserve">Candidato consolidado V10 — intentos fallidos. final-consolidated-v10-20260912T205729Z-attempt1-failed/ corresponde al commit d35fb9c98072eb7249534c23f337ae7e0738a500: el E2E US-03/16/17/25 terminó con código 1 y cuatro pruebas TLS se omitieron (ATTEMPT_NOTE.md). final-consolidated-v10-20260912T210821Z-aborted-dirty-worktree/ se abortó antes de las suites por un árbol de trabajo con restos de laboratorio (metadata/ABORTED.txt). Ninguno se mezcla con el candidato vigente.</w:t>
      </w:r>
    </w:p>
    <w:p>
      <w:pPr>
        <w:pStyle w:val="FirstParagraph"/>
      </w:pPr>
      <w:r>
        <w:t xml:space="preserve">Candidato consolidado V10. El paquete docs/cierre/evidencia/final-consolidated-v10-20260912T210903Z/ identifica el commit autocontenido 7a7ee5011d9234023687687ed95a7cdda9437711 y el árbol 9e9e472bbdfc377674db5dec41224bcc15f48991. custody/candidate.bundle tiene SHA-256 dfae7a97579dcdf0c440920b1900e956ae494f55993d9ad7160e46ec96047bd8 y custody/candidate-tree.tar.gz, 5cc809cbf03249f84c23e6c7565b7e6b957b5c1f5b3616e7126a77384e7531f7. verify-custody.sh verificó la recuperación del bundle y del archivo, la identidad de commit y árbol, el checkout limpio, 840 hashes de archivos y el archivo determinista. Su SHA256SUMS tiene SHA-256 89608690bf4fb4cedf32a2ccdc75dcfff49dc3d8f547d54594571137c8b7decf. POSTRUN_NOTE.md registra la sanitización de dos metadatos escritos después del manifiesto y la regeneración de SHA256SUMS, sin cambios en los resultados.</w:t>
      </w:r>
    </w:p>
    <w:p>
      <w:pPr>
        <w:pStyle w:val="FirstParagraph"/>
      </w:pPr>
      <w:r>
        <w:t xml:space="preserve">Resultados del candidato 7a7ee50. Agente: 540 aprobadas, 0 fallidas, 1 omitida y 79,57 % (2726/3426). Backend: 689/689 con TEST_VALKEY_TLS=1 y 91,34 % (2902/3177) sobre backend/app. Frontend: 197/197, comprobación de tipos y construcción PASS; líneas/statements 73,09 % (2836/3880), funciones 67,52 % (158/234) y ramas 80,85 % (587/726). Scripts: 19/19. E2E dirigidos US-02/20/31 y US-03/16/17/25: código 0. OpenSpec: 44 especificaciones y 249 requisitos. Inventario del stack principal sin cambios. Comprobación: (cd docs/cierre/evidencia/final-consolidated-v10-20260912T210903Z &amp;&amp; sha256sum -c SHA256SUMS &amp;&amp; bash verify-custody.sh).</w:t>
      </w:r>
    </w:p>
    <w:p>
      <w:pPr>
        <w:pStyle w:val="FirstParagraph"/>
      </w:pPr>
      <w:r>
        <w:t xml:space="preserve">Carriles de implementación. docs/cierre/evidencia/v10-closure-20260912T190052Z/lanes/ conserva, por carril, la identidad de la rama y los registros de pruebas. Los carriles de historias incluyen CRITERIOS.md, que asocia cada criterio canónico con su implementación y su prueba. Los carriles l8 y l9 preparan el cliente mTLS hacia Valkey y los scripts multianfitrión; estos últimos no se ejecutaron sobre dos anfitriones. El código integrado no está fusionado en la rama de trabajo del repositorio; el candidato se recupera desde su bundle.</w:t>
      </w:r>
    </w:p>
    <w:p>
      <w:pPr>
        <w:pStyle w:val="Heading2"/>
      </w:pPr>
      <w:r>
        <w:t>F.2 Manifiesto de dependencias observado</w:t>
      </w:r>
    </w:p>
    <w:p>
      <w:pPr>
        <w:pStyle w:val="FirstParagraph"/>
      </w:pPr>
      <w:r>
        <w:t xml:space="preserve">El paquete final contiene los lockfiles y requisitos del candidato, además de inventarios de distribuciones Python y dependencias frontend instaladas. Para esta versión se generó, sobre el árbol recuperado de custody/candidate-tree.tar.gz, un inventario de componentes en formatos estándar: CycloneDX 1.7 (428 componentes) y SPDX 2.3 (425 paquetes). La herramienta fue syft 1.51.1, ejecutada desde la imagen anchore/syft@sha256:95fe0835e5bebc6f8b1f8acef68d47d63d594ef4c0f25c097ff853b23cbac74c, con node_modules excluido; las versiones provienen de los lockfiles. También se registraron las identidades de las imágenes de registro presentes localmente: postgres:18.3 (sha256:7e32e9833a6fb1c92c32552794cb6ed569d51b445a54907d35fc112ef39684db), valkey/valkey:9.0.3 (sha256:3b55fbaa0cd93cf0d9d961f405e4dfcc70efe325e2d84da207a0a8e6d8fde4f9), n8nio/n8n:2.16.1 (sha256:ad20607cdd24bac004ec44804b6b8ded9a2fbf92ed46c4496bf007762c883af2), n8nio/n8n:2.17.8 (sha256:a50abe80b18ed7f5a8b253d3870d640c0b6af2d4b55c325b316ed3174a0b705f) y nginx:alpine (sha256:72ba65eb42c10344912a84ff42408db7d34f2feb642204570ab8fc5ffd29f1d3). python:3.13-slim y node:22-alpine no estaban presentes localmente, y los Dockerfiles referencian las imágenes base por etiqueta, no por digest. Evidencia: docs/cierre/evidencia/v10-closure-20260912T190052Z/m9/. El inventario se generó localmente: no es un SBOM certificado ni acredita reproducibilidad binaria de las imágenes. Sobre el árbol del candidato 7a7ee50 se repitió el inventario con la misma imagen de syft: CycloneDX 1.7 con 428 componentes y SPDX 2.3 con 425 paquetes. Registra los mismos 418 componentes de biblioteca y versiones que el candidato 7df4935 (m9/candidate-7a7ee50/).</w:t>
      </w:r>
    </w:p>
    <w:p>
      <w:pPr>
        <w:pStyle w:val="Heading2"/>
      </w:pPr>
      <w:r>
        <w:t>F.3 Límites y pendientes de reproducibilidad</w:t>
      </w:r>
    </w:p>
    <w:p>
      <w:pPr>
        <w:pStyle w:val="BodyText"/>
      </w:pPr>
      <w:r>
        <w:t xml:space="preserve">La ausencia de suite consolidada queda cerrada para el alcance ejecutado del candidato exacto: el bundle y el archivo determinista permiten recuperar el mismo commit y árbol, y el paquete conserva JUnit, coberturas por componente, E2E dirigidos, OpenSpec, manifiestos y controles de privacidad y limpieza. Este cierre es de reproducibilidad del candidato, no un depósito institucional ni una validación productiva, multianfitrión o del backlog integral. El cierre vigente corresponde al candidato 7a7ee50; el del candidato 7df4935 se conserva como corte anterior.</w:t>
      </w:r>
    </w:p>
    <w:p>
      <w:pPr>
        <w:pStyle w:val="BodyText"/>
      </w:pPr>
      <w:r>
        <w:t>PENDIENTE 1. Depósito institucional inmutable que acompañe el bundle, el archivo y los recibos.</w:t>
      </w:r>
    </w:p>
    <w:p>
      <w:pPr>
        <w:pStyle w:val="BodyText"/>
      </w:pPr>
      <w:r>
        <w:t xml:space="preserve">PENDIENTE 2. Fijar por digest las imágenes base de los Dockerfiles y registrar python:3.13-slim y node:22-alpine; las imágenes de registro presentes localmente ya se identificaron por digest (F.2).</w:t>
      </w:r>
    </w:p>
    <w:p>
      <w:pPr>
        <w:pStyle w:val="BodyText"/>
      </w:pPr>
      <w:r>
        <w:t xml:space="preserve">PENDIENTE 3. Certificación o firma externa del inventario de componentes; el inventario CycloneDX/SPDX de F.2 es local y no certificado.</w:t>
      </w:r>
    </w:p>
    <w:p>
      <w:pPr>
        <w:pStyle w:val="BodyText"/>
      </w:pPr>
      <w:r>
        <w:t>PENDIENTE 4. Política organizacional de acceso, retención y supresión del diff, de rejected_events_audit y de receptores externos.</w:t>
      </w:r>
    </w:p>
    <w:p>
      <w:pPr>
        <w:pStyle w:val="BodyText"/>
      </w:pPr>
      <w:r>
        <w:t>PENDIENTE 5. Validación de TLS de Valkey, SMTP real y proveedores comerciales.</w:t>
      </w:r>
    </w:p>
    <w:p>
      <w:pPr>
        <w:pStyle w:val="BodyText"/>
      </w:pPr>
      <w:r>
        <w:t xml:space="preserve">La cobertura histórica posterior se conserva en evidencia/20260909-coverage-run3/ y mantiene su 89,35 % sólo para esa instantánea. El candidato vigente se conserva en evidencia/final-consolidated-v10-20260912T210903Z/, con bundle, archivo determinista, manifiesto, JUnit, coberturas propias y E2E dirigidos. El candidato 7df4935 se conserva en evidencia/final-consolidated-fixed-20260911T225314Z/. El intento final-consolidated-20260911T214511Z/ y los dos intentos V10 permanecen como históricos fallidos. Los paquetes no se suman entre sí ni acreditan aptitud productiva.</w:t>
      </w:r>
    </w:p>
    <w:bookmarkEnd w:id="158"/>
    <w:bookmarkStart w:id="159" w:name="Xbae50306662988b42ebe9343ae391fa3365266f"/>
    <w:p>
      <w:pPr>
        <w:pStyle w:val="Heading2"/>
      </w:pPr>
      <w:r>
        <w:t xml:space="preserve">Anexo G. Listado de historias de usuario del backlog funcional</w:t>
      </w:r>
    </w:p>
    <w:p>
      <w:pPr>
        <w:pStyle w:val="FirstParagraph"/>
      </w:pPr>
      <w:r>
        <w:t xml:space="preserve">La Tabla 22 resume los criterios canónicos de las treinta y una historias, separa el estado de cierre, identifica la evidencia y explicita los criterios faltantes o límites. Permite recomputar el cierre: veintitrés completas, ocho parciales y ninguna sin cobertura funcional. La redacción resumida no sustituye la especificación completa versionada en el repositorio (Anexo F) ni modifica sus criterios originales.</w:t>
      </w:r>
    </w:p>
    <w:p>
      <w:pPr>
        <w:sectPr>
          <w:headerReference w:type="default" r:id="rId9"/>
          <w:footerReference w:type="default" r:id="rId10"/>
          <w:type w:val="nextPage"/>
          <w:pgSz w:w="11906" w:h="16838" w:orient="portrait"/>
          <w:pgMar w:top="1417" w:right="1134" w:bottom="1417" w:left="1701" w:header="708" w:footer="708" w:gutter="0"/>
          <w:cols w:space="708"/>
          <w:docGrid w:linePitch="360"/>
        </w:sectPr>
      </w:pPr>
    </w:p>
    <w:p>
      <w:pPr>
        <w:pStyle w:val="BodyText"/>
        <w:keepNext/>
      </w:pPr>
      <w:r>
        <w:t>Tabla 22. Matriz de cobertura de las historias de usuario del backlog funcional</w:t>
      </w:r>
    </w:p>
    <w:tbl>
      <w:tblPr>
        <w:tblStyle w:val="Table"/>
        <w:tblW w:type="dxa" w:w="14000"/>
        <w:jc w:val="start"/>
        <w:tblLook w:firstRow="1" w:lastRow="0" w:firstColumn="0" w:lastColumn="0" w:noHBand="0" w:noVBand="0" w:val="0020"/>
      </w:tblPr>
      <w:tblGrid>
        <w:gridCol w:w="1000"/>
        <w:gridCol w:w="3300"/>
        <w:gridCol w:w="1150"/>
        <w:gridCol w:w="4050"/>
        <w:gridCol w:w="4500"/>
      </w:tblGrid>
      <w:tr>
        <w:trPr>
          <w:tblHeader w:val="true"/>
          <w:cantSplit/>
          <w:tblHeader/>
        </w:trPr>
        <w:tc>
          <w:tcPr>
            <w:tcW w:w="1000" w:type="dxa"/>
          </w:tcPr>
          <w:p>
            <w:pPr>
              <w:pStyle w:val="Compact"/>
              <w:jc w:val="left"/>
            </w:pPr>
            <w:r>
              <w:rPr>
                <w:sz w:val="17"/>
                <w:szCs w:val="17"/>
                <w:b/>
              </w:rPr>
              <w:t>Historia</w:t>
            </w:r>
          </w:p>
        </w:tc>
        <w:tc>
          <w:tcPr>
            <w:tcW w:w="3300" w:type="dxa"/>
          </w:tcPr>
          <w:p>
            <w:pPr>
              <w:pStyle w:val="Compact"/>
              <w:jc w:val="left"/>
            </w:pPr>
            <w:r>
              <w:rPr>
                <w:sz w:val="17"/>
                <w:szCs w:val="17"/>
                <w:b/>
              </w:rPr>
              <w:t>Criterios canónicos (resumen)</w:t>
            </w:r>
          </w:p>
        </w:tc>
        <w:tc>
          <w:tcPr>
            <w:tcW w:w="1150" w:type="dxa"/>
          </w:tcPr>
          <w:p>
            <w:pPr>
              <w:pStyle w:val="Compact"/>
              <w:jc w:val="left"/>
            </w:pPr>
            <w:r>
              <w:rPr>
                <w:sz w:val="17"/>
                <w:szCs w:val="17"/>
                <w:b/>
              </w:rPr>
              <w:t>Estado</w:t>
            </w:r>
          </w:p>
        </w:tc>
        <w:tc>
          <w:tcPr>
            <w:tcW w:w="4050" w:type="dxa"/>
          </w:tcPr>
          <w:p>
            <w:pPr>
              <w:pStyle w:val="Compact"/>
              <w:jc w:val="left"/>
            </w:pPr>
            <w:r>
              <w:rPr>
                <w:sz w:val="17"/>
                <w:szCs w:val="17"/>
                <w:b/>
              </w:rPr>
              <w:t>Evidencia incorporada</w:t>
            </w:r>
          </w:p>
        </w:tc>
        <w:tc>
          <w:tcPr>
            <w:tcW w:w="4500" w:type="dxa"/>
          </w:tcPr>
          <w:p>
            <w:pPr>
              <w:pStyle w:val="Compact"/>
              <w:jc w:val="left"/>
            </w:pPr>
            <w:r>
              <w:rPr>
                <w:sz w:val="17"/>
                <w:szCs w:val="17"/>
                <w:b/>
              </w:rPr>
              <w:t>Criterios faltantes o límite</w:t>
            </w:r>
          </w:p>
        </w:tc>
      </w:tr>
      <w:tr>
        <w:trPr>
          <w:cantSplit/>
        </w:trPr>
        <w:tc>
          <w:tcPr>
            <w:tcW w:w="1000" w:type="dxa"/>
          </w:tcPr>
          <w:p>
            <w:pPr>
              <w:pStyle w:val="Compact"/>
              <w:jc w:val="left"/>
            </w:pPr>
            <w:r>
              <w:rPr>
                <w:sz w:val="17"/>
                <w:szCs w:val="17"/>
              </w:rPr>
              <w:t>US-01</w:t>
            </w:r>
          </w:p>
        </w:tc>
        <w:tc>
          <w:tcPr>
            <w:tcW w:w="3300" w:type="dxa"/>
          </w:tcPr>
          <w:p>
            <w:pPr>
              <w:pStyle w:val="Compact"/>
              <w:jc w:val="left"/>
            </w:pPr>
            <w:r>
              <w:rPr>
                <w:sz w:val="17"/>
                <w:szCs w:val="17"/>
              </w:rPr>
              <w:t>Inicio de sesión: Formulario. Tokens JWT 15 min / 7 días con rotación. Error genérico. Token en memoria. Cookie httpOnly/Secure/SameSite=Strict. Argon2id C9. Rate limit 5/15 min. Scope password_change_only</w:t>
            </w:r>
          </w:p>
        </w:tc>
        <w:tc>
          <w:tcPr>
            <w:tcW w:w="1150" w:type="dxa"/>
          </w:tcPr>
          <w:p>
            <w:pPr>
              <w:pStyle w:val="Compact"/>
              <w:jc w:val="left"/>
            </w:pPr>
            <w:r>
              <w:rPr>
                <w:sz w:val="17"/>
                <w:szCs w:val="17"/>
              </w:rPr>
              <w:t>PARCIAL</w:t>
            </w:r>
          </w:p>
        </w:tc>
        <w:tc>
          <w:tcPr>
            <w:tcW w:w="4050" w:type="dxa"/>
          </w:tcPr>
          <w:p>
            <w:pPr>
              <w:pStyle w:val="Compact"/>
              <w:jc w:val="left"/>
            </w:pPr>
            <w:r>
              <w:rPr>
                <w:sz w:val="17"/>
                <w:szCs w:val="17"/>
              </w:rPr>
              <w:t xml:space="preserve">Pruebas por criterio: test_auth.py (Argon2id C9, duración 15 min / 7 días, cookie Secure fuera de dev y cookie canónica), auth.store.test.ts (token sólo en memoria), ProtectedRoute.test.tsx (scope password_change_only), Login.test.tsx y core/test_rate_limit_load.py. Evidencia: docs/cierre/evidencia/v10-closure-20260912T190052Z/backlog/.</w:t>
            </w:r>
          </w:p>
        </w:tc>
        <w:tc>
          <w:tcPr>
            <w:tcW w:w="4500" w:type="dxa"/>
          </w:tcPr>
          <w:p>
            <w:pPr>
              <w:pStyle w:val="Compact"/>
              <w:jc w:val="left"/>
            </w:pPr>
            <w:r>
              <w:rPr>
                <w:sz w:val="17"/>
                <w:szCs w:val="17"/>
              </w:rPr>
              <w:t xml:space="preserve">Divergencia documentada: el criterio canónico redirige a /account/change-password, mientras la especificación OpenSpec frontend-auth exige /change-password. Los otros siete criterios cuentan con pruebas. La divergencia no se reinterpreta como cumplimiento.</w:t>
            </w:r>
          </w:p>
        </w:tc>
      </w:tr>
      <w:tr>
        <w:trPr>
          <w:cantSplit/>
        </w:trPr>
        <w:tc>
          <w:tcPr>
            <w:tcW w:w="1000" w:type="dxa"/>
          </w:tcPr>
          <w:p>
            <w:pPr>
              <w:pStyle w:val="Compact"/>
              <w:jc w:val="left"/>
            </w:pPr>
            <w:r>
              <w:rPr>
                <w:sz w:val="17"/>
                <w:szCs w:val="17"/>
              </w:rPr>
              <w:t>US-02</w:t>
            </w:r>
          </w:p>
        </w:tc>
        <w:tc>
          <w:tcPr>
            <w:tcW w:w="3300" w:type="dxa"/>
          </w:tcPr>
          <w:p>
            <w:pPr>
              <w:pStyle w:val="Compact"/>
              <w:jc w:val="left"/>
            </w:pPr>
            <w:r>
              <w:rPr>
                <w:sz w:val="17"/>
                <w:szCs w:val="17"/>
              </w:rPr>
              <w:t>Logout seguro: Botón. Revocación de access y refresh en Valkey. Cookie eliminada. Redirección. Back no accede</w:t>
            </w:r>
          </w:p>
        </w:tc>
        <w:tc>
          <w:tcPr>
            <w:tcW w:w="1150" w:type="dxa"/>
          </w:tcPr>
          <w:p>
            <w:pPr>
              <w:pStyle w:val="Compact"/>
              <w:jc w:val="left"/>
            </w:pPr>
            <w:r>
              <w:rPr>
                <w:sz w:val="17"/>
                <w:szCs w:val="17"/>
              </w:rPr>
              <w:t>COMPLETA</w:t>
            </w:r>
          </w:p>
        </w:tc>
        <w:tc>
          <w:tcPr>
            <w:tcW w:w="4050" w:type="dxa"/>
          </w:tcPr>
          <w:p>
            <w:pPr>
              <w:pStyle w:val="Compact"/>
              <w:jc w:val="left"/>
            </w:pPr>
            <w:r>
              <w:rPr>
                <w:sz w:val="17"/>
                <w:szCs w:val="17"/>
              </w:rPr>
              <w:t xml:space="preserve">Unitarias dirigidas de API/store/Navbar. frontend/e2e/us02-logout.spec.ts. conjunto repetido 5/5 PASS. docs/cierre/evidencia/us02-us20-us31-fixed-us20isolated20260911T0220Z/. E2E dirigido PASS en el candidato 7df4935 (final-consolidated-fixed-20260911T225314Z/e2e-us02-us20-us31) y código 0 en el candidato 7a7ee50 (final-consolidated-v10-20260912T210903Z/e2e/e2e-us02-us20-us31).</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US-03</w:t>
            </w:r>
          </w:p>
        </w:tc>
        <w:tc>
          <w:tcPr>
            <w:tcW w:w="3300" w:type="dxa"/>
          </w:tcPr>
          <w:p>
            <w:pPr>
              <w:pStyle w:val="Compact"/>
              <w:jc w:val="left"/>
            </w:pPr>
            <w:r>
              <w:rPr>
                <w:sz w:val="17"/>
                <w:szCs w:val="17"/>
              </w:rPr>
              <w:t>Renovación de sesión: refresh anticipado. Rotación single-use. Blacklist → login. Transparencia. Multi-key JWT. Cookie canónica</w:t>
            </w:r>
          </w:p>
        </w:tc>
        <w:tc>
          <w:tcPr>
            <w:tcW w:w="1150" w:type="dxa"/>
          </w:tcPr>
          <w:p>
            <w:pPr>
              <w:pStyle w:val="Compact"/>
              <w:jc w:val="left"/>
            </w:pPr>
            <w:r>
              <w:rPr>
                <w:sz w:val="17"/>
                <w:szCs w:val="17"/>
              </w:rPr>
              <w:t>COMPLETA</w:t>
            </w:r>
          </w:p>
        </w:tc>
        <w:tc>
          <w:tcPr>
            <w:tcW w:w="4050" w:type="dxa"/>
          </w:tcPr>
          <w:p>
            <w:pPr>
              <w:pStyle w:val="Compact"/>
              <w:jc w:val="left"/>
            </w:pPr>
            <w:r>
              <w:rPr>
                <w:sz w:val="17"/>
                <w:szCs w:val="17"/>
              </w:rPr>
              <w:t xml:space="preserve">frontend/e2e/us03-session-refresh.spec.ts. frontend/e2e/us-isolated-lab.spec.ts::US-03. docs/cierre/evidencia/us03-us16-us17-us25-isolated-20260911T015529Z/. Individual 1/1. combinado 3/3 repetido dos veces. backend dirigido 66/66. E2E dirigido PASS en el candidato 7df4935 (final-consolidated-fixed-20260911T225314Z/e2e-us03-us16-us17-us25) y código 0 en el candidato 7a7ee50 (final-consolidated-v10-20260912T210903Z/e2e/e2e-us03-us16-us17-us25).</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US-04</w:t>
            </w:r>
          </w:p>
        </w:tc>
        <w:tc>
          <w:tcPr>
            <w:tcW w:w="3300" w:type="dxa"/>
          </w:tcPr>
          <w:p>
            <w:pPr>
              <w:pStyle w:val="Compact"/>
              <w:jc w:val="left"/>
            </w:pPr>
            <w:r>
              <w:rPr>
                <w:sz w:val="17"/>
                <w:szCs w:val="17"/>
              </w:rPr>
              <w:t>Métricas del dashboard: Conteo por los 7 estados. Léxico en minúsculas C1. Carga al entrar. Indicadores numéricos</w:t>
            </w:r>
          </w:p>
        </w:tc>
        <w:tc>
          <w:tcPr>
            <w:tcW w:w="1150" w:type="dxa"/>
          </w:tcPr>
          <w:p>
            <w:pPr>
              <w:pStyle w:val="Compact"/>
              <w:jc w:val="left"/>
            </w:pPr>
            <w:r>
              <w:rPr>
                <w:sz w:val="17"/>
                <w:szCs w:val="17"/>
              </w:rPr>
              <w:t>COMPLETA</w:t>
            </w:r>
          </w:p>
        </w:tc>
        <w:tc>
          <w:tcPr>
            <w:tcW w:w="4050" w:type="dxa"/>
          </w:tcPr>
          <w:p>
            <w:pPr>
              <w:pStyle w:val="Compact"/>
              <w:jc w:val="left"/>
            </w:pPr>
            <w:r>
              <w:rPr>
                <w:sz w:val="17"/>
                <w:szCs w:val="17"/>
              </w:rPr>
              <w:t>Dashboard.test.tsx (4). detalle §5.4. docs/trazabilidad_us_tests.md.</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US-05</w:t>
            </w:r>
          </w:p>
        </w:tc>
        <w:tc>
          <w:tcPr>
            <w:tcW w:w="3300" w:type="dxa"/>
          </w:tcPr>
          <w:p>
            <w:pPr>
              <w:pStyle w:val="Compact"/>
              <w:jc w:val="left"/>
            </w:pPr>
            <w:r>
              <w:rPr>
                <w:sz w:val="17"/>
                <w:szCs w:val="17"/>
              </w:rPr>
              <w:t>Estado general del sistema: Pendientes sin resolver. Conectividad de agentes. Realce de críticos. Banner rojo. Banner amarillo</w:t>
            </w:r>
          </w:p>
        </w:tc>
        <w:tc>
          <w:tcPr>
            <w:tcW w:w="1150" w:type="dxa"/>
          </w:tcPr>
          <w:p>
            <w:pPr>
              <w:pStyle w:val="Compact"/>
              <w:jc w:val="left"/>
            </w:pPr>
            <w:r>
              <w:rPr>
                <w:sz w:val="17"/>
                <w:szCs w:val="17"/>
              </w:rPr>
              <w:t>PARCIAL</w:t>
            </w:r>
          </w:p>
        </w:tc>
        <w:tc>
          <w:tcPr>
            <w:tcW w:w="4050" w:type="dxa"/>
          </w:tcPr>
          <w:p>
            <w:pPr>
              <w:pStyle w:val="Compact"/>
              <w:jc w:val="left"/>
            </w:pPr>
            <w:r>
              <w:rPr>
                <w:sz w:val="17"/>
                <w:szCs w:val="17"/>
              </w:rPr>
              <w:t>Dashboard.test.tsx (5), SystemBanner.test.tsx (4), AlertsBanner.test.tsx (5). detalle §5.5. docs/trazabilidad_us_tests.md.</w:t>
            </w:r>
          </w:p>
        </w:tc>
        <w:tc>
          <w:tcPr>
            <w:tcW w:w="4500" w:type="dxa"/>
          </w:tcPr>
          <w:p>
            <w:pPr>
              <w:pStyle w:val="Compact"/>
              <w:jc w:val="left"/>
            </w:pPr>
            <w:r>
              <w:rPr>
                <w:sz w:val="17"/>
                <w:szCs w:val="17"/>
              </w:rPr>
              <w:t xml:space="preserve">El banner amarillo se activa ante cualquier alerta fallida terminal, no sólo con retry_count ≥ 3. La decisión D6/RN-107 redefine el banner sobre alerts con failed_at y sin delivered_at, pero no se usa para reinterpretar el criterio canónico.</w:t>
            </w:r>
          </w:p>
        </w:tc>
      </w:tr>
      <w:tr>
        <w:trPr>
          <w:cantSplit/>
        </w:trPr>
        <w:tc>
          <w:tcPr>
            <w:tcW w:w="1000" w:type="dxa"/>
          </w:tcPr>
          <w:p>
            <w:pPr>
              <w:pStyle w:val="Compact"/>
              <w:jc w:val="left"/>
            </w:pPr>
            <w:r>
              <w:rPr>
                <w:sz w:val="17"/>
                <w:szCs w:val="17"/>
              </w:rPr>
              <w:t>US-06</w:t>
            </w:r>
          </w:p>
        </w:tc>
        <w:tc>
          <w:tcPr>
            <w:tcW w:w="3300" w:type="dxa"/>
          </w:tcPr>
          <w:p>
            <w:pPr>
              <w:pStyle w:val="Compact"/>
              <w:jc w:val="left"/>
            </w:pPr>
            <w:r>
              <w:rPr>
                <w:sz w:val="17"/>
                <w:szCs w:val="17"/>
              </w:rPr>
              <w:t>Listado de eventos: Tabla paginada 50/página. Fila con path, estado, acción, severidad, fecha y proceso causante. Orden desc. Excluye superseded</w:t>
            </w:r>
          </w:p>
        </w:tc>
        <w:tc>
          <w:tcPr>
            <w:tcW w:w="1150" w:type="dxa"/>
          </w:tcPr>
          <w:p>
            <w:pPr>
              <w:pStyle w:val="Compact"/>
              <w:jc w:val="left"/>
            </w:pPr>
            <w:r>
              <w:rPr>
                <w:sz w:val="17"/>
                <w:szCs w:val="17"/>
              </w:rPr>
              <w:t>COMPLETA</w:t>
            </w:r>
          </w:p>
        </w:tc>
        <w:tc>
          <w:tcPr>
            <w:tcW w:w="4050" w:type="dxa"/>
          </w:tcPr>
          <w:p>
            <w:pPr>
              <w:pStyle w:val="Compact"/>
              <w:jc w:val="left"/>
            </w:pPr>
            <w:r>
              <w:rPr>
                <w:sz w:val="17"/>
                <w:szCs w:val="17"/>
              </w:rPr>
              <w:t>test_event_listing_contract.py (4), test_c31_backend_event_correctness.py (1), eventFilters.test.ts (2), EventsTable.test.tsx (5). detalle §5.6. docs/trazabilidad_us_tests.md.</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US-07</w:t>
            </w:r>
          </w:p>
        </w:tc>
        <w:tc>
          <w:tcPr>
            <w:tcW w:w="3300" w:type="dxa"/>
          </w:tcPr>
          <w:p>
            <w:pPr>
              <w:pStyle w:val="Compact"/>
              <w:jc w:val="left"/>
            </w:pPr>
            <w:r>
              <w:rPr>
                <w:sz w:val="17"/>
                <w:szCs w:val="17"/>
              </w:rPr>
              <w:t>Filtrado por estado: Selector de los 7 estados. Multi-selección. Superseded excluido. Toggle. Actualización dinámica</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frontend/src/pages/Events.test.tsx (bloque US-07: seis estados base, siete con el toggle, selección múltiple, exclusión por defecto y actualización dinámica). Evidencia por criterio: docs/cierre/evidencia/v10-closure-20260912T190052Z/backlog/.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US-08</w:t>
            </w:r>
          </w:p>
        </w:tc>
        <w:tc>
          <w:tcPr>
            <w:tcW w:w="3300" w:type="dxa"/>
          </w:tcPr>
          <w:p>
            <w:pPr>
              <w:pStyle w:val="Compact"/>
              <w:jc w:val="left"/>
            </w:pPr>
            <w:r>
              <w:rPr>
                <w:sz w:val="17"/>
                <w:szCs w:val="17"/>
              </w:rPr>
              <w:t>Detalle de un evento: Vista de detalle. Campos. Timestamps dobles con clock skew W13. Contexto forense del proceso. Enlace al padre. Posición en la cadena</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Tipo de acción derivado del estado, severidad, fecha de creación y posición en la cadena en EventDetail; pruebas backend action_type_* y EventDetail.test.tsx. Evidencia por criterio: docs/cierre/evidencia/v10-closure-20260912T190052Z/lanes/l4/CRITERIOS.md.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US-09</w:t>
            </w:r>
          </w:p>
        </w:tc>
        <w:tc>
          <w:tcPr>
            <w:tcW w:w="3300" w:type="dxa"/>
          </w:tcPr>
          <w:p>
            <w:pPr>
              <w:pStyle w:val="Compact"/>
              <w:jc w:val="left"/>
            </w:pPr>
            <w:r>
              <w:rPr>
                <w:sz w:val="17"/>
                <w:szCs w:val="17"/>
              </w:rPr>
              <w:t>Diff de un evento: vista lado a lado o unificada. Diff sólo para texto. Binarios con comparación de hashes y hex dump parcial. Detección automática. React-diff-viewer-continued con escapado. No loguear el contenido del diff y registrar sólo hashes/tamaño</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docs/cierre/evidencia/v10-closure-20260912T190052Z/lanes/l6/CRITERIOS.md.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US-10</w:t>
            </w:r>
          </w:p>
        </w:tc>
        <w:tc>
          <w:tcPr>
            <w:tcW w:w="3300" w:type="dxa"/>
          </w:tcPr>
          <w:p>
            <w:pPr>
              <w:pStyle w:val="Compact"/>
              <w:jc w:val="left"/>
            </w:pPr>
            <w:r>
              <w:rPr>
                <w:sz w:val="17"/>
                <w:szCs w:val="17"/>
              </w:rPr>
              <w:t>Cadena de eventos: Acceso a la cadena del path. Orden cronológico con marca de superseded. Navegación. Ícono de cadena rota y parent_event_id</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GET /events/{event_id}/chain y vista /events/:id/chain con orden cronológico, navegación e ícono de cadena rota con parent_event_id. Evidencia por criterio: docs/cierre/evidencia/v10-closure-20260912T190052Z/lanes/l4/CRITERIOS.md.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US-11</w:t>
            </w:r>
          </w:p>
        </w:tc>
        <w:tc>
          <w:tcPr>
            <w:tcW w:w="3300" w:type="dxa"/>
          </w:tcPr>
          <w:p>
            <w:pPr>
              <w:pStyle w:val="Compact"/>
              <w:jc w:val="left"/>
            </w:pPr>
            <w:r>
              <w:rPr>
                <w:sz w:val="17"/>
                <w:szCs w:val="17"/>
              </w:rPr>
              <w:t>Aprobación de un evento: Botón. UPDATE optimista C5. Approved + resolved_at/resolved_by. Baseline con hash actual. Comando firmado C7 + C11. Agente rechaza firma/versión. Re-cifrado W10. Event_ack C3. Warning de archivo ausente. Audit_log. 409 + toast</w:t>
            </w:r>
          </w:p>
        </w:tc>
        <w:tc>
          <w:tcPr>
            <w:tcW w:w="1150" w:type="dxa"/>
          </w:tcPr>
          <w:p>
            <w:pPr>
              <w:pStyle w:val="Compact"/>
              <w:jc w:val="left"/>
            </w:pPr>
            <w:r>
              <w:rPr>
                <w:sz w:val="17"/>
                <w:szCs w:val="17"/>
              </w:rPr>
              <w:t>PARCIAL</w:t>
            </w:r>
          </w:p>
        </w:tc>
        <w:tc>
          <w:tcPr>
            <w:tcW w:w="4050" w:type="dxa"/>
          </w:tcPr>
          <w:p>
            <w:pPr>
              <w:pStyle w:val="Compact"/>
              <w:jc w:val="left"/>
            </w:pPr>
            <w:r>
              <w:rPr>
                <w:sz w:val="17"/>
                <w:szCs w:val="17"/>
              </w:rPr>
              <w:t>Regresiones en test_actions.py, test_commands.py y test_baseline.py. detalle histórico §5.11. commit 8d37075. tests citados. detalle §5.11.</w:t>
            </w:r>
          </w:p>
        </w:tc>
        <w:tc>
          <w:tcPr>
            <w:tcW w:w="4500" w:type="dxa"/>
          </w:tcPr>
          <w:p>
            <w:pPr>
              <w:pStyle w:val="Compact"/>
              <w:jc w:val="left"/>
            </w:pPr>
            <w:r>
              <w:rPr>
                <w:sz w:val="17"/>
                <w:szCs w:val="17"/>
              </w:rPr>
              <w:t xml:space="preserve">Faltan pruebas automatizadas del toast de conflicto 409 y del aviso de archivo ausente, cuya implementación existe (useEventActions.ts, EventDetail.tsx). Además, el criterio canónico exige actualizar el baseline con el hash actual del archivo; la implementación usa el hash reportado por el evento según la decisión D2. Esa divergencia no se reinterpreta como cumplimiento.</w:t>
            </w:r>
          </w:p>
        </w:tc>
      </w:tr>
      <w:tr>
        <w:trPr>
          <w:cantSplit/>
        </w:trPr>
        <w:tc>
          <w:tcPr>
            <w:tcW w:w="1000" w:type="dxa"/>
          </w:tcPr>
          <w:p>
            <w:pPr>
              <w:pStyle w:val="Compact"/>
              <w:jc w:val="left"/>
            </w:pPr>
            <w:r>
              <w:rPr>
                <w:sz w:val="17"/>
                <w:szCs w:val="17"/>
              </w:rPr>
              <w:t>US-12</w:t>
            </w:r>
          </w:p>
        </w:tc>
        <w:tc>
          <w:tcPr>
            <w:tcW w:w="3300" w:type="dxa"/>
          </w:tcPr>
          <w:p>
            <w:pPr>
              <w:pStyle w:val="Compact"/>
              <w:jc w:val="left"/>
            </w:pPr>
            <w:r>
              <w:rPr>
                <w:sz w:val="17"/>
                <w:szCs w:val="17"/>
              </w:rPr>
              <w:t>Rechazo de un evento: Botón. Elección restore/quarantine. Modal ante baseline absent C10. No-op con warning. UPDATE optimista. Rejected + campos. Comando firmado C7 + C11. Journal pre-acción W2. Audit_log</w:t>
            </w:r>
          </w:p>
        </w:tc>
        <w:tc>
          <w:tcPr>
            <w:tcW w:w="1150" w:type="dxa"/>
          </w:tcPr>
          <w:p>
            <w:pPr>
              <w:pStyle w:val="Compact"/>
              <w:jc w:val="left"/>
            </w:pPr>
            <w:r>
              <w:rPr>
                <w:sz w:val="17"/>
                <w:szCs w:val="17"/>
              </w:rPr>
              <w:t>PARCIAL</w:t>
            </w:r>
          </w:p>
        </w:tc>
        <w:tc>
          <w:tcPr>
            <w:tcW w:w="4050" w:type="dxa"/>
          </w:tcPr>
          <w:p>
            <w:pPr>
              <w:pStyle w:val="Compact"/>
              <w:jc w:val="left"/>
            </w:pPr>
            <w:r>
              <w:rPr>
                <w:sz w:val="17"/>
                <w:szCs w:val="17"/>
              </w:rPr>
              <w:t>Verificación existente más U1 76/76 y U2 50/50 dirigidas sobre instantáneas limpias. commits b060e5f, 947edb6. test_quarantine.py, test_quarantine_maintenance.py. detalle §5.12.</w:t>
            </w:r>
          </w:p>
        </w:tc>
        <w:tc>
          <w:tcPr>
            <w:tcW w:w="4500" w:type="dxa"/>
          </w:tcPr>
          <w:p>
            <w:pPr>
              <w:pStyle w:val="Compact"/>
              <w:jc w:val="left"/>
            </w:pPr>
            <w:r>
              <w:rPr>
                <w:sz w:val="17"/>
                <w:szCs w:val="17"/>
              </w:rPr>
              <w:t>No se aserta el estado final del journal; ruleset_version no integra estos comandos y faltan criterios visuales.</w:t>
            </w:r>
          </w:p>
        </w:tc>
      </w:tr>
      <w:tr>
        <w:trPr>
          <w:cantSplit/>
        </w:trPr>
        <w:tc>
          <w:tcPr>
            <w:tcW w:w="1000" w:type="dxa"/>
          </w:tcPr>
          <w:p>
            <w:pPr>
              <w:pStyle w:val="Compact"/>
              <w:jc w:val="left"/>
            </w:pPr>
            <w:r>
              <w:rPr>
                <w:sz w:val="17"/>
                <w:szCs w:val="17"/>
              </w:rPr>
              <w:t>US-13</w:t>
            </w:r>
          </w:p>
        </w:tc>
        <w:tc>
          <w:tcPr>
            <w:tcW w:w="3300" w:type="dxa"/>
          </w:tcPr>
          <w:p>
            <w:pPr>
              <w:pStyle w:val="Compact"/>
              <w:jc w:val="left"/>
            </w:pPr>
            <w:r>
              <w:rPr>
                <w:sz w:val="17"/>
                <w:szCs w:val="17"/>
              </w:rPr>
              <w:t>Superseded automático: Nuevo evento supersede al pending. Vínculo parent_event_id. No aparece en pendientes. Transición validada C2. Accesible por el toggle</w:t>
            </w:r>
          </w:p>
        </w:tc>
        <w:tc>
          <w:tcPr>
            <w:tcW w:w="1150" w:type="dxa"/>
          </w:tcPr>
          <w:p>
            <w:pPr>
              <w:pStyle w:val="Compact"/>
              <w:jc w:val="left"/>
            </w:pPr>
            <w:r>
              <w:rPr>
                <w:sz w:val="17"/>
                <w:szCs w:val="17"/>
              </w:rPr>
              <w:t>COMPLETA</w:t>
            </w:r>
          </w:p>
        </w:tc>
        <w:tc>
          <w:tcPr>
            <w:tcW w:w="4050" w:type="dxa"/>
          </w:tcPr>
          <w:p>
            <w:pPr>
              <w:pStyle w:val="Compact"/>
              <w:jc w:val="left"/>
            </w:pPr>
            <w:r>
              <w:rPr>
                <w:sz w:val="17"/>
                <w:szCs w:val="17"/>
              </w:rPr>
              <w:t>test_event_listing_contract.py (3), test_event_service.py (7), test_event_status_derivation.py (5), test_c31_backend_event_correctness.py (2), test_event_consumer_c11.py (1), test_c22_consumer.py (1). detalle §5.13. docs/trazabilidad_us_tests.md.</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US-14</w:t>
            </w:r>
          </w:p>
        </w:tc>
        <w:tc>
          <w:tcPr>
            <w:tcW w:w="3300" w:type="dxa"/>
          </w:tcPr>
          <w:p>
            <w:pPr>
              <w:pStyle w:val="Compact"/>
              <w:jc w:val="left"/>
            </w:pPr>
            <w:r>
              <w:rPr>
                <w:sz w:val="17"/>
                <w:szCs w:val="17"/>
              </w:rPr>
              <w:t>Listado de reglas: Tabla. Fila con patrón, severidad y acción. Leyenda del default alert_only. Ruleset_version del sistema</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GET /rules/version, ruleset_version visible en Reglas y leyenda del valor por defecto alert_only. Evidencia por criterio: docs/cierre/evidencia/v10-closure-20260912T190052Z/lanes/l1/CRITERIOS.md.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US-15</w:t>
            </w:r>
          </w:p>
        </w:tc>
        <w:tc>
          <w:tcPr>
            <w:tcW w:w="3300" w:type="dxa"/>
          </w:tcPr>
          <w:p>
            <w:pPr>
              <w:pStyle w:val="Compact"/>
              <w:jc w:val="left"/>
            </w:pPr>
            <w:r>
              <w:rPr>
                <w:sz w:val="17"/>
                <w:szCs w:val="17"/>
              </w:rPr>
              <w:t>Creación de regla: Formulario. Glob y negación !. La exclusiva gana. Persistencia. Patrón no duplicado. Ruleset_version++ C11 + sync. Audit_log</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Negación con ! en determine_severity_for_path (la regla exclusiva gana) y rechazo 422 de patrones duplicados; regresión de severidad y alertas. Evidencia por criterio: docs/cierre/evidencia/v10-closure-20260912T190052Z/lanes/l1/CRITERIOS.md.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US-16</w:t>
            </w:r>
          </w:p>
        </w:tc>
        <w:tc>
          <w:tcPr>
            <w:tcW w:w="3300" w:type="dxa"/>
          </w:tcPr>
          <w:p>
            <w:pPr>
              <w:pStyle w:val="Compact"/>
              <w:jc w:val="left"/>
            </w:pPr>
            <w:r>
              <w:rPr>
                <w:sz w:val="17"/>
                <w:szCs w:val="17"/>
              </w:rPr>
              <w:t>Edición de regla: formulario precargado. Modificar patrón/severidad/acción. Persistencia. Ruleset_version++ + sync. Audit_log</w:t>
            </w:r>
          </w:p>
        </w:tc>
        <w:tc>
          <w:tcPr>
            <w:tcW w:w="1150" w:type="dxa"/>
          </w:tcPr>
          <w:p>
            <w:pPr>
              <w:pStyle w:val="Compact"/>
              <w:jc w:val="left"/>
            </w:pPr>
            <w:r>
              <w:rPr>
                <w:sz w:val="17"/>
                <w:szCs w:val="17"/>
              </w:rPr>
              <w:t>COMPLETA</w:t>
            </w:r>
          </w:p>
        </w:tc>
        <w:tc>
          <w:tcPr>
            <w:tcW w:w="4050" w:type="dxa"/>
          </w:tcPr>
          <w:p>
            <w:pPr>
              <w:pStyle w:val="Compact"/>
              <w:jc w:val="left"/>
            </w:pPr>
            <w:r>
              <w:rPr>
                <w:sz w:val="17"/>
                <w:szCs w:val="17"/>
              </w:rPr>
              <w:t xml:space="preserve">frontend/e2e/us-isolated-lab.spec.ts::US-16 and US-17. docs/cierre/evidencia/us03-us16-us17-us25-isolated-20260911T015529Z/. Individual 1/1. combinado 3/3 repetido dos veces. E2E dirigido PASS en el candidato 7df4935 (final-consolidated-fixed-20260911T225314Z/e2e-us03-us16-us17-us25) y código 0 en el candidato 7a7ee50 (final-consolidated-v10-20260912T210903Z/e2e/e2e-us03-us16-us17-us25).</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US-17</w:t>
            </w:r>
          </w:p>
        </w:tc>
        <w:tc>
          <w:tcPr>
            <w:tcW w:w="3300" w:type="dxa"/>
          </w:tcPr>
          <w:p>
            <w:pPr>
              <w:pStyle w:val="Compact"/>
              <w:jc w:val="left"/>
            </w:pPr>
            <w:r>
              <w:rPr>
                <w:sz w:val="17"/>
                <w:szCs w:val="17"/>
              </w:rPr>
              <w:t>Eliminación de regla: borrar. Confirmar. Eliminar fila. Ruleset_version++ + sync. Default alert_only. Audit_log</w:t>
            </w:r>
          </w:p>
        </w:tc>
        <w:tc>
          <w:tcPr>
            <w:tcW w:w="1150" w:type="dxa"/>
          </w:tcPr>
          <w:p>
            <w:pPr>
              <w:pStyle w:val="Compact"/>
              <w:jc w:val="left"/>
            </w:pPr>
            <w:r>
              <w:rPr>
                <w:sz w:val="17"/>
                <w:szCs w:val="17"/>
              </w:rPr>
              <w:t>COMPLETA</w:t>
            </w:r>
          </w:p>
        </w:tc>
        <w:tc>
          <w:tcPr>
            <w:tcW w:w="4050" w:type="dxa"/>
          </w:tcPr>
          <w:p>
            <w:pPr>
              <w:pStyle w:val="Compact"/>
              <w:jc w:val="left"/>
            </w:pPr>
            <w:r>
              <w:rPr>
                <w:sz w:val="17"/>
                <w:szCs w:val="17"/>
              </w:rPr>
              <w:t xml:space="preserve">frontend/e2e/us-isolated-lab.spec.ts::US-16 and US-17. docs/cierre/evidencia/us03-us16-us17-us25-isolated-20260911T015529Z/. Individual 1/1. combinado 3/3 repetido dos veces. E2E dirigido PASS en el candidato 7df4935 (final-consolidated-fixed-20260911T225314Z/e2e-us03-us16-us17-us25) y código 0 en el candidato 7a7ee50 (final-consolidated-v10-20260912T210903Z/e2e/e2e-us03-us16-us17-us25).</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US-18</w:t>
            </w:r>
          </w:p>
        </w:tc>
        <w:tc>
          <w:tcPr>
            <w:tcW w:w="3300" w:type="dxa"/>
          </w:tcPr>
          <w:p>
            <w:pPr>
              <w:pStyle w:val="Compact"/>
              <w:jc w:val="left"/>
            </w:pPr>
            <w:r>
              <w:rPr>
                <w:sz w:val="17"/>
                <w:szCs w:val="17"/>
              </w:rPr>
              <w:t>Sync automática de reglas: Publica rule_sync. Firma C7 + ruleset_version C11. El agente verifica firma. Descarta versiones menores. Reemplaza caché sin reiniciar. Persiste en state.json. Comandos antes que eventos W4. Event_ack C3</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rule_sync con command_id firmado y ack_status pending; el agente confirma con event_ack firmado; pruebas de integración publisher→RulesCache y persistencia en state.json. Evidencia por criterio: docs/cierre/evidencia/v10-closure-20260912T190052Z/lanes/l1/CRITERIOS.md.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US-19</w:t>
            </w:r>
          </w:p>
        </w:tc>
        <w:tc>
          <w:tcPr>
            <w:tcW w:w="3300" w:type="dxa"/>
          </w:tcPr>
          <w:p>
            <w:pPr>
              <w:pStyle w:val="Compact"/>
              <w:jc w:val="left"/>
            </w:pPr>
            <w:r>
              <w:rPr>
                <w:sz w:val="17"/>
                <w:szCs w:val="17"/>
              </w:rPr>
              <w:t>Listado de alertas: Lista ordenada por fecha desc. Fila con path, severidad, acción, fecha y canal. Navegación al evento</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path y action_taken en AlertResponse, orden descendente probado y navegación al detalle del evento. Evidencia por criterio: docs/cierre/evidencia/v10-closure-20260912T190052Z/lanes/l3/CRITERIOS.md.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US-20</w:t>
            </w:r>
          </w:p>
        </w:tc>
        <w:tc>
          <w:tcPr>
            <w:tcW w:w="3300" w:type="dxa"/>
          </w:tcPr>
          <w:p>
            <w:pPr>
              <w:pStyle w:val="Compact"/>
              <w:jc w:val="left"/>
            </w:pPr>
            <w:r>
              <w:rPr>
                <w:sz w:val="17"/>
                <w:szCs w:val="17"/>
              </w:rPr>
              <w:t>Alertas en tiempo real: Conexión SSE. Alerta ante nuevo evento. Notificación visual. Reconexión automática</w:t>
            </w:r>
          </w:p>
        </w:tc>
        <w:tc>
          <w:tcPr>
            <w:tcW w:w="1150" w:type="dxa"/>
          </w:tcPr>
          <w:p>
            <w:pPr>
              <w:pStyle w:val="Compact"/>
              <w:jc w:val="left"/>
            </w:pPr>
            <w:r>
              <w:rPr>
                <w:sz w:val="17"/>
                <w:szCs w:val="17"/>
              </w:rPr>
              <w:t>COMPLETA</w:t>
            </w:r>
          </w:p>
        </w:tc>
        <w:tc>
          <w:tcPr>
            <w:tcW w:w="4050" w:type="dxa"/>
          </w:tcPr>
          <w:p>
            <w:pPr>
              <w:pStyle w:val="Compact"/>
              <w:jc w:val="left"/>
            </w:pPr>
            <w:r>
              <w:rPr>
                <w:sz w:val="17"/>
                <w:szCs w:val="17"/>
              </w:rPr>
              <w:t xml:space="preserve">frontend/e2e/us20-realtime-alerts.spec.ts. dos corridas individuales 2/2 y dos combinadas 5/5 PASS sobre la misma instantánea congelada. docs/cierre/evidencia/us02-us20-us31-fixed-us20isolated20260911T0220Z/. E2E dirigido PASS en el candidato 7df4935 (final-consolidated-fixed-20260911T225314Z/e2e-us02-us20-us31) y código 0 en el candidato 7a7ee50 (final-consolidated-v10-20260912T210903Z/e2e/e2e-us02-us20-us31).</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US-21</w:t>
            </w:r>
          </w:p>
        </w:tc>
        <w:tc>
          <w:tcPr>
            <w:tcW w:w="3300" w:type="dxa"/>
          </w:tcPr>
          <w:p>
            <w:pPr>
              <w:pStyle w:val="Compact"/>
              <w:jc w:val="left"/>
            </w:pPr>
            <w:r>
              <w:rPr>
                <w:sz w:val="17"/>
                <w:szCs w:val="17"/>
              </w:rPr>
              <w:t>Estado de agentes: Lista. Identificador, estado, última actividad, ruleset_version, queue_size. Realce de no-ok. Heartbeat 10 s / 30 s → offline / 5 min → dead + webhook / shutdown → draining. Banner de queue_pressure W3</w:t>
            </w:r>
          </w:p>
        </w:tc>
        <w:tc>
          <w:tcPr>
            <w:tcW w:w="1150" w:type="dxa"/>
          </w:tcPr>
          <w:p>
            <w:pPr>
              <w:pStyle w:val="Compact"/>
              <w:jc w:val="left"/>
            </w:pPr>
            <w:r>
              <w:rPr>
                <w:sz w:val="17"/>
                <w:szCs w:val="17"/>
              </w:rPr>
              <w:t>PARCIAL</w:t>
            </w:r>
          </w:p>
        </w:tc>
        <w:tc>
          <w:tcPr>
            <w:tcW w:w="4050" w:type="dxa"/>
          </w:tcPr>
          <w:p>
            <w:pPr>
              <w:pStyle w:val="Compact"/>
              <w:jc w:val="left"/>
            </w:pPr>
            <w:r>
              <w:rPr>
                <w:sz w:val="17"/>
                <w:szCs w:val="17"/>
              </w:rPr>
              <w:t xml:space="preserve">queue_size persistido (migración 015), webhook n8n al pasar a dead, banner al 80 % de queue_pressure y prueba del intervalo de latido. Evidencia por criterio: docs/cierre/evidencia/v10-closure-20260912T190052Z/lanes/l5/CRITERIOS.md.</w:t>
            </w:r>
          </w:p>
        </w:tc>
        <w:tc>
          <w:tcPr>
            <w:tcW w:w="4500" w:type="dxa"/>
          </w:tcPr>
          <w:p>
            <w:pPr>
              <w:pStyle w:val="Compact"/>
              <w:jc w:val="left"/>
            </w:pPr>
            <w:r>
              <w:rPr>
                <w:sz w:val="17"/>
                <w:szCs w:val="17"/>
              </w:rPr>
              <w:t xml:space="preserve">Divergencia documentada: el criterio canónico describe queue_pressure como indicador booleano (true al superar el 80 %); la implementación lo transmite como proporción entre 0 y 1 y la interfaz aplica el umbral del 80 %. La representación difiere del texto canónico y no se reinterpreta como cumplimiento.</w:t>
            </w:r>
          </w:p>
        </w:tc>
      </w:tr>
      <w:tr>
        <w:trPr>
          <w:cantSplit/>
        </w:trPr>
        <w:tc>
          <w:tcPr>
            <w:tcW w:w="1000" w:type="dxa"/>
          </w:tcPr>
          <w:p>
            <w:pPr>
              <w:pStyle w:val="Compact"/>
              <w:jc w:val="left"/>
            </w:pPr>
            <w:r>
              <w:rPr>
                <w:sz w:val="17"/>
                <w:szCs w:val="17"/>
              </w:rPr>
              <w:t>US-22</w:t>
            </w:r>
          </w:p>
        </w:tc>
        <w:tc>
          <w:tcPr>
            <w:tcW w:w="3300" w:type="dxa"/>
          </w:tcPr>
          <w:p>
            <w:pPr>
              <w:pStyle w:val="Compact"/>
              <w:jc w:val="left"/>
            </w:pPr>
            <w:r>
              <w:rPr>
                <w:sz w:val="17"/>
                <w:szCs w:val="17"/>
              </w:rPr>
              <w:t>Re-scan de baseline: Botón con selección de paths. Diálogo con los pending afectados. Confirmación explícita. Supersesión + comando firmado C7 con ruleset_version++ C11. El agente verifica firma y versión. Regenera baseline cifrado W10. Event_ack C3. Confirmación visual. Audit_log. Deshabilitado si draining</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Re-scan con selección de rutas, ruleset_version en rescan_baseline y control de versión en el agente. Evidencia por criterio: docs/cierre/evidencia/v10-closure-20260912T190052Z/lanes/l5/CRITERIOS.md.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US-23</w:t>
            </w:r>
          </w:p>
        </w:tc>
        <w:tc>
          <w:tcPr>
            <w:tcW w:w="3300" w:type="dxa"/>
          </w:tcPr>
          <w:p>
            <w:pPr>
              <w:pStyle w:val="Compact"/>
              <w:jc w:val="left"/>
            </w:pPr>
            <w:r>
              <w:rPr>
                <w:sz w:val="17"/>
                <w:szCs w:val="17"/>
              </w:rPr>
              <w:t>Notificación externa: Webhook n8n ante critical/high. Payload con contexto de proceso y timestamps. N8n como enrutador. Retry 5/30/120 s. Cascada SMTP → webhook → log. Fila en DLQ. N8n caído no compromete la operación</w:t>
            </w:r>
          </w:p>
        </w:tc>
        <w:tc>
          <w:tcPr>
            <w:tcW w:w="1150" w:type="dxa"/>
          </w:tcPr>
          <w:p>
            <w:pPr>
              <w:pStyle w:val="Compact"/>
              <w:jc w:val="left"/>
            </w:pPr>
            <w:r>
              <w:rPr>
                <w:sz w:val="17"/>
                <w:szCs w:val="17"/>
              </w:rPr>
              <w:t>PARCIAL</w:t>
            </w:r>
          </w:p>
        </w:tc>
        <w:tc>
          <w:tcPr>
            <w:tcW w:w="4050" w:type="dxa"/>
          </w:tcPr>
          <w:p>
            <w:pPr>
              <w:pStyle w:val="Compact"/>
              <w:jc w:val="left"/>
            </w:pPr>
            <w:r>
              <w:rPr>
                <w:sz w:val="17"/>
                <w:szCs w:val="17"/>
              </w:rPr>
              <w:t xml:space="preserve">Laboratorio local l7 con retardos nominales de 5, 30 y 120 s: entrega SMTP controlada (Mailpit), webhook alternativo y log crítico; operación autenticada disponible durante la caída de n8n. Evaluaciones n8n previas: n8n/e2e/evidence/. Evidencia por criterio: docs/cierre/evidencia/v10-closure-20260912T190052Z/lanes/l7/CRITERIOS.md.</w:t>
            </w:r>
          </w:p>
        </w:tc>
        <w:tc>
          <w:tcPr>
            <w:tcW w:w="4500" w:type="dxa"/>
          </w:tcPr>
          <w:p>
            <w:pPr>
              <w:pStyle w:val="Compact"/>
              <w:jc w:val="left"/>
            </w:pPr>
            <w:r>
              <w:rPr>
                <w:sz w:val="17"/>
                <w:szCs w:val="17"/>
              </w:rPr>
              <w:t xml:space="preserve">Divergencia documentada: el criterio exige una fila en failed_notifications con payload_json; por D6/RN-107 la persistencia usa alerts sin payload_json, y ese reemplazo no se reinterpreta como cumplimiento. Los otros siete criterios cuentan con evidencia; no se acreditan proveedores comerciales.</w:t>
            </w:r>
          </w:p>
        </w:tc>
      </w:tr>
      <w:tr>
        <w:trPr>
          <w:cantSplit/>
        </w:trPr>
        <w:tc>
          <w:tcPr>
            <w:tcW w:w="1000" w:type="dxa"/>
          </w:tcPr>
          <w:p>
            <w:pPr>
              <w:pStyle w:val="Compact"/>
              <w:jc w:val="left"/>
            </w:pPr>
            <w:r>
              <w:rPr>
                <w:sz w:val="17"/>
                <w:szCs w:val="17"/>
              </w:rPr>
              <w:t>US-24</w:t>
            </w:r>
          </w:p>
        </w:tc>
        <w:tc>
          <w:tcPr>
            <w:tcW w:w="3300" w:type="dxa"/>
          </w:tcPr>
          <w:p>
            <w:pPr>
              <w:pStyle w:val="Compact"/>
              <w:jc w:val="left"/>
            </w:pPr>
            <w:r>
              <w:rPr>
                <w:sz w:val="17"/>
                <w:szCs w:val="17"/>
              </w:rPr>
              <w:t>Paths monitoreados: Lista de paths por agente. Agregar. Quitar. Persistencia. Update_config firmado C7 + ruleset_version++ C11. El agente verifica y recarga en caliente. Baseline scan de paths nuevos W10. Event_ack C3. Bootstrap desde YAML → autoridad en PostgreSQL. Audit_log. Deshabilitado si draining</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UI de listar, agregar y quitar rutas y guardado deshabilitado en draining (l10); laboratorio privilegiado con fanotify real: update_config firmado y versionado, marcas agregadas y quitadas en caliente, baseline de rutas nuevas, event_ack y audit_log (l7). Evidencia por criterio: docs/cierre/evidencia/v10-closure-20260912T190052Z/lanes/l10/CRITERIOS.md y docs/cierre/evidencia/v10-closure-20260912T190052Z/lanes/l7/CRITERIOS.md.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US-25</w:t>
            </w:r>
          </w:p>
        </w:tc>
        <w:tc>
          <w:tcPr>
            <w:tcW w:w="3300" w:type="dxa"/>
          </w:tcPr>
          <w:p>
            <w:pPr>
              <w:pStyle w:val="Compact"/>
              <w:jc w:val="left"/>
            </w:pPr>
            <w:r>
              <w:rPr>
                <w:sz w:val="17"/>
                <w:szCs w:val="17"/>
              </w:rPr>
              <w:t>Bulk approve/reject: selección. Modal. Acción compartida. Event_ids[]. Locking por versión capturada. Resultado parcial. Comando firmado. Auditoría. Resumen/refresco</w:t>
            </w:r>
          </w:p>
        </w:tc>
        <w:tc>
          <w:tcPr>
            <w:tcW w:w="1150" w:type="dxa"/>
          </w:tcPr>
          <w:p>
            <w:pPr>
              <w:pStyle w:val="Compact"/>
              <w:jc w:val="left"/>
            </w:pPr>
            <w:r>
              <w:rPr>
                <w:sz w:val="17"/>
                <w:szCs w:val="17"/>
              </w:rPr>
              <w:t>COMPLETA</w:t>
            </w:r>
          </w:p>
        </w:tc>
        <w:tc>
          <w:tcPr>
            <w:tcW w:w="4050" w:type="dxa"/>
          </w:tcPr>
          <w:p>
            <w:pPr>
              <w:pStyle w:val="Compact"/>
              <w:jc w:val="left"/>
            </w:pPr>
            <w:r>
              <w:rPr>
                <w:sz w:val="17"/>
                <w:szCs w:val="17"/>
              </w:rPr>
              <w:t xml:space="preserve">contracts/actions.bulk-reject.request.json. frontend/e2e/us25-bulk-actions.spec.ts. frontend/e2e/us-isolated-lab.spec.ts::US-25. docs/cierre/evidencia/us03-us16-us17-us25-isolated-20260911T015529Z/. Individual 1/1. combinado 3/3 repetido dos veces. backend dirigido 66/66. E2E dirigido PASS en el candidato 7df4935 (final-consolidated-fixed-20260911T225314Z/e2e-us03-us16-us17-us25) y código 0 en el candidato 7a7ee50 (final-consolidated-v10-20260912T210903Z/e2e/e2e-us03-us16-us17-us25).</w:t>
            </w:r>
          </w:p>
        </w:tc>
        <w:tc>
          <w:tcPr>
            <w:tcW w:w="4500" w:type="dxa"/>
          </w:tcPr>
          <w:p>
            <w:pPr>
              <w:pStyle w:val="Compact"/>
              <w:jc w:val="left"/>
            </w:pPr>
            <w:r>
              <w:rPr>
                <w:sz w:val="17"/>
                <w:szCs w:val="17"/>
              </w:rPr>
              <w:t>—. Todos los criterios canónicos cuentan con evidencia dentro del alcance indicado.</w:t>
            </w:r>
          </w:p>
        </w:tc>
      </w:tr>
      <w:tr>
        <w:trPr>
          <w:cantSplit/>
        </w:trPr>
        <w:tc>
          <w:tcPr>
            <w:tcW w:w="1000" w:type="dxa"/>
          </w:tcPr>
          <w:p>
            <w:pPr>
              <w:pStyle w:val="Compact"/>
              <w:jc w:val="left"/>
            </w:pPr>
            <w:r>
              <w:rPr>
                <w:sz w:val="17"/>
                <w:szCs w:val="17"/>
              </w:rPr>
              <w:t>US-26</w:t>
            </w:r>
          </w:p>
        </w:tc>
        <w:tc>
          <w:tcPr>
            <w:tcW w:w="3300" w:type="dxa"/>
          </w:tcPr>
          <w:p>
            <w:pPr>
              <w:pStyle w:val="Compact"/>
              <w:jc w:val="left"/>
            </w:pPr>
            <w:r>
              <w:rPr>
                <w:sz w:val="17"/>
                <w:szCs w:val="17"/>
              </w:rPr>
              <w:t>Paginación: 50 por página. Navegación numerada. Input "ir a página". ?page=N&amp;page_size=50. Respeta los filtros activos</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Componente Pagination con navegación numerada e "ir a página", respetando filtros activos. Evidencia por criterio: docs/cierre/evidencia/v10-closure-20260912T190052Z/lanes/l2/CRITERIOS.md.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US-27</w:t>
            </w:r>
          </w:p>
        </w:tc>
        <w:tc>
          <w:tcPr>
            <w:tcW w:w="3300" w:type="dxa"/>
          </w:tcPr>
          <w:p>
            <w:pPr>
              <w:pStyle w:val="Compact"/>
              <w:jc w:val="left"/>
            </w:pPr>
            <w:r>
              <w:rPr>
                <w:sz w:val="17"/>
                <w:szCs w:val="17"/>
              </w:rPr>
              <w:t>Cambio obligatorio de password: Seed con el flag. Scope password_change_only. Redirect forzado. Formulario con complejidad. Validación de la actual. Argon2id C9. Flag a false + tokens nuevos. Bloqueo de otras rutas. Re-exigencia. Audit_log</w:t>
            </w:r>
          </w:p>
        </w:tc>
        <w:tc>
          <w:tcPr>
            <w:tcW w:w="1150" w:type="dxa"/>
          </w:tcPr>
          <w:p>
            <w:pPr>
              <w:pStyle w:val="Compact"/>
              <w:jc w:val="left"/>
            </w:pPr>
            <w:r>
              <w:rPr>
                <w:sz w:val="17"/>
                <w:szCs w:val="17"/>
              </w:rPr>
              <w:t>PARCIAL</w:t>
            </w:r>
          </w:p>
        </w:tc>
        <w:tc>
          <w:tcPr>
            <w:tcW w:w="4050" w:type="dxa"/>
          </w:tcPr>
          <w:p>
            <w:pPr>
              <w:pStyle w:val="Compact"/>
              <w:jc w:val="left"/>
            </w:pPr>
            <w:r>
              <w:rPr>
                <w:sz w:val="17"/>
                <w:szCs w:val="17"/>
              </w:rPr>
              <w:t>test_auth.py (5), test_c22_auth.py (1), test_c22_scope_gate.py (5), modules/users/test_user_management.py (3). detalle §5.27. docs/trazabilidad_us_tests.md.</w:t>
            </w:r>
          </w:p>
        </w:tc>
        <w:tc>
          <w:tcPr>
            <w:tcW w:w="4500" w:type="dxa"/>
          </w:tcPr>
          <w:p>
            <w:pPr>
              <w:pStyle w:val="Compact"/>
              <w:jc w:val="left"/>
            </w:pPr>
            <w:r>
              <w:rPr>
                <w:sz w:val="17"/>
                <w:szCs w:val="17"/>
              </w:rPr>
              <w:t>Faltan validación de contraseña actual, complejidad, Argon2id, auditoría y re-exigencia tras cerrar sesión.</w:t>
            </w:r>
          </w:p>
        </w:tc>
      </w:tr>
      <w:tr>
        <w:trPr>
          <w:cantSplit/>
        </w:trPr>
        <w:tc>
          <w:tcPr>
            <w:tcW w:w="1000" w:type="dxa"/>
          </w:tcPr>
          <w:p>
            <w:pPr>
              <w:pStyle w:val="Compact"/>
              <w:jc w:val="left"/>
            </w:pPr>
            <w:r>
              <w:rPr>
                <w:sz w:val="17"/>
                <w:szCs w:val="17"/>
              </w:rPr>
              <w:t>US-28</w:t>
            </w:r>
          </w:p>
        </w:tc>
        <w:tc>
          <w:tcPr>
            <w:tcW w:w="3300" w:type="dxa"/>
          </w:tcPr>
          <w:p>
            <w:pPr>
              <w:pStyle w:val="Compact"/>
              <w:jc w:val="left"/>
            </w:pPr>
            <w:r>
              <w:rPr>
                <w:sz w:val="17"/>
                <w:szCs w:val="17"/>
              </w:rPr>
              <w:t>Banner de degradación: Poll cada 10 s. Estado de postgres, valkey, n8n y agentes. Banner rojo con componente y timestamp. Cerrable y reaparece. No bloquea. Webhook ante cambio de estado</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Banner cerrable que reaparece si la degradación persiste, marca del último chequeo sano, sondeo de 10 s y prueba HTTP de GET /health/components. Evidencia por criterio: docs/cierre/evidencia/v10-closure-20260912T190052Z/lanes/l2/CRITERIOS.md.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US-29</w:t>
            </w:r>
          </w:p>
        </w:tc>
        <w:tc>
          <w:tcPr>
            <w:tcW w:w="3300" w:type="dxa"/>
          </w:tcPr>
          <w:p>
            <w:pPr>
              <w:pStyle w:val="Compact"/>
              <w:jc w:val="left"/>
            </w:pPr>
            <w:r>
              <w:rPr>
                <w:sz w:val="17"/>
                <w:szCs w:val="17"/>
              </w:rPr>
              <w:t>Webhooks fallidos: Banner amarillo con retry_count &gt;= 3. Link a la vista. Tabla con event_id, primer intento, error y retry_count. Reintentar/descartar por fila. Bulk. Eliminación tras reintento exitoso. El banner desaparece. Audit_log</w:t>
            </w:r>
          </w:p>
        </w:tc>
        <w:tc>
          <w:tcPr>
            <w:tcW w:w="1150" w:type="dxa"/>
          </w:tcPr>
          <w:p>
            <w:pPr>
              <w:pStyle w:val="Compact"/>
              <w:jc w:val="left"/>
            </w:pPr>
            <w:r>
              <w:rPr>
                <w:sz w:val="17"/>
                <w:szCs w:val="17"/>
              </w:rPr>
              <w:t>PARCIAL</w:t>
            </w:r>
          </w:p>
        </w:tc>
        <w:tc>
          <w:tcPr>
            <w:tcW w:w="4050" w:type="dxa"/>
          </w:tcPr>
          <w:p>
            <w:pPr>
              <w:pStyle w:val="Compact"/>
              <w:jc w:val="left"/>
            </w:pPr>
            <w:r>
              <w:rPr>
                <w:sz w:val="17"/>
                <w:szCs w:val="17"/>
              </w:rPr>
              <w:t>test_notifications.py (9), AlertsBanner.test.tsx (5), test_sse_alerts.py (3). detalle §5.29. docs/trazabilidad_us_tests.md.</w:t>
            </w:r>
          </w:p>
        </w:tc>
        <w:tc>
          <w:tcPr>
            <w:tcW w:w="4500" w:type="dxa"/>
          </w:tcPr>
          <w:p>
            <w:pPr>
              <w:pStyle w:val="Compact"/>
              <w:jc w:val="left"/>
            </w:pPr>
            <w:r>
              <w:rPr>
                <w:sz w:val="17"/>
                <w:szCs w:val="17"/>
              </w:rPr>
              <w:t xml:space="preserve">Faltan umbral retry_count ≥ 3, ruta específica, audit_log de reintento y descarte, y una prueba del reintento masivo, que está implementado (FailedAlerts.tsx). La persistencia real usa alerts, no failed_notifications (D6/RN-107).</w:t>
            </w:r>
          </w:p>
        </w:tc>
      </w:tr>
      <w:tr>
        <w:trPr>
          <w:cantSplit/>
        </w:trPr>
        <w:tc>
          <w:tcPr>
            <w:tcW w:w="1000" w:type="dxa"/>
          </w:tcPr>
          <w:p>
            <w:pPr>
              <w:pStyle w:val="Compact"/>
              <w:jc w:val="left"/>
            </w:pPr>
            <w:r>
              <w:rPr>
                <w:sz w:val="17"/>
                <w:szCs w:val="17"/>
              </w:rPr>
              <w:t>US-30</w:t>
            </w:r>
          </w:p>
        </w:tc>
        <w:tc>
          <w:tcPr>
            <w:tcW w:w="3300" w:type="dxa"/>
          </w:tcPr>
          <w:p>
            <w:pPr>
              <w:pStyle w:val="Compact"/>
              <w:jc w:val="left"/>
            </w:pPr>
            <w:r>
              <w:rPr>
                <w:sz w:val="17"/>
                <w:szCs w:val="17"/>
              </w:rPr>
              <w:t>Agente en shutdown graceful: Deja de aceptar eventos. Drena con timeout 30 s. Heartbeat con shutdown: true. Backend marca draining. Indicador "Drenando N eventos". Botones deshabilitados con tooltip. Pasa a offline/dead</w:t>
            </w:r>
          </w:p>
        </w:tc>
        <w:tc>
          <w:tcPr>
            <w:tcW w:w="1150" w:type="dxa"/>
          </w:tcPr>
          <w:p>
            <w:pPr>
              <w:pStyle w:val="Compact"/>
              <w:jc w:val="left"/>
            </w:pPr>
            <w:r>
              <w:rPr>
                <w:sz w:val="17"/>
                <w:szCs w:val="17"/>
              </w:rPr>
              <w:t xml:space="preserve">COMPLETA</w:t>
            </w:r>
          </w:p>
        </w:tc>
        <w:tc>
          <w:tcPr>
            <w:tcW w:w="4050" w:type="dxa"/>
          </w:tcPr>
          <w:p>
            <w:pPr>
              <w:pStyle w:val="Compact"/>
              <w:jc w:val="left"/>
            </w:pPr>
            <w:r>
              <w:rPr>
                <w:sz w:val="17"/>
                <w:szCs w:val="17"/>
              </w:rPr>
              <w:t xml:space="preserve">El detector deja de aceptar eventos durante el drenaje, prueba del timeout de 30 s e indicador "Drenando N eventos" con botones deshabilitados. Evidencia por criterio: docs/cierre/evidencia/v10-closure-20260912T190052Z/lanes/l5/CRITERIOS.md. Candidato 7a7ee50: docs/cierre/evidencia/final-consolidated-v10-20260912T210903Z/.</w:t>
            </w:r>
          </w:p>
        </w:tc>
        <w:tc>
          <w:tcPr>
            <w:tcW w:w="4500" w:type="dxa"/>
          </w:tcPr>
          <w:p>
            <w:pPr>
              <w:pStyle w:val="Compact"/>
              <w:jc w:val="left"/>
            </w:pPr>
            <w:r>
              <w:rPr>
                <w:sz w:val="17"/>
                <w:szCs w:val="17"/>
              </w:rPr>
              <w:t xml:space="preserve">—. Todos los criterios canónicos cuentan con evidencia dentro del alcance indicado.</w:t>
            </w:r>
          </w:p>
        </w:tc>
      </w:tr>
      <w:tr>
        <w:trPr>
          <w:cantSplit/>
        </w:trPr>
        <w:tc>
          <w:tcPr>
            <w:tcW w:w="1000" w:type="dxa"/>
          </w:tcPr>
          <w:p>
            <w:pPr>
              <w:pStyle w:val="Compact"/>
              <w:jc w:val="left"/>
            </w:pPr>
            <w:r>
              <w:rPr>
                <w:sz w:val="17"/>
                <w:szCs w:val="17"/>
              </w:rPr>
              <w:t>US-31</w:t>
            </w:r>
          </w:p>
        </w:tc>
        <w:tc>
          <w:tcPr>
            <w:tcW w:w="3300" w:type="dxa"/>
          </w:tcPr>
          <w:p>
            <w:pPr>
              <w:pStyle w:val="Compact"/>
              <w:jc w:val="left"/>
            </w:pPr>
            <w:r>
              <w:rPr>
                <w:sz w:val="17"/>
                <w:szCs w:val="17"/>
              </w:rPr>
              <w:t>Toggle de superseded: Oculto por defecto. Checkbox. Ícono de cadena rota y parent_event_id. Persistencia en la URL. GET /events respeta el parámetro</w:t>
            </w:r>
          </w:p>
        </w:tc>
        <w:tc>
          <w:tcPr>
            <w:tcW w:w="1150" w:type="dxa"/>
          </w:tcPr>
          <w:p>
            <w:pPr>
              <w:pStyle w:val="Compact"/>
              <w:jc w:val="left"/>
            </w:pPr>
            <w:r>
              <w:rPr>
                <w:sz w:val="17"/>
                <w:szCs w:val="17"/>
              </w:rPr>
              <w:t>COMPLETA</w:t>
            </w:r>
          </w:p>
        </w:tc>
        <w:tc>
          <w:tcPr>
            <w:tcW w:w="4050" w:type="dxa"/>
          </w:tcPr>
          <w:p>
            <w:pPr>
              <w:pStyle w:val="Compact"/>
              <w:jc w:val="left"/>
            </w:pPr>
            <w:r>
              <w:rPr>
                <w:sz w:val="17"/>
                <w:szCs w:val="17"/>
              </w:rPr>
              <w:t xml:space="preserve">Unitario dirigido de EventsTable. frontend/e2e/us31-superseded-toggle.spec.ts. conjunto repetido 5/5 PASS. docs/cierre/evidencia/us02-us20-us31-fixed-us20isolated20260911T0220Z/. E2E dirigido PASS en el candidato 7df4935 (final-consolidated-fixed-20260911T225314Z/e2e-us02-us20-us31) y código 0 en el candidato 7a7ee50 (final-consolidated-v10-20260912T210903Z/e2e/e2e-us02-us20-us31).</w:t>
            </w:r>
          </w:p>
        </w:tc>
        <w:tc>
          <w:tcPr>
            <w:tcW w:w="4500" w:type="dxa"/>
          </w:tcPr>
          <w:p>
            <w:pPr>
              <w:pStyle w:val="Compact"/>
              <w:jc w:val="left"/>
            </w:pPr>
            <w:r>
              <w:rPr>
                <w:sz w:val="17"/>
                <w:szCs w:val="17"/>
              </w:rPr>
              <w:t>—. Todos los criterios canónicos cuentan con evidencia dentro del alcance indicado.</w:t>
            </w:r>
          </w:p>
        </w:tc>
      </w:tr>
    </w:tbl>
    <w:p>
      <w:pPr>
        <w:pStyle w:val="FirstParagraph"/>
      </w:pPr>
      <w:r>
        <w:t xml:space="preserve">Nota. Recuento verificable: COMPLETA = 23; PARCIAL = 8; SIN COBERTURA = 0; total = 31. El recuento 10/21/0 corresponde al candidato 7df4935 y se conserva como histórico. Las trece reclasificaciones se sostienen en implementación y pruebas por criterio incorporadas al candidato 7a7ee50, validado en docs/cierre/evidencia/final-consolidated-v10-20260912T210903Z/. Las ocho historias parciales lo son por criterios no demostrados o por divergencias entre el texto canónico y la implementación o decisiones documentadas (D2, D6/RN-107, OpenSpec y la representación de queue_pressure). Esas divergencias no se reinterpretan como cumplimiento.</w:t>
      </w:r>
    </w:p>
    <w:p>
      <w:pPr>
        <w:sectPr>
          <w:headerReference w:type="default" r:id="rId9"/>
          <w:footerReference w:type="default" r:id="rId10"/>
          <w:type w:val="nextPage"/>
          <w:pgSz w:w="16838" w:h="11906" w:orient="landscape"/>
          <w:pgMar w:top="1417" w:right="1134" w:bottom="1417" w:left="1701" w:header="708" w:footer="708" w:gutter="0"/>
          <w:cols w:space="708"/>
          <w:docGrid w:linePitch="360"/>
        </w:sectPr>
      </w:pPr>
    </w:p>
    <w:bookmarkEnd w:id="159"/>
    <w:bookmarkStart w:id="163" w:name="anexo-h.-diagrama-de-componentes"/>
    <w:p>
      <w:pPr>
        <w:pStyle w:val="Heading2"/>
      </w:pPr>
      <w:r>
        <w:t xml:space="preserve">Anexo H. Vista conceptual de componentes</w:t>
      </w:r>
    </w:p>
    <w:p>
      <w:pPr>
        <w:pStyle w:val="FirstParagraph"/>
      </w:pPr>
      <w:r>
        <w:t xml:space="preserve">El presente anexo complementa la descripción funcional de los Capítulos 4 y 6 con una representación visual de la organización interna del sistema. La Figura 10 ilustra los tres módulos del agente (detección, decisión, transporte), la organización del backend por dominio funcional, y la estructura de carpetas del frontend, mostrando además el canal de comunicación entre las tres capas (Valkey Streams entre agente y backend; HTTP/SSE entre backend y frontend).</w:t>
        <w:drawing>
          <wp:inline>
            <wp:extent cx="5760000" cy="3987692"/>
            <wp:effectExtent b="0" l="0" r="0" t="0"/>
            <wp:docPr descr="" title="" id="161" name="Picture"/>
            <a:graphic>
              <a:graphicData uri="http://schemas.openxmlformats.org/drawingml/2006/picture">
                <pic:pic>
                  <pic:nvPicPr>
                    <pic:cNvPr descr="./media/image7.png" id="162" name="Picture"/>
                    <pic:cNvPicPr>
                      <a:picLocks noChangeArrowheads="1" noChangeAspect="1"/>
                    </pic:cNvPicPr>
                  </pic:nvPicPr>
                  <pic:blipFill>
                    <a:blip r:embed="rId160"/>
                    <a:stretch>
                      <a:fillRect/>
                    </a:stretch>
                  </pic:blipFill>
                  <pic:spPr bwMode="auto">
                    <a:xfrm>
                      <a:off x="0" y="0"/>
                      <a:ext cx="5760000" cy="3987692"/>
                    </a:xfrm>
                    <a:prstGeom prst="rect">
                      <a:avLst/>
                    </a:prstGeom>
                    <a:noFill/>
                    <a:ln w="9525">
                      <a:noFill/>
                      <a:headEnd/>
                      <a:tailEnd/>
                    </a:ln>
                  </pic:spPr>
                </pic:pic>
              </a:graphicData>
            </a:graphic>
          </wp:inline>
        </w:drawing>
      </w:r>
    </w:p>
    <w:p>
      <w:pPr>
        <w:pStyle w:val="BodyText"/>
        <w:keepNext/>
      </w:pPr>
      <w:r>
        <w:rPr>
          <w:bCs/>
          <w:b/>
          <w:iCs/>
          <w:i/>
        </w:rPr>
        <w:t xml:space="preserve">Figura 10.</w:t>
      </w:r>
      <w:r>
        <w:rPr>
          <w:iCs/>
          <w:i/>
        </w:rPr>
        <w:t xml:space="preserve"> Vista conceptual de la organización interna de componentes; usa estereotipos visuales inspirados en UML, pero no constituye un modelo UML ni C4 formal.</w:t>
      </w:r>
    </w:p>
    <w:p>
      <w:pPr>
        <w:pStyle w:val="BodyText"/>
      </w:pPr>
      <w:r>
        <w:t xml:space="preserve">Nota. El agente contiene detección, decisión, transporte y baseline local. El backend se organiza por dominios y expone API HTTP/SSE. El frontend se organiza en api, stores, pages y components. Valkey Streams media eventos y comandos; su TLS no fue verificado en las corridas experimentales ni en un despliegue. mTLS corresponde exclusivamente al canal agente–backend. En el original, la etiqueta del subsistema backend queda parcialmente cruzada por el conector «consume eventos»; al no existir fuente editable, no se redibujó.</w:t>
      </w:r>
    </w:p>
    <w:bookmarkEnd w:id="163"/>
    <w:bookmarkEnd w:id="164"/>
    <w:sectPr>
      <w:headerReference w:type="default" r:id="rId9"/>
      <w:footerReference w:type="default" r:id="rId10"/>
      <w:type w:val="nextPage"/>
      <w:pgSz w:w="11906" w:h="16838" w:orient="portrait"/>
      <w:pgMar w:top="1417" w:right="1134" w:bottom="1417" w:left="1701"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4">
    <w:pPr>
      <w:jc w:val="center"/>
      <w:rPr/>
    </w:pPr>
    <w:r w:rsidDel="00000000" w:rsidR="00000000" w:rsidRPr="00000000">
      <w:rPr>
        <w:rFonts w:ascii="Times New Roman" w:cs="Times New Roman" w:eastAsia="Times New Roman" w:hAnsi="Times New Roman"/>
        <w:color w:val="777777"/>
        <w:sz w:val="18"/>
        <w:szCs w:val="18"/>
        <w:rtl w:val="0"/>
      </w:rPr>
      <w:t xml:space="preserve">— </w:t>
    </w:r>
    <w:r w:rsidDel="00000000" w:rsidR="00000000" w:rsidRPr="00000000">
      <w:rPr>
        <w:rFonts w:ascii="Times New Roman" w:cs="Times New Roman" w:eastAsia="Times New Roman" w:hAnsi="Times New Roman"/>
        <w:color w:val="777777"/>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777777"/>
        <w:sz w:val="18"/>
        <w:szCs w:val="18"/>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6">
    <w:pPr>
      <w:jc w:val="right"/>
      <w:rPr/>
    </w:pPr>
    <w:r w:rsidDel="00000000" w:rsidR="00000000" w:rsidRPr="00000000">
      <w:rPr>
        <w:rFonts w:ascii="Times New Roman" w:cs="Times New Roman" w:eastAsia="Times New Roman" w:hAnsi="Times New Roman"/>
        <w:i w:val="1"/>
        <w:iCs w:val="1"/>
        <w:color w:val="777777"/>
        <w:sz w:val="18"/>
        <w:szCs w:val="18"/>
        <w:rtl w:val="0"/>
      </w:rPr>
      <w:t xml:space="preserve">UTN-FRM · Plataforma FIM distribuida · 2026</w:t>
    </w: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val="es-AR"/>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200" w:line="360" w:lineRule="auto"/>
      <w:jc w:val="both"/>
    </w:pPr>
    <w:rPr/>
  </w:style>
  <w:style w:customStyle="1" w:styleId="FirstParagraph" w:type="paragraph">
    <w:name w:val="First Paragraph"/>
    <w:basedOn w:val="BodyText"/>
    <w:next w:val="BodyText"/>
    <w:qFormat/>
    <w:pPr>
      <w:spacing w:after="200" w:line="360" w:lineRule="auto"/>
      <w:jc w:val="both"/>
    </w:pPr>
    <w:rPr/>
  </w:style>
  <w:style w:customStyle="1" w:styleId="Compact" w:type="paragraph">
    <w:name w:val="Compact"/>
    <w:basedOn w:val="BodyText"/>
    <w:qFormat/>
    <w:pPr>
      <w:spacing w:after="40" w:before="40" w:line="240" w:lineRule="auto"/>
    </w:pPr>
    <w:rPr>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0" w:before="480" w:line="360" w:lineRule="auto"/>
      <w:jc w:val="left"/>
      <w:outlineLvl w:val="0"/>
    </w:pPr>
    <w:rPr>
      <w:b/>
      <w:bCs/>
      <w:sz w:val="32"/>
      <w:szCs w:val="32"/>
    </w:rPr>
  </w:style>
  <w:style w:styleId="Heading2" w:type="paragraph">
    <w:name w:val="Heading 2"/>
    <w:basedOn w:val="Normal"/>
    <w:next w:val="BodyText"/>
    <w:uiPriority w:val="9"/>
    <w:unhideWhenUsed/>
    <w:qFormat/>
    <w:pPr>
      <w:keepNext/>
      <w:keepLines/>
      <w:spacing w:after="240" w:before="360" w:line="360" w:lineRule="auto"/>
      <w:jc w:val="left"/>
      <w:outlineLvl w:val="1"/>
    </w:pPr>
    <w:rPr>
      <w:b/>
      <w:bCs/>
      <w:sz w:val="28"/>
      <w:szCs w:val="28"/>
    </w:rPr>
  </w:style>
  <w:style w:styleId="Heading3" w:type="paragraph">
    <w:name w:val="Heading 3"/>
    <w:basedOn w:val="Normal"/>
    <w:next w:val="BodyText"/>
    <w:uiPriority w:val="9"/>
    <w:unhideWhenUsed/>
    <w:qFormat/>
    <w:pPr>
      <w:keepNext/>
      <w:keepLines/>
      <w:spacing w:after="200" w:before="240" w:line="360" w:lineRule="auto"/>
      <w:jc w:val="left"/>
      <w:outlineLvl w:val="2"/>
    </w:pPr>
    <w:rPr>
      <w:b/>
      <w:bCs/>
      <w:sz w:val="26"/>
      <w:szCs w:val="26"/>
    </w:rPr>
  </w:style>
  <w:style w:styleId="Heading4" w:type="paragraph">
    <w:name w:val="Heading 4"/>
    <w:basedOn w:val="Normal"/>
    <w:next w:val="BodyText"/>
    <w:uiPriority w:val="9"/>
    <w:unhideWhenUsed/>
    <w:qFormat/>
    <w:pPr>
      <w:keepNext/>
      <w:keepLines/>
      <w:spacing w:after="120" w:before="200"/>
      <w:jc w:val="left"/>
      <w:outlineLvl w:val="3"/>
    </w:pPr>
    <w:rPr>
      <w:b/>
      <w:bCs/>
      <w:i/>
      <w:sz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40" w:before="120"/>
      <w:ind w:left="720" w:right="720"/>
    </w:pPr>
    <w:rPr>
      <w:i/>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jc w:val="center"/>
      <w:tblBorders>
        <w:top w:val="single" w:sz="8" w:space="0" w:color="000000"/>
        <w:bottom w:val="single" w:sz="8" w:space="0" w:color="000000"/>
        <w:insideH w:val="single" w:sz="4" w:space="0" w:color="808080"/>
      </w:tblBorders>
      <w:tblCellMar>
        <w:top w:type="dxa" w:w="40"/>
        <w:left w:type="dxa" w:w="80"/>
        <w:bottom w:type="dxa" w:w="40"/>
        <w:right w:type="dxa" w:w="80"/>
      </w:tblCellMar>
    </w:tblPr>
    <w:tblStylePr w:type="firstRow">
      <w:tcPr>
        <w:tcBorders>
          <w:bottom w:val="single" w:sz="8" w:space="0" w:color="000000"/>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ortada" w:type="paragraph">
    <w:name w:val="Portada"/>
    <w:basedOn w:val="Normal"/>
    <w:pPr>
      <w:spacing w:after="120" w:before="120" w:line="360" w:lineRule="auto"/>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w="http://schemas.openxmlformats.org/wordprocessingml/2006/main">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80" Target="media/rId80.png" /><Relationship Type="http://schemas.openxmlformats.org/officeDocument/2006/relationships/image" Id="rId87" Target="media/rId87.png" /><Relationship Type="http://schemas.openxmlformats.org/officeDocument/2006/relationships/image" Id="rId76" Target="media/rId76.png" /><Relationship Type="http://schemas.openxmlformats.org/officeDocument/2006/relationships/image" Id="rId153" Target="media/rId153.png" /><Relationship Type="http://schemas.openxmlformats.org/officeDocument/2006/relationships/image" Id="rId60" Target="media/rId60.png" /><Relationship Type="http://schemas.openxmlformats.org/officeDocument/2006/relationships/image" Id="rId160" Target="media/rId160.png" /><Relationship Type="http://schemas.openxmlformats.org/officeDocument/2006/relationships/image" Id="rId72" Target="media/rId72.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2026-09-10T00:45:07Z</dcterms:created>
  <dcterms:modified xsi:type="dcterms:W3CDTF">2026-09-10T00:45:07Z</dcterms:modified>
</cp:coreProperties>
</file>

<file path=docProps/custom.xml><?xml version="1.0" encoding="utf-8"?>
<Properties xmlns="http://schemas.openxmlformats.org/officeDocument/2006/custom-properties" xmlns:vt="http://schemas.openxmlformats.org/officeDocument/2006/docPropsVTypes"/>
</file>