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Detección temprana de anemia en comunidad educativa</w:t>
      </w:r>
    </w:p>
    <w:p>
      <w:pPr>
        <w:jc w:val="center"/>
      </w:pPr>
      <w:r>
        <w:rPr>
          <w:i/>
          <w:sz w:val="20"/>
        </w:rPr>
        <w:t>Material de capacitación para campañas y actividades comunitarias del personal de salud / SERUMS</w:t>
      </w:r>
    </w:p>
    <w:p>
      <w:pPr>
        <w:pStyle w:val="Heading1"/>
      </w:pPr>
      <w:r>
        <w:rPr>
          <w:sz w:val="20"/>
        </w:rPr>
        <w:t>Ficha de identificación de la actividad</w:t>
      </w:r>
    </w:p>
    <w:p>
      <w:r>
        <w:rPr>
          <w:sz w:val="20"/>
        </w:rPr>
        <w:t>Completar al inicio de cada capacitación, actividad de promoción o campaña. Estos datos permiten vincular los registros bajo un mismo código de actividad y facilitar su uso posterior en reportes e informe SERUMS.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5213"/>
        <w:gridCol w:w="5213"/>
      </w:tblGrid>
      <w:tr>
        <w:tc>
          <w:tcPr>
            <w:tcW w:type="dxa" w:w="5213"/>
          </w:tcPr>
          <w:p>
            <w:r>
              <w:t>Código de actividad: ______________________________</w:t>
            </w:r>
          </w:p>
        </w:tc>
        <w:tc>
          <w:tcPr>
            <w:tcW w:type="dxa" w:w="5213"/>
          </w:tcPr>
          <w:p>
            <w:r>
              <w:t>Fecha: ______________________________</w:t>
            </w:r>
          </w:p>
        </w:tc>
      </w:tr>
      <w:tr>
        <w:tc>
          <w:tcPr>
            <w:tcW w:type="dxa" w:w="5213"/>
          </w:tcPr>
          <w:p>
            <w:r>
              <w:t>Institución educativa: ______________________________</w:t>
            </w:r>
          </w:p>
        </w:tc>
        <w:tc>
          <w:tcPr>
            <w:tcW w:type="dxa" w:w="5213"/>
          </w:tcPr>
          <w:p>
            <w:r>
              <w:t>Establecimiento de salud: ______________________________</w:t>
            </w:r>
          </w:p>
        </w:tc>
      </w:tr>
      <w:tr>
        <w:tc>
          <w:tcPr>
            <w:tcW w:type="dxa" w:w="5213"/>
          </w:tcPr>
          <w:p>
            <w:r>
              <w:t>Departamento / región: ______________________________</w:t>
            </w:r>
          </w:p>
        </w:tc>
        <w:tc>
          <w:tcPr>
            <w:tcW w:type="dxa" w:w="5213"/>
          </w:tcPr>
          <w:p>
            <w:r>
              <w:t>Provincia: ______________________________</w:t>
            </w:r>
          </w:p>
        </w:tc>
      </w:tr>
      <w:tr>
        <w:tc>
          <w:tcPr>
            <w:tcW w:type="dxa" w:w="5213"/>
          </w:tcPr>
          <w:p>
            <w:r>
              <w:t>Distrito / localidad: ______________________________</w:t>
            </w:r>
          </w:p>
        </w:tc>
        <w:tc>
          <w:tcPr>
            <w:tcW w:type="dxa" w:w="5213"/>
          </w:tcPr>
          <w:p>
            <w:r>
              <w:t>Nivel educativo: ______________________________</w:t>
            </w:r>
          </w:p>
        </w:tc>
      </w:tr>
      <w:tr>
        <w:tc>
          <w:tcPr>
            <w:tcW w:type="dxa" w:w="5213"/>
          </w:tcPr>
          <w:p>
            <w:r>
              <w:t>Grado académico: ______________________________</w:t>
            </w:r>
          </w:p>
        </w:tc>
        <w:tc>
          <w:tcPr>
            <w:tcW w:type="dxa" w:w="5213"/>
          </w:tcPr>
          <w:p>
            <w:r>
              <w:t>Aula / sección: ______________________________</w:t>
            </w:r>
          </w:p>
        </w:tc>
      </w:tr>
      <w:tr>
        <w:tc>
          <w:tcPr>
            <w:tcW w:type="dxa" w:w="5213"/>
          </w:tcPr>
          <w:p>
            <w:r>
              <w:t>Responsable de la actividad: ______________________________</w:t>
            </w:r>
          </w:p>
        </w:tc>
        <w:tc>
          <w:tcPr>
            <w:tcW w:type="dxa" w:w="5213"/>
          </w:tcPr>
          <w:p>
            <w:r>
              <w:t>Profesión / rol: ______________________________</w:t>
            </w:r>
          </w:p>
        </w:tc>
      </w:tr>
      <w:tr>
        <w:tc>
          <w:tcPr>
            <w:tcW w:type="dxa" w:w="5213"/>
          </w:tcPr>
          <w:p>
            <w:r>
              <w:t>Público participante: ______________________________</w:t>
            </w:r>
          </w:p>
        </w:tc>
        <w:tc>
          <w:tcPr>
            <w:tcW w:type="dxa" w:w="5213"/>
          </w:tcPr>
          <w:p>
            <w:r>
              <w:t>N.º aproximado de participantes: ______________________________</w:t>
            </w:r>
          </w:p>
        </w:tc>
      </w:tr>
    </w:tbl>
    <w:p>
      <w:r>
        <w:rPr>
          <w:sz w:val="20"/>
        </w:rPr>
        <w:t>Descripción / objetivo de la actividad: __________________________________________________________________________________</w:t>
      </w:r>
    </w:p>
    <w:p>
      <w:pPr>
        <w:pStyle w:val="Heading1"/>
      </w:pPr>
      <w:r>
        <w:rPr>
          <w:sz w:val="20"/>
        </w:rPr>
        <w:t>Propósito</w:t>
      </w:r>
    </w:p>
    <w:p>
      <w:r>
        <w:rPr>
          <w:sz w:val="20"/>
        </w:rPr>
        <w:t>Apoyar al personal de salud en la capacitación de docentes y comunidad educativa para reconocer cambios funcionales que ameritan observación, comunicación con la familia y, cuando corresponda, evaluación en el establecimiento de salud. Este material no convierte al docente en diagnosticador y no sustituye la medición de hemoglobina ni la evaluación sanitaria.</w:t>
      </w:r>
    </w:p>
    <w:p>
      <w:pPr>
        <w:pStyle w:val="Heading1"/>
      </w:pPr>
      <w:r>
        <w:rPr>
          <w:sz w:val="20"/>
        </w:rPr>
        <w:t>Características preventivas que pueden observarse</w:t>
      </w:r>
    </w:p>
    <w:p>
      <w:r>
        <w:rPr>
          <w:sz w:val="20"/>
        </w:rPr>
        <w:t>Observar cambios respecto del funcionamiento habitual del estudiante: fatiga o cansancio frecuente; menor actividad o participación; somnolencia o menor estado de alerta; cambios de atención o concentración; descenso del rendimiento respecto de su propio nivel previo; irritabilidad o retraimiento; palidez aparente; cambios de asistencia. Para el docente u observador, registrar si los cambios se han observado varias veces, si representan un cambio respecto a cómo suele estar o comportarse el estudiante y si afectan sus actividades escolares habituales. Ninguna característica aislada confirma anemia.</w:t>
      </w:r>
    </w:p>
    <w:p>
      <w:pPr>
        <w:pStyle w:val="Heading1"/>
      </w:pPr>
      <w:r>
        <w:rPr>
          <w:sz w:val="20"/>
        </w:rPr>
        <w:t>Interpretación preventiva del registro docente</w:t>
      </w:r>
    </w:p>
    <w:p>
      <w:r>
        <w:rPr>
          <w:sz w:val="20"/>
        </w:rPr>
        <w:t>El registro docente es descriptivo. No utiliza semáforos, puntajes, ponderaciones, probabilidades ni puntos de corte para inferir anemia. Cuando los cambios sean repetidos, representen una variación respecto al funcionamiento habitual o afecten las actividades escolares, puede corresponder comunicarlo a la familia y orientar una evaluación profesional de salud según el contexto.</w:t>
      </w:r>
    </w:p>
    <w:p>
      <w:pPr>
        <w:pStyle w:val="Heading1"/>
      </w:pPr>
      <w:r>
        <w:rPr>
          <w:sz w:val="20"/>
        </w:rPr>
        <w:t>Circuito programático</w:t>
      </w:r>
    </w:p>
    <w:p>
      <w:r>
        <w:rPr>
          <w:sz w:val="20"/>
        </w:rPr>
        <w:t>CAPACITAR -&gt; IDENTIFICAR LA ACTIVIDAD -&gt; OBSERVAR -&gt; REGISTRAR CARACTERÍSTICAS -&gt; COMUNICAR CON FAMILIA -&gt; ORIENTAR/DERIVAR CUANDO CORRESPONDA -&gt; EVALUACIÓN PROFESIONAL EN SALUD -&gt; HEMOGLOBINA/CRITERIOS MINSA -&gt; CONDUCTA SEGÚN NORMA -&gt; SEGUIMIENTO -&gt; EVALUACIÓN DEL PROGRAMA -&gt; RESPALDO LOCAL/EXPORTACIÓN.</w:t>
      </w:r>
    </w:p>
    <w:p>
      <w:pPr>
        <w:pStyle w:val="Heading1"/>
      </w:pPr>
      <w:r>
        <w:rPr>
          <w:sz w:val="20"/>
        </w:rPr>
        <w:t>Uso para investigación SERUMS</w:t>
      </w:r>
    </w:p>
    <w:p>
      <w:r>
        <w:rPr>
          <w:sz w:val="20"/>
        </w:rPr>
        <w:t>El programa puede originar protocolos de investigación aplicada sobre características funcionales y resultado sanitario, conocimientos y prácticas de docentes/familias, adherencia y continuidad del seguimiento, barreras territoriales, implementación de campañas y componentes cognitivos o psicosociales. Los datos asistenciales no se convierten automáticamente en investigación: se requieren protocolo, manejo adecuado de datos, autorizaciones y salvaguardas éticas aplicables.</w:t>
      </w:r>
    </w:p>
    <w:p>
      <w:pPr>
        <w:pStyle w:val="Heading1"/>
      </w:pPr>
      <w:r>
        <w:rPr>
          <w:sz w:val="20"/>
        </w:rPr>
        <w:t>Ficha breve de observación para capacitación docente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75"/>
        <w:gridCol w:w="3475"/>
        <w:gridCol w:w="3475"/>
      </w:tblGrid>
      <w:tr>
        <w:tc>
          <w:tcPr>
            <w:tcW w:type="dxa" w:w="3475"/>
          </w:tcPr>
          <w:p>
            <w:r>
              <w:t>Característica observada</w:t>
            </w:r>
          </w:p>
        </w:tc>
        <w:tc>
          <w:tcPr>
            <w:tcW w:type="dxa" w:w="3475"/>
          </w:tcPr>
          <w:p>
            <w:r>
              <w:t>Sí / No</w:t>
            </w:r>
          </w:p>
        </w:tc>
        <w:tc>
          <w:tcPr>
            <w:tcW w:type="dxa" w:w="3475"/>
          </w:tcPr>
          <w:p>
            <w:r>
              <w:t>Notas / cambio respecto a lo habitual</w:t>
            </w:r>
          </w:p>
        </w:tc>
      </w:tr>
      <w:tr>
        <w:tc>
          <w:tcPr>
            <w:tcW w:type="dxa" w:w="3475"/>
          </w:tcPr>
          <w:p>
            <w:r>
              <w:t>Fatiga/cansancio</w:t>
            </w:r>
          </w:p>
        </w:tc>
        <w:tc>
          <w:tcPr>
            <w:tcW w:type="dxa" w:w="3475"/>
          </w:tcPr>
          <w:p>
            <w:r/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Menor actividad/participación</w:t>
            </w:r>
          </w:p>
        </w:tc>
        <w:tc>
          <w:tcPr>
            <w:tcW w:type="dxa" w:w="3475"/>
          </w:tcPr>
          <w:p>
            <w:r/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Somnolencia/menor alerta</w:t>
            </w:r>
          </w:p>
        </w:tc>
        <w:tc>
          <w:tcPr>
            <w:tcW w:type="dxa" w:w="3475"/>
          </w:tcPr>
          <w:p>
            <w:r/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Atención/concentración</w:t>
            </w:r>
          </w:p>
        </w:tc>
        <w:tc>
          <w:tcPr>
            <w:tcW w:type="dxa" w:w="3475"/>
          </w:tcPr>
          <w:p>
            <w:r/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Rendimiento respecto a sí mismo</w:t>
            </w:r>
          </w:p>
        </w:tc>
        <w:tc>
          <w:tcPr>
            <w:tcW w:type="dxa" w:w="3475"/>
          </w:tcPr>
          <w:p>
            <w:r/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Irritabilidad/retraimiento</w:t>
            </w:r>
          </w:p>
        </w:tc>
        <w:tc>
          <w:tcPr>
            <w:tcW w:type="dxa" w:w="3475"/>
          </w:tcPr>
          <w:p>
            <w:r/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Palidez aparente</w:t>
            </w:r>
          </w:p>
        </w:tc>
        <w:tc>
          <w:tcPr>
            <w:tcW w:type="dxa" w:w="3475"/>
          </w:tcPr>
          <w:p>
            <w:r/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Asistencia</w:t>
            </w:r>
          </w:p>
        </w:tc>
        <w:tc>
          <w:tcPr>
            <w:tcW w:type="dxa" w:w="3475"/>
          </w:tcPr>
          <w:p>
            <w:r/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¿Estos cambios se han observado varias veces?</w:t>
            </w:r>
          </w:p>
        </w:tc>
        <w:tc>
          <w:tcPr>
            <w:tcW w:type="dxa" w:w="3475"/>
          </w:tcPr>
          <w:p>
            <w:r>
              <w:t>No / Sí</w:t>
            </w:r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¿Estos cambios afectan sus actividades escolares habituales?</w:t>
            </w:r>
          </w:p>
        </w:tc>
        <w:tc>
          <w:tcPr>
            <w:tcW w:type="dxa" w:w="3475"/>
          </w:tcPr>
          <w:p>
            <w:r>
              <w:t>No / Leve / Marcada</w:t>
            </w:r>
          </w:p>
        </w:tc>
        <w:tc>
          <w:tcPr>
            <w:tcW w:type="dxa" w:w="3475"/>
          </w:tcPr>
          <w:p>
            <w:r/>
          </w:p>
        </w:tc>
      </w:tr>
      <w:tr>
        <w:tc>
          <w:tcPr>
            <w:tcW w:type="dxa" w:w="3475"/>
          </w:tcPr>
          <w:p>
            <w:r>
              <w:t>¿Representan un cambio respecto a cómo suele estar o comportarse el estudiante?</w:t>
            </w:r>
          </w:p>
        </w:tc>
        <w:tc>
          <w:tcPr>
            <w:tcW w:type="dxa" w:w="3475"/>
          </w:tcPr>
          <w:p>
            <w:r>
              <w:t>No / Sí</w:t>
            </w:r>
          </w:p>
        </w:tc>
        <w:tc>
          <w:tcPr>
            <w:tcW w:type="dxa" w:w="3475"/>
          </w:tcPr>
          <w:p>
            <w:r/>
          </w:p>
        </w:tc>
      </w:tr>
    </w:tbl>
    <w:p>
      <w:r>
        <w:rPr>
          <w:sz w:val="20"/>
        </w:rPr>
        <w:t>Resultado de esta ficha: observación preventiva. No diagnostica anemia ni indica tratamiento.</w:t>
      </w:r>
    </w:p>
    <w:p>
      <w:pPr>
        <w:pStyle w:val="Heading1"/>
      </w:pPr>
      <w:r>
        <w:rPr>
          <w:sz w:val="20"/>
        </w:rPr>
        <w:t>Registro digital, almacenamiento local y respaldo</w:t>
      </w:r>
    </w:p>
    <w:p>
      <w:r>
        <w:rPr>
          <w:sz w:val="20"/>
        </w:rPr>
        <w:t>La aplicación conserva los registros localmente en el navegador/dispositivo. La ficha de actividad, observaciones, comunicación con familia, orientación/derivación, evaluación sanitaria y seguimiento se vinculan mediante códigos de actividad y de caso, evitando identificadores personales innecesarios.</w:t>
      </w:r>
    </w:p>
    <w:p>
      <w:pPr>
        <w:pStyle w:val="Heading1"/>
      </w:pPr>
      <w:r>
        <w:rPr>
          <w:sz w:val="20"/>
        </w:rPr>
        <w:t>Exportación para el profesional SERUMS</w:t>
      </w:r>
    </w:p>
    <w:p>
      <w:r>
        <w:rPr>
          <w:sz w:val="20"/>
        </w:rPr>
        <w:t>La opción de respaldo ZIP reúne Excel, CSV, JSON, resumen y metadatos. Excel facilita revisión, filtros y trabajo cotidiano; CSV facilita intercambio y análisis; JSON conserva la estructura completa para respaldo y restauración.</w:t>
      </w:r>
    </w:p>
    <w:p>
      <w:pPr>
        <w:pStyle w:val="Heading1"/>
      </w:pPr>
      <w:r>
        <w:rPr>
          <w:sz w:val="20"/>
        </w:rPr>
        <w:t>JSON e investigación futura</w:t>
      </w:r>
    </w:p>
    <w:p>
      <w:r>
        <w:rPr>
          <w:sz w:val="20"/>
        </w:rPr>
        <w:t>El profesional no necesita conocer ni editar JSON. Su estructura permite reutilizar posteriormente los datos con R, Python, Power BI u otros programas de análisis o futuros módulos de investigación de SIP. El uso científico posterior no es automático: requiere protocolo, metodología, confidencialidad, autorizaciones y salvaguardas éticas aplicables.</w:t>
      </w:r>
    </w:p>
    <w:p>
      <w:pPr>
        <w:pStyle w:val="Heading1"/>
      </w:pPr>
      <w:r>
        <w:rPr>
          <w:sz w:val="20"/>
        </w:rPr>
        <w:t>Propuesta piloto de uso voluntario</w:t>
      </w:r>
    </w:p>
    <w:p>
      <w:r>
        <w:rPr>
          <w:sz w:val="20"/>
        </w:rPr>
        <w:t>Esta herramienta preventiva y educativa es desarrollada por SIP — System Intelligence Platform. No es una norma, directiva, protocolo ni instrumento oficial del MINSA. Las referencias MINSA constituyen concordancia técnica/normativa para los componentes sanitarios que correspondan.</w:t>
      </w:r>
    </w:p>
    <w:p>
      <w:pPr>
        <w:pStyle w:val="Heading1"/>
      </w:pPr>
      <w:r>
        <w:rPr>
          <w:sz w:val="20"/>
        </w:rPr>
        <w:t>Privacidad y menores de edad</w:t>
      </w:r>
    </w:p>
    <w:p>
      <w:r>
        <w:rPr>
          <w:sz w:val="20"/>
        </w:rPr>
        <w:t>La conservación, exportación, protección y eliminación de los registros quedan bajo responsabilidad del usuario profesional y de las disposiciones institucionales aplicables. En niñas, niños y adolescentes deben considerarse, cuando corresponda, la información y autorización o consentimiento por representación y el asentimiento informado según el contexto.</w:t>
      </w:r>
    </w:p>
    <w:p>
      <w:pPr>
        <w:pStyle w:val="Heading1"/>
      </w:pPr>
      <w:r>
        <w:rPr>
          <w:sz w:val="20"/>
        </w:rPr>
        <w:t>ⓘ Investigación y evidencia para profesionales SERUMS</w:t>
      </w:r>
    </w:p>
    <w:p>
      <w:r>
        <w:rPr>
          <w:sz w:val="20"/>
        </w:rPr>
        <w:t>Este material puede apoyar la formulación de investigaciones aplicadas. La literatura respalda estudiar por separado anemia/estado de hierro, cognición, atención y desempeño escolar; no respalda convertir estas características en una escala docente diagnóstica sin validación.</w:t>
      </w:r>
    </w:p>
    <w:p>
      <w:r>
        <w:rPr>
          <w:b/>
          <w:sz w:val="20"/>
        </w:rPr>
        <w:t xml:space="preserve">MINSA. RM N.° 251-2024-MINSA / NTS N.° 213-MINSA/DGIESP-2024 — </w:t>
      </w:r>
      <w:r>
        <w:rPr>
          <w:sz w:val="20"/>
        </w:rPr>
        <w:t>https://www.gob.pe/institucion/minsa/normas-legales/5440166-251-2024-minsa</w:t>
      </w:r>
    </w:p>
    <w:p>
      <w:r>
        <w:rPr>
          <w:b/>
          <w:sz w:val="20"/>
        </w:rPr>
        <w:t xml:space="preserve">MINSA. RM N.° 429-2024-MINSA, modificatoria de la NTS 213 — </w:t>
      </w:r>
      <w:r>
        <w:rPr>
          <w:sz w:val="20"/>
        </w:rPr>
        <w:t>https://www.gob.pe/institucion/minsa/normas-legales/5670414-429-2024-minsa</w:t>
      </w:r>
    </w:p>
    <w:p>
      <w:r>
        <w:rPr>
          <w:b/>
          <w:sz w:val="20"/>
        </w:rPr>
        <w:t xml:space="preserve">WHO (2024). Guideline on haemoglobin cutoffs to define anaemia in individuals and populations — </w:t>
      </w:r>
      <w:r>
        <w:rPr>
          <w:sz w:val="20"/>
        </w:rPr>
        <w:t>https://www.who.int/publications/i/item/9789240088542</w:t>
      </w:r>
    </w:p>
    <w:p>
      <w:r>
        <w:rPr>
          <w:b/>
          <w:sz w:val="20"/>
        </w:rPr>
        <w:t xml:space="preserve">Gutema BT et al. (2023). Effects of iron supplementation on cognitive development in school-age children. DOI 10.1371/journal.pone.0287703 — </w:t>
      </w:r>
      <w:r>
        <w:rPr>
          <w:sz w:val="20"/>
        </w:rPr>
        <w:t>https://doi.org/10.1371/journal.pone.0287703</w:t>
      </w:r>
    </w:p>
    <w:p>
      <w:r>
        <w:rPr>
          <w:b/>
          <w:sz w:val="20"/>
        </w:rPr>
        <w:t xml:space="preserve">Samson KLI, Fischer JAJ, Roche ML (2022). Iron Status, Anemia, and Iron Interventions... DOI 10.3390/nu14010224 — </w:t>
      </w:r>
      <w:r>
        <w:rPr>
          <w:sz w:val="20"/>
        </w:rPr>
        <w:t>https://doi.org/10.3390/nu14010224</w:t>
      </w:r>
    </w:p>
    <w:p>
      <w:r>
        <w:rPr>
          <w:b/>
          <w:sz w:val="20"/>
        </w:rPr>
        <w:t xml:space="preserve">Low M et al. (2013). Effects of daily iron supplementation in primary-school-aged children. DOI 10.1503/cmaj.130628 — </w:t>
      </w:r>
      <w:r>
        <w:rPr>
          <w:sz w:val="20"/>
        </w:rPr>
        <w:t>https://doi.org/10.1503/cmaj.130628</w:t>
      </w:r>
    </w:p>
    <w:sectPr w:rsidR="00FC693F" w:rsidRPr="0006063C" w:rsidSect="00034616">
      <w:pgSz w:w="12240" w:h="15840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