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Detección temprana de anemia en comunidad educativa</w:t>
      </w:r>
    </w:p>
    <w:p>
      <w:pPr>
        <w:jc w:val="center"/>
      </w:pPr>
      <w:r>
        <w:rPr>
          <w:i/>
        </w:rPr>
        <w:t>Material de capacitación para campañas y actividades comunitarias del personal de salud / SERUMS</w:t>
      </w:r>
    </w:p>
    <w:p>
      <w:pPr>
        <w:pStyle w:val="Heading1"/>
      </w:pPr>
      <w:r>
        <w:t>Propósito</w:t>
      </w:r>
    </w:p>
    <w:p>
      <w:r>
        <w:t>Apoyar al personal de salud en la capacitación de docentes y comunidad educativa para reconocer cambios funcionales que ameritan observación, comunicación con la familia y, cuando corresponda, evaluación en el establecimiento de salud. Este material no convierte al docente en diagnosticador y no sustituye la medición de hemoglobina ni la evaluación sanitaria.</w:t>
      </w:r>
    </w:p>
    <w:p>
      <w:pPr>
        <w:pStyle w:val="Heading1"/>
      </w:pPr>
      <w:r>
        <w:t>Características preventivas que pueden observarse</w:t>
      </w:r>
    </w:p>
    <w:p>
      <w:r>
        <w:t>Observar cambios respecto del funcionamiento habitual del estudiante: fatiga o cansancio frecuente; menor actividad o participación; somnolencia o menor estado de alerta; cambios de atención o concentración; descenso del rendimiento respecto de su propio nivel previo; irritabilidad o retraimiento; palidez aparente; cambios de asistencia. Registrar también persistencia, cambio respecto de la línea habitual e interferencia funcional. Ninguna característica aislada confirma anemia.</w:t>
      </w:r>
    </w:p>
    <w:p>
      <w:pPr>
        <w:pStyle w:val="Heading1"/>
      </w:pPr>
      <w:r>
        <w:t>Semáforo preventivo - sin fórmula diagnóstica</w:t>
      </w:r>
    </w:p>
    <w:p>
      <w:r>
        <w:t>VERDE: no se identifican cambios funcionales relevantes en la observación actual; continuar observación habitual. AMARILLO: existe uno o más cambios que requieren observación, conversación con familia y revisión del contexto; si persisten o interfieren con el funcionamiento, coordinar con salud. ROJO: no significa 'anemia probable'. Se reserva como señal operativa de prioridad para evaluación sanitaria cuando el personal responsable de la campaña identifica una situación que requiere atención o derivación. El programa no asigna pesos ni puntos de corte no validados.</w:t>
      </w:r>
    </w:p>
    <w:p>
      <w:pPr>
        <w:pStyle w:val="Heading1"/>
      </w:pPr>
      <w:r>
        <w:t>Circuito programático</w:t>
      </w:r>
    </w:p>
    <w:p>
      <w:r>
        <w:t>CAPACITAR -&gt; OBSERVAR -&gt; REGISTRAR CARACTERÍSTICAS -&gt; COMUNICAR CON FAMILIA -&gt; EVALUACIÓN EN SALUD -&gt; HEMOGLOBINA/CRITERIOS MINSA -&gt; CONDUCTA SEGÚN NORMA -&gt; SEGUIMIENTO -&gt; EVALUACIÓN DEL PROGRAMA.</w:t>
      </w:r>
    </w:p>
    <w:p>
      <w:pPr>
        <w:pStyle w:val="Heading1"/>
      </w:pPr>
      <w:r>
        <w:t>Uso para investigación SERUMS</w:t>
      </w:r>
    </w:p>
    <w:p>
      <w:r>
        <w:t>El programa puede originar protocolos de investigación aplicada sobre características funcionales y resultado sanitario, conocimientos y prácticas de docentes/familias, adherencia y continuidad del seguimiento, barreras territoriales, implementación de campañas y componentes cognitivos o psicosociales. Los datos asistenciales no se convierten automáticamente en investigación: se requieren protocolo, manejo adecuado de datos, autorizaciones y salvaguardas éticas aplicables.</w:t>
      </w:r>
    </w:p>
    <w:p>
      <w:pPr>
        <w:pStyle w:val="Heading1"/>
      </w:pPr>
      <w:r>
        <w:t>Ficha breve de observación para capacitación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Característica observada</w:t>
            </w:r>
          </w:p>
        </w:tc>
        <w:tc>
          <w:tcPr>
            <w:tcW w:type="dxa" w:w="3475"/>
          </w:tcPr>
          <w:p>
            <w:r>
              <w:t>Sí / No</w:t>
            </w:r>
          </w:p>
        </w:tc>
        <w:tc>
          <w:tcPr>
            <w:tcW w:type="dxa" w:w="3475"/>
          </w:tcPr>
          <w:p>
            <w:r>
              <w:t>Notas / cambio respecto a lo habitual</w:t>
            </w:r>
          </w:p>
        </w:tc>
      </w:tr>
      <w:tr>
        <w:tc>
          <w:tcPr>
            <w:tcW w:type="dxa" w:w="3475"/>
          </w:tcPr>
          <w:p>
            <w:r>
              <w:t>Fatiga/cansancio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Menor actividad/participación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Somnolencia/menor alerta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Atención/concentración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Rendimiento respecto a sí mismo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Irritabilidad/retraimiento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Palidez aparente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Asistencia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Persistencia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  <w:tr>
        <w:tc>
          <w:tcPr>
            <w:tcW w:type="dxa" w:w="3475"/>
          </w:tcPr>
          <w:p>
            <w:r>
              <w:t>Interferencia funcional</w:t>
            </w:r>
          </w:p>
        </w:tc>
        <w:tc>
          <w:tcPr>
            <w:tcW w:type="dxa" w:w="3475"/>
          </w:tcPr>
          <w:p>
            <w:r/>
          </w:p>
        </w:tc>
        <w:tc>
          <w:tcPr>
            <w:tcW w:type="dxa" w:w="3475"/>
          </w:tcPr>
          <w:p>
            <w:r/>
          </w:p>
        </w:tc>
      </w:tr>
    </w:tbl>
    <w:p>
      <w:r>
        <w:t>Resultado de esta ficha: observación preventiva. No diagnostica anemia ni indica tratamiento.</w:t>
      </w:r>
    </w:p>
    <w:p>
      <w:pPr>
        <w:pStyle w:val="Heading1"/>
      </w:pPr>
      <w:r>
        <w:t>ⓘ Investigación y evidencia para profesionales SERUMS</w:t>
      </w:r>
    </w:p>
    <w:p>
      <w:r>
        <w:t>Este material puede apoyar la formulación de investigaciones aplicadas. La literatura respalda estudiar por separado anemia/estado de hierro, cognición, atención y desempeño escolar; no respalda convertir estas características en una escala docente diagnóstica sin validación.</w:t>
      </w:r>
    </w:p>
    <w:p>
      <w:r>
        <w:rPr>
          <w:b/>
        </w:rPr>
        <w:t xml:space="preserve">MINSA. RM N.° 251-2024-MINSA / NTS N.° 213-MINSA/DGIESP-2024 — </w:t>
      </w:r>
      <w:r>
        <w:t>https://www.gob.pe/institucion/minsa/normas-legales/5440166-251-2024-minsa</w:t>
      </w:r>
    </w:p>
    <w:p>
      <w:r>
        <w:rPr>
          <w:b/>
        </w:rPr>
        <w:t xml:space="preserve">MINSA. RM N.° 429-2024-MINSA, modificatoria de la NTS 213 — </w:t>
      </w:r>
      <w:r>
        <w:t>https://www.gob.pe/institucion/minsa/normas-legales/5670414-429-2024-minsa</w:t>
      </w:r>
    </w:p>
    <w:p>
      <w:r>
        <w:rPr>
          <w:b/>
        </w:rPr>
        <w:t xml:space="preserve">WHO (2024). Guideline on haemoglobin cutoffs to define anaemia in individuals and populations — </w:t>
      </w:r>
      <w:r>
        <w:t>https://www.who.int/publications/i/item/9789240088542</w:t>
      </w:r>
    </w:p>
    <w:p>
      <w:r>
        <w:rPr>
          <w:b/>
        </w:rPr>
        <w:t xml:space="preserve">Gutema BT et al. (2023). Effects of iron supplementation on cognitive development in school-age children. DOI 10.1371/journal.pone.0287703 — </w:t>
      </w:r>
      <w:r>
        <w:t>https://doi.org/10.1371/journal.pone.0287703</w:t>
      </w:r>
    </w:p>
    <w:p>
      <w:r>
        <w:rPr>
          <w:b/>
        </w:rPr>
        <w:t xml:space="preserve">Samson KLI, Fischer JAJ, Roche ML (2022). Iron Status, Anemia, and Iron Interventions... DOI 10.3390/nu14010224 — </w:t>
      </w:r>
      <w:r>
        <w:t>https://doi.org/10.3390/nu14010224</w:t>
      </w:r>
    </w:p>
    <w:p>
      <w:r>
        <w:rPr>
          <w:b/>
        </w:rPr>
        <w:t xml:space="preserve">Low M et al. (2013). Effects of daily iron supplementation in primary-school-aged children. DOI 10.1503/cmaj.130628 — </w:t>
      </w:r>
      <w:r>
        <w:t>https://doi.org/10.1503/cmaj.130628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