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F0" w:rsidRDefault="008948F0"/>
    <w:p w:rsidR="0044413C" w:rsidRPr="0044413C" w:rsidRDefault="0044413C" w:rsidP="004441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</w:pPr>
      <w:r w:rsidRPr="0044413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Additional resources</w:t>
      </w:r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4413C">
        <w:rPr>
          <w:rFonts w:ascii="unset" w:eastAsia="Times New Roman" w:hAnsi="unset" w:cs="Arial"/>
          <w:b/>
          <w:bCs/>
          <w:color w:val="1F1F1F"/>
          <w:sz w:val="21"/>
          <w:szCs w:val="21"/>
        </w:rPr>
        <w:t>Additional Resources</w:t>
      </w:r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44413C">
        <w:rPr>
          <w:rFonts w:ascii="Arial" w:eastAsia="Times New Roman" w:hAnsi="Arial" w:cs="Arial"/>
          <w:color w:val="1F1F1F"/>
          <w:sz w:val="21"/>
          <w:szCs w:val="21"/>
        </w:rPr>
        <w:t xml:space="preserve">The following resources are additional reading materials that introduce you to what prototyping is, micro-interactions in user experience, micro-animations using a </w:t>
      </w:r>
      <w:proofErr w:type="spellStart"/>
      <w:r w:rsidRPr="0044413C">
        <w:rPr>
          <w:rFonts w:ascii="Arial" w:eastAsia="Times New Roman" w:hAnsi="Arial" w:cs="Arial"/>
          <w:color w:val="1F1F1F"/>
          <w:sz w:val="21"/>
          <w:szCs w:val="21"/>
        </w:rPr>
        <w:t>Figma</w:t>
      </w:r>
      <w:proofErr w:type="spellEnd"/>
      <w:r w:rsidRPr="0044413C">
        <w:rPr>
          <w:rFonts w:ascii="Arial" w:eastAsia="Times New Roman" w:hAnsi="Arial" w:cs="Arial"/>
          <w:color w:val="1F1F1F"/>
          <w:sz w:val="21"/>
          <w:szCs w:val="21"/>
        </w:rPr>
        <w:t xml:space="preserve"> tutorial, testing your prototype and gathering feedback. These will add to the knowledge that you’ve gained in this lesson.</w:t>
      </w:r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44413C">
        <w:rPr>
          <w:rFonts w:ascii="Arial" w:eastAsia="Times New Roman" w:hAnsi="Arial" w:cs="Arial"/>
          <w:b/>
          <w:bCs/>
          <w:color w:val="1F1F1F"/>
          <w:sz w:val="36"/>
          <w:szCs w:val="36"/>
        </w:rPr>
        <w:t>Prototyping</w:t>
      </w:r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What is prototyping?</w:t>
        </w:r>
      </w:hyperlink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5" w:tgtFrame="_blank" w:history="1"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Types of Prototyping</w:t>
        </w:r>
      </w:hyperlink>
    </w:p>
    <w:p w:rsidR="0044413C" w:rsidRPr="0044413C" w:rsidRDefault="0044413C" w:rsidP="004441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sz w:val="36"/>
          <w:szCs w:val="36"/>
        </w:rPr>
      </w:pPr>
      <w:r w:rsidRPr="0044413C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Micro-animations with </w:t>
      </w:r>
      <w:proofErr w:type="spellStart"/>
      <w:r w:rsidRPr="0044413C">
        <w:rPr>
          <w:rFonts w:ascii="Arial" w:eastAsia="Times New Roman" w:hAnsi="Arial" w:cs="Arial"/>
          <w:b/>
          <w:bCs/>
          <w:color w:val="1F1F1F"/>
          <w:sz w:val="36"/>
          <w:szCs w:val="36"/>
        </w:rPr>
        <w:t>Figma</w:t>
      </w:r>
      <w:proofErr w:type="spellEnd"/>
      <w:r w:rsidRPr="0044413C">
        <w:rPr>
          <w:rFonts w:ascii="Arial" w:eastAsia="Times New Roman" w:hAnsi="Arial" w:cs="Arial"/>
          <w:b/>
          <w:bCs/>
          <w:color w:val="1F1F1F"/>
          <w:sz w:val="36"/>
          <w:szCs w:val="36"/>
        </w:rPr>
        <w:t xml:space="preserve"> tutorial</w:t>
      </w:r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Micro-Animations with </w:t>
        </w:r>
        <w:proofErr w:type="spellStart"/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Figma</w:t>
        </w:r>
        <w:proofErr w:type="spellEnd"/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Tutorial</w:t>
        </w:r>
      </w:hyperlink>
    </w:p>
    <w:p w:rsidR="0044413C" w:rsidRPr="0044413C" w:rsidRDefault="0044413C" w:rsidP="00444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Pr="0044413C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How to test your prototype and gather feedback</w:t>
        </w:r>
      </w:hyperlink>
    </w:p>
    <w:p w:rsidR="0044413C" w:rsidRDefault="0044413C">
      <w:bookmarkStart w:id="0" w:name="_GoBack"/>
      <w:bookmarkEnd w:id="0"/>
    </w:p>
    <w:sectPr w:rsidR="00444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3C"/>
    <w:rsid w:val="0044413C"/>
    <w:rsid w:val="008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FA75"/>
  <w15:chartTrackingRefBased/>
  <w15:docId w15:val="{A8AA1A9E-71BB-438F-B657-843158E7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4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41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1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4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teraction-design.org/literature/article/test-your-prototypes-how-to-gather-feedback-and-maximise-learn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YIovQXnwBY" TargetMode="External"/><Relationship Id="rId5" Type="http://schemas.openxmlformats.org/officeDocument/2006/relationships/hyperlink" Target="https://www.nngroup.com/articles/microinteractions/" TargetMode="External"/><Relationship Id="rId4" Type="http://schemas.openxmlformats.org/officeDocument/2006/relationships/hyperlink" Target="https://www.interaction-design.org/literature/topics/prototyp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2024-08-03T01:53:00Z</dcterms:created>
  <dcterms:modified xsi:type="dcterms:W3CDTF">2024-08-03T01:54:00Z</dcterms:modified>
</cp:coreProperties>
</file>