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80"/>
      </w:pPr>
      <w:r>
        <w:rPr>
          <w:rFonts w:ascii="Aptos" w:hAnsi="Aptos"/>
          <w:b/>
          <w:color w:val="1D1D1F"/>
          <w:sz w:val="20"/>
        </w:rPr>
        <w:t>ADDIS LIVING</w:t>
      </w:r>
    </w:p>
    <w:p>
      <w:pPr>
        <w:pStyle w:val="Title"/>
        <w:jc w:val="left"/>
      </w:pPr>
      <w:r>
        <w:t>Addis Living Business Proposal</w:t>
      </w:r>
    </w:p>
    <w:p>
      <w:pPr>
        <w:spacing w:after="440"/>
      </w:pPr>
      <w:r>
        <w:rPr>
          <w:rFonts w:ascii="Aptos" w:hAnsi="Aptos"/>
          <w:color w:val="515154"/>
          <w:sz w:val="28"/>
        </w:rPr>
        <w:t>A launch plan for a curated stay and property management platform in Addis Ababa</w:t>
      </w:r>
    </w:p>
    <w:p>
      <w:pPr>
        <w:spacing w:after="300" w:line="293" w:lineRule="auto"/>
      </w:pPr>
      <w:r>
        <w:rPr>
          <w:rFonts w:ascii="Aptos" w:hAnsi="Aptos"/>
          <w:color w:val="1D1D1F"/>
          <w:sz w:val="23"/>
        </w:rPr>
        <w:t>Addis Living is building trusted operating infrastructure for professionally managed furnished stays. The launch plan starts with a focused portfolio of arrival ready homes, a rigorous service standard, and a direct relationship with both guests and owners.</w:t>
      </w:r>
    </w:p>
    <w:p>
      <w:pPr>
        <w:spacing w:after="40"/>
      </w:pPr>
      <w:r>
        <w:rPr>
          <w:rFonts w:ascii="Aptos" w:hAnsi="Aptos"/>
          <w:color w:val="515154"/>
          <w:sz w:val="20"/>
        </w:rPr>
        <w:t>Prepared for prospective capital and operating partners</w:t>
      </w:r>
    </w:p>
    <w:p>
      <w:r>
        <w:rPr>
          <w:rFonts w:ascii="Aptos" w:hAnsi="Aptos"/>
          <w:color w:val="515154"/>
          <w:sz w:val="20"/>
        </w:rPr>
        <w:t>September 2026</w:t>
      </w:r>
    </w:p>
    <w:p>
      <w:r>
        <w:br w:type="page"/>
      </w:r>
    </w:p>
    <w:p>
      <w:pPr>
        <w:pStyle w:val="Heading1"/>
        <w:keepNext/>
      </w:pPr>
      <w:r>
        <w:t>Executive summary</w:t>
      </w:r>
    </w:p>
    <w:p>
      <w:pPr>
        <w:spacing w:after="140" w:line="283" w:lineRule="auto"/>
      </w:pPr>
      <w:r>
        <w:rPr>
          <w:rFonts w:ascii="Aptos" w:hAnsi="Aptos"/>
          <w:color w:val="1D1D1F"/>
        </w:rPr>
        <w:t>Addis Living should launch as an asset light, operations led hospitality business for short and medium stays in Addis Ababa. The commercial advantage is not a larger listing catalog. It is a repeatable arrival ready standard that pairs curated homes with reliability checks, local support, and transparent owner management.</w:t>
      </w:r>
    </w:p>
    <w:p>
      <w:pPr>
        <w:spacing w:after="140" w:line="283" w:lineRule="auto"/>
      </w:pPr>
      <w:r>
        <w:rPr>
          <w:rFonts w:ascii="Aptos" w:hAnsi="Aptos"/>
          <w:color w:val="1D1D1F"/>
        </w:rPr>
        <w:t>The current product prototype demonstrates the core guest and owner journeys: property discovery, neighborhood and amenity filtering, reservation requests, owner lead capture, and a portfolio operations view. The business must now prove the service layer behind that interface through signed homes, live booking operations, and disciplined unit economics.</w:t>
      </w:r>
    </w:p>
    <w:p>
      <w:pPr>
        <w:spacing w:after="140" w:line="283" w:lineRule="auto"/>
      </w:pPr>
      <w:r>
        <w:rPr>
          <w:rFonts w:ascii="Aptos" w:hAnsi="Aptos"/>
          <w:b/>
          <w:color w:val="1D1D1F"/>
        </w:rPr>
        <w:t xml:space="preserve">The proposal seeks ETB 3.0 million in launch capital and operating partnerships </w:t>
      </w:r>
      <w:r>
        <w:rPr>
          <w:rFonts w:ascii="Aptos" w:hAnsi="Aptos"/>
          <w:color w:val="1D1D1F"/>
        </w:rPr>
        <w:t>to qualify and launch the first 18 homes over 12 months, establish a direct corporate and relocation demand channel, and reach positive monthly operating contribution in the illustrative month 8 scenario.</w:t>
      </w:r>
    </w:p>
    <w:p>
      <w:pPr>
        <w:pStyle w:val="Heading1"/>
        <w:keepNext/>
      </w:pPr>
      <w:r>
        <w:t>The opportunity</w:t>
      </w:r>
    </w:p>
    <w:p>
      <w:pPr>
        <w:spacing w:after="140" w:line="283" w:lineRule="auto"/>
      </w:pPr>
      <w:r>
        <w:rPr>
          <w:rFonts w:ascii="Aptos" w:hAnsi="Aptos"/>
          <w:color w:val="1D1D1F"/>
        </w:rPr>
        <w:t>Guests arriving in Addis Ababa often need more than a clean apartment. They need confidence that power, water, connectivity, security, arrival coordination, and local help will work when they arrive. Owners need the corresponding assurance that their homes, calendars, guests, payouts, and maintenance work will be managed in one accountable operating system.</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Priority segment</w:t>
            </w:r>
          </w:p>
        </w:tc>
        <w:tc>
          <w:tcPr>
            <w:tcW w:type="dxa" w:w="3096"/>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Primary need</w:t>
            </w:r>
          </w:p>
        </w:tc>
        <w:tc>
          <w:tcPr>
            <w:tcW w:type="dxa" w:w="4680"/>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Addis Living response</w:t>
            </w:r>
          </w:p>
        </w:tc>
      </w:tr>
      <w:tr>
        <w:trPr>
          <w:cantSplit/>
        </w:trPr>
        <w:tc>
          <w:tcPr>
            <w:tcW w:type="dxa" w:w="2232"/>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Business and project travelers</w:t>
            </w:r>
          </w:p>
        </w:tc>
        <w:tc>
          <w:tcPr>
            <w:tcW w:type="dxa" w:w="3096"/>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Reliable workspace, airport access, short notice support</w:t>
            </w:r>
          </w:p>
        </w:tc>
        <w:tc>
          <w:tcPr>
            <w:tcW w:type="dxa" w:w="468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Verified connectivity, arrival coordination, responsive local operations</w:t>
            </w:r>
          </w:p>
        </w:tc>
      </w:tr>
      <w:tr>
        <w:trPr>
          <w:cantSplit/>
        </w:trPr>
        <w:tc>
          <w:tcPr>
            <w:tcW w:type="dxa" w:w="2232"/>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Diaspora and relocating professionals</w:t>
            </w:r>
          </w:p>
        </w:tc>
        <w:tc>
          <w:tcPr>
            <w:tcW w:type="dxa" w:w="3096"/>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A ready home without fragmented handoffs</w:t>
            </w:r>
          </w:p>
        </w:tc>
        <w:tc>
          <w:tcPr>
            <w:tcW w:type="dxa" w:w="468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Curated home selection, longer stay support, consistent guest communication</w:t>
            </w:r>
          </w:p>
        </w:tc>
      </w:tr>
      <w:tr>
        <w:trPr>
          <w:cantSplit/>
        </w:trPr>
        <w:tc>
          <w:tcPr>
            <w:tcW w:type="dxa" w:w="2232"/>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Institutional visitors and delegates</w:t>
            </w:r>
          </w:p>
        </w:tc>
        <w:tc>
          <w:tcPr>
            <w:tcW w:type="dxa" w:w="3096"/>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Predictable service and clear billing workflow</w:t>
            </w:r>
          </w:p>
        </w:tc>
        <w:tc>
          <w:tcPr>
            <w:tcW w:type="dxa" w:w="468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Portfolio standards, direct booking pathway, corporate account development</w:t>
            </w:r>
          </w:p>
        </w:tc>
      </w:tr>
      <w:tr>
        <w:trPr>
          <w:cantSplit/>
        </w:trPr>
        <w:tc>
          <w:tcPr>
            <w:tcW w:type="dxa" w:w="2232"/>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Furnished property owners</w:t>
            </w:r>
          </w:p>
        </w:tc>
        <w:tc>
          <w:tcPr>
            <w:tcW w:type="dxa" w:w="3096"/>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Income performance without daily guest operations</w:t>
            </w:r>
          </w:p>
        </w:tc>
        <w:tc>
          <w:tcPr>
            <w:tcW w:type="dxa" w:w="468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Property assessment, onboarding, distribution, readiness checks, payout visibility</w:t>
            </w:r>
          </w:p>
        </w:tc>
      </w:tr>
    </w:tbl>
    <w:p>
      <w:pPr>
        <w:spacing w:after="40"/>
      </w:pPr>
    </w:p>
    <w:p>
      <w:pPr>
        <w:spacing w:before="40" w:after="160"/>
      </w:pPr>
      <w:r>
        <w:rPr>
          <w:rFonts w:ascii="Aptos" w:hAnsi="Aptos"/>
          <w:i/>
          <w:color w:val="515154"/>
          <w:sz w:val="18"/>
        </w:rPr>
        <w:t>The proposal deliberately uses a focused beachhead rather than unverified market size claims. Demand, pricing, and retention must be validated through live operations.</w:t>
      </w:r>
    </w:p>
    <w:p>
      <w:r>
        <w:br w:type="page"/>
      </w:r>
    </w:p>
    <w:p>
      <w:pPr>
        <w:pStyle w:val="Heading1"/>
        <w:keepNext/>
      </w:pPr>
      <w:r>
        <w:t>The Addis Living response</w:t>
      </w:r>
    </w:p>
    <w:p>
      <w:pPr>
        <w:spacing w:after="140" w:line="283" w:lineRule="auto"/>
      </w:pPr>
      <w:r>
        <w:rPr>
          <w:rFonts w:ascii="Aptos" w:hAnsi="Aptos"/>
          <w:color w:val="1D1D1F"/>
        </w:rPr>
        <w:t>Addis Living combines an informed booking interface with a local operating standard. The customer promise should be precise: each listed home is assessed against a documented readiness checklist, and each guest has an accountable local point of contact. The initial portfolio should concentrate on Bole, Kazanchis, Old Airport, Sarbet, CMC, and Piassa, where the product already expresses distinct use cases and stay types.</w:t>
      </w:r>
    </w:p>
    <w:p>
      <w:pPr>
        <w:pStyle w:val="ListBullet"/>
        <w:spacing w:after="60" w:line="269" w:lineRule="auto"/>
      </w:pPr>
      <w:r>
        <w:rPr>
          <w:rFonts w:ascii="Aptos" w:hAnsi="Aptos"/>
          <w:color w:val="1D1D1F"/>
        </w:rPr>
        <w:t>Guest standard: verified home condition, power and water readiness disclosed at the property level, fast connectivity where available, airport coordination, and clear in-stay support.</w:t>
      </w:r>
    </w:p>
    <w:p>
      <w:pPr>
        <w:pStyle w:val="ListBullet"/>
        <w:spacing w:after="60" w:line="269" w:lineRule="auto"/>
      </w:pPr>
      <w:r>
        <w:rPr>
          <w:rFonts w:ascii="Aptos" w:hAnsi="Aptos"/>
          <w:color w:val="1D1D1F"/>
        </w:rPr>
        <w:t>Owner standard: property audit, pricing and listing plan, professional photography, channel distribution, guest operations, turnover coordination, maintenance escalation, and transparent payout reporting.</w:t>
      </w:r>
    </w:p>
    <w:p>
      <w:pPr>
        <w:pStyle w:val="ListBullet"/>
        <w:spacing w:after="60" w:line="269" w:lineRule="auto"/>
      </w:pPr>
      <w:r>
        <w:rPr>
          <w:rFonts w:ascii="Aptos" w:hAnsi="Aptos"/>
          <w:color w:val="1D1D1F"/>
        </w:rPr>
        <w:t>Product standard: direct reservation requests today, followed by authenticated inventory, availability, payments, notifications, owner workflows, and channel integrations as operating proof grows.</w:t>
      </w:r>
    </w:p>
    <w:p>
      <w:pPr>
        <w:pStyle w:val="Heading2"/>
        <w:keepNext/>
      </w:pPr>
      <w:r>
        <w:t>What the launch must prove</w:t>
      </w:r>
    </w:p>
    <w:p>
      <w:pPr>
        <w:spacing w:after="140" w:line="283" w:lineRule="auto"/>
      </w:pPr>
      <w:r>
        <w:rPr>
          <w:rFonts w:ascii="Aptos" w:hAnsi="Aptos"/>
          <w:color w:val="1D1D1F"/>
        </w:rPr>
        <w:t>The first year is an operating proof period. Each workstream should produce evidence that informs the next decision, rather than relying on prototype activity as traction.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Proof point</w:t>
            </w:r>
          </w:p>
        </w:tc>
        <w:tc>
          <w:tcPr>
            <w:tcW w:type="dxa" w:w="4320"/>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Minimum evidence</w:t>
            </w:r>
          </w:p>
        </w:tc>
        <w:tc>
          <w:tcPr>
            <w:tcW w:type="dxa" w:w="3600"/>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Decision use</w:t>
            </w:r>
          </w:p>
        </w:tc>
      </w:tr>
      <w:tr>
        <w:trPr>
          <w:cantSplit/>
        </w:trPr>
        <w:tc>
          <w:tcPr>
            <w:tcW w:type="dxa" w:w="208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Guest reliability</w:t>
            </w:r>
          </w:p>
        </w:tc>
        <w:tc>
          <w:tcPr>
            <w:tcW w:type="dxa" w:w="432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Completed readiness records, guest feedback, and incident logs</w:t>
            </w:r>
          </w:p>
        </w:tc>
        <w:tc>
          <w:tcPr>
            <w:tcW w:type="dxa" w:w="360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Refine the service checklist and escalation coverage</w:t>
            </w:r>
          </w:p>
        </w:tc>
      </w:tr>
      <w:tr>
        <w:trPr>
          <w:cantSplit/>
        </w:trPr>
        <w:tc>
          <w:tcPr>
            <w:tcW w:type="dxa" w:w="208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Owner trust</w:t>
            </w:r>
          </w:p>
        </w:tc>
        <w:tc>
          <w:tcPr>
            <w:tcW w:type="dxa" w:w="432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Signed agreements, payout records, and home level maintenance reporting</w:t>
            </w:r>
          </w:p>
        </w:tc>
        <w:tc>
          <w:tcPr>
            <w:tcW w:type="dxa" w:w="360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Confirm the management offer and owner retention model</w:t>
            </w:r>
          </w:p>
        </w:tc>
      </w:tr>
      <w:tr>
        <w:trPr>
          <w:cantSplit/>
        </w:trPr>
        <w:tc>
          <w:tcPr>
            <w:tcW w:type="dxa" w:w="208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Demand fit</w:t>
            </w:r>
          </w:p>
        </w:tc>
        <w:tc>
          <w:tcPr>
            <w:tcW w:type="dxa" w:w="432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Booking source, response time, repeat stay, and referral signals</w:t>
            </w:r>
          </w:p>
        </w:tc>
        <w:tc>
          <w:tcPr>
            <w:tcW w:type="dxa" w:w="360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Prioritize direct sales partners and channel investment</w:t>
            </w:r>
          </w:p>
        </w:tc>
      </w:tr>
    </w:tbl>
    <w:p>
      <w:pPr>
        <w:spacing w:after="40"/>
      </w:pPr>
    </w:p>
    <w:p>
      <w:r>
        <w:br w:type="page"/>
      </w:r>
    </w:p>
    <w:p>
      <w:pPr>
        <w:pStyle w:val="Heading1"/>
        <w:keepNext/>
      </w:pPr>
      <w:r>
        <w:t>Product and operating model</w:t>
      </w:r>
    </w:p>
    <w:p>
      <w:pPr>
        <w:spacing w:after="140" w:line="283" w:lineRule="auto"/>
      </w:pPr>
      <w:r>
        <w:rPr>
          <w:rFonts w:ascii="Aptos" w:hAnsi="Aptos"/>
          <w:color w:val="1D1D1F"/>
        </w:rPr>
        <w:t>The product should remain a thin layer over a rigorous hospitality operation. Technology reduces friction and makes work visible; the operating system creates the trust that supports pricing, repeat demand, and owner retention.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Operating stage</w:t>
            </w:r>
          </w:p>
        </w:tc>
        <w:tc>
          <w:tcPr>
            <w:tcW w:type="dxa" w:w="5112"/>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What happens</w:t>
            </w:r>
          </w:p>
        </w:tc>
        <w:tc>
          <w:tcPr>
            <w:tcW w:type="dxa" w:w="2951"/>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Proof of quality</w:t>
            </w:r>
          </w:p>
        </w:tc>
      </w:tr>
      <w:tr>
        <w:trPr>
          <w:cantSplit/>
        </w:trPr>
        <w:tc>
          <w:tcPr>
            <w:tcW w:type="dxa" w:w="1944"/>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Qualify</w:t>
            </w:r>
          </w:p>
        </w:tc>
        <w:tc>
          <w:tcPr>
            <w:tcW w:type="dxa" w:w="5112"/>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Inspect the home, assess furnishing, connectivity, water, power, access, and security conditions.</w:t>
            </w:r>
          </w:p>
        </w:tc>
        <w:tc>
          <w:tcPr>
            <w:tcW w:type="dxa" w:w="2951"/>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Signed owner agreement and property readiness record</w:t>
            </w:r>
          </w:p>
        </w:tc>
      </w:tr>
      <w:tr>
        <w:trPr>
          <w:cantSplit/>
        </w:trPr>
        <w:tc>
          <w:tcPr>
            <w:tcW w:type="dxa" w:w="1944"/>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Prepare</w:t>
            </w:r>
          </w:p>
        </w:tc>
        <w:tc>
          <w:tcPr>
            <w:tcW w:type="dxa" w:w="5112"/>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Set up listing assets, pricing rules, cleaning and maintenance partners, arrival instructions, and guest support coverage.</w:t>
            </w:r>
          </w:p>
        </w:tc>
        <w:tc>
          <w:tcPr>
            <w:tcW w:type="dxa" w:w="2951"/>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Launch checklist and tested guest journey</w:t>
            </w:r>
          </w:p>
        </w:tc>
      </w:tr>
      <w:tr>
        <w:trPr>
          <w:cantSplit/>
        </w:trPr>
        <w:tc>
          <w:tcPr>
            <w:tcW w:type="dxa" w:w="1944"/>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Distribute</w:t>
            </w:r>
          </w:p>
        </w:tc>
        <w:tc>
          <w:tcPr>
            <w:tcW w:type="dxa" w:w="5112"/>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Publish through direct demand channels and selected OTA channels while maintaining a single availability and service policy.</w:t>
            </w:r>
          </w:p>
        </w:tc>
        <w:tc>
          <w:tcPr>
            <w:tcW w:type="dxa" w:w="2951"/>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Accurate calendar, response time, and booking source tracking</w:t>
            </w:r>
          </w:p>
        </w:tc>
      </w:tr>
      <w:tr>
        <w:trPr>
          <w:cantSplit/>
        </w:trPr>
        <w:tc>
          <w:tcPr>
            <w:tcW w:type="dxa" w:w="1944"/>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Operate</w:t>
            </w:r>
          </w:p>
        </w:tc>
        <w:tc>
          <w:tcPr>
            <w:tcW w:type="dxa" w:w="5112"/>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Coordinate arrival, stay support, turnover, utility readiness, issue escalation, and owner updates.</w:t>
            </w:r>
          </w:p>
        </w:tc>
        <w:tc>
          <w:tcPr>
            <w:tcW w:type="dxa" w:w="2951"/>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Guest feedback, incident log, completed turnaround record</w:t>
            </w:r>
          </w:p>
        </w:tc>
      </w:tr>
      <w:tr>
        <w:trPr>
          <w:cantSplit/>
        </w:trPr>
        <w:tc>
          <w:tcPr>
            <w:tcW w:type="dxa" w:w="1944"/>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Improve</w:t>
            </w:r>
          </w:p>
        </w:tc>
        <w:tc>
          <w:tcPr>
            <w:tcW w:type="dxa" w:w="5112"/>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Review pricing, occupancy, guest feedback, and maintenance patterns every month.</w:t>
            </w:r>
          </w:p>
        </w:tc>
        <w:tc>
          <w:tcPr>
            <w:tcW w:type="dxa" w:w="2951"/>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Owner review and home level improvement plan</w:t>
            </w:r>
          </w:p>
        </w:tc>
      </w:tr>
    </w:tbl>
    <w:p>
      <w:pPr>
        <w:spacing w:after="40"/>
      </w:pPr>
    </w:p>
    <w:p>
      <w:pPr>
        <w:pStyle w:val="Heading1"/>
        <w:keepNext/>
      </w:pPr>
      <w:r>
        <w:t>Go to market plan</w:t>
      </w:r>
    </w:p>
    <w:p>
      <w:pPr>
        <w:spacing w:after="140" w:line="283" w:lineRule="auto"/>
      </w:pPr>
      <w:r>
        <w:rPr>
          <w:rFonts w:ascii="Aptos" w:hAnsi="Aptos"/>
          <w:color w:val="1D1D1F"/>
        </w:rPr>
        <w:t>The launch sequence is supply first and demand second. Addis Living should initially sign a small number of homes that meet the standard, document operations carefully, and use those homes to win repeat demand and owner referrals. Discounting should not be the primary growth lever; service consistency should be.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5"/>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Phase</w:t>
            </w:r>
          </w:p>
        </w:tc>
        <w:tc>
          <w:tcPr>
            <w:tcW w:type="dxa" w:w="1152"/>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Months</w:t>
            </w:r>
          </w:p>
        </w:tc>
        <w:tc>
          <w:tcPr>
            <w:tcW w:type="dxa" w:w="5112"/>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Primary actions</w:t>
            </w:r>
          </w:p>
        </w:tc>
        <w:tc>
          <w:tcPr>
            <w:tcW w:type="dxa" w:w="2088"/>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Decision metric</w:t>
            </w:r>
          </w:p>
        </w:tc>
      </w:tr>
      <w:tr>
        <w:trPr>
          <w:cantSplit/>
        </w:trPr>
        <w:tc>
          <w:tcPr>
            <w:tcW w:type="dxa" w:w="1655"/>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Foundation</w:t>
            </w:r>
          </w:p>
        </w:tc>
        <w:tc>
          <w:tcPr>
            <w:tcW w:type="dxa" w:w="1152"/>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1 to 3</w:t>
            </w:r>
          </w:p>
        </w:tc>
        <w:tc>
          <w:tcPr>
            <w:tcW w:type="dxa" w:w="5112"/>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Qualify 6 launch homes, establish service partners, launch readiness checklist, create sales materials.</w:t>
            </w:r>
          </w:p>
        </w:tc>
        <w:tc>
          <w:tcPr>
            <w:tcW w:type="dxa" w:w="208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6 launch ready homes and documented service workflow</w:t>
            </w:r>
          </w:p>
        </w:tc>
      </w:tr>
      <w:tr>
        <w:trPr>
          <w:cantSplit/>
        </w:trPr>
        <w:tc>
          <w:tcPr>
            <w:tcW w:type="dxa" w:w="1655"/>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Proof</w:t>
            </w:r>
          </w:p>
        </w:tc>
        <w:tc>
          <w:tcPr>
            <w:tcW w:type="dxa" w:w="1152"/>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4 to 6</w:t>
            </w:r>
          </w:p>
        </w:tc>
        <w:tc>
          <w:tcPr>
            <w:tcW w:type="dxa" w:w="5112"/>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Secure 2 to 3 anchor corporate, relocation, NGO, or embassy referral channels; test direct booking response and owner reporting.</w:t>
            </w:r>
          </w:p>
        </w:tc>
        <w:tc>
          <w:tcPr>
            <w:tcW w:type="dxa" w:w="208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10 live homes and repeatable booking source data</w:t>
            </w:r>
          </w:p>
        </w:tc>
      </w:tr>
      <w:tr>
        <w:trPr>
          <w:cantSplit/>
        </w:trPr>
        <w:tc>
          <w:tcPr>
            <w:tcW w:type="dxa" w:w="1655"/>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Scale</w:t>
            </w:r>
          </w:p>
        </w:tc>
        <w:tc>
          <w:tcPr>
            <w:tcW w:type="dxa" w:w="1152"/>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7 to 12</w:t>
            </w:r>
          </w:p>
        </w:tc>
        <w:tc>
          <w:tcPr>
            <w:tcW w:type="dxa" w:w="5112"/>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Grow to 18 homes, formalize channel management, expand direct demand, and deepen owner retention process.</w:t>
            </w:r>
          </w:p>
        </w:tc>
        <w:tc>
          <w:tcPr>
            <w:tcW w:type="dxa" w:w="208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Positive monthly operating contribution in the illustrative plan</w:t>
            </w:r>
          </w:p>
        </w:tc>
      </w:tr>
    </w:tbl>
    <w:p>
      <w:pPr>
        <w:spacing w:after="40"/>
      </w:pPr>
    </w:p>
    <w:p>
      <w:pPr>
        <w:pStyle w:val="Heading1"/>
        <w:keepNext/>
      </w:pPr>
      <w:r>
        <w:t>Revenue model</w:t>
      </w:r>
    </w:p>
    <w:p>
      <w:pPr>
        <w:spacing w:after="140" w:line="283" w:lineRule="auto"/>
      </w:pPr>
      <w:r>
        <w:rPr>
          <w:rFonts w:ascii="Aptos" w:hAnsi="Aptos"/>
          <w:color w:val="1D1D1F"/>
        </w:rPr>
        <w:t>The model is designed to be asset light. Addis Living does not need to own real estate; it earns from running homes better and making the guest experience more dependable. The economics below are proposed commercial terms to validate with owners and guests.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Revenue stream</w:t>
            </w:r>
          </w:p>
        </w:tc>
        <w:tc>
          <w:tcPr>
            <w:tcW w:type="dxa" w:w="2448"/>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Illustrative pricing</w:t>
            </w:r>
          </w:p>
        </w:tc>
        <w:tc>
          <w:tcPr>
            <w:tcW w:type="dxa" w:w="4968"/>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Purpose</w:t>
            </w:r>
          </w:p>
        </w:tc>
      </w:tr>
      <w:tr>
        <w:trPr>
          <w:cantSplit/>
        </w:trPr>
        <w:tc>
          <w:tcPr>
            <w:tcW w:type="dxa" w:w="2592"/>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Management and distribution fee</w:t>
            </w:r>
          </w:p>
        </w:tc>
        <w:tc>
          <w:tcPr>
            <w:tcW w:type="dxa" w:w="244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15 percent of gross booking value</w:t>
            </w:r>
          </w:p>
        </w:tc>
        <w:tc>
          <w:tcPr>
            <w:tcW w:type="dxa" w:w="496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Core recurring revenue for calendar, guest, and owner operations</w:t>
            </w:r>
          </w:p>
        </w:tc>
      </w:tr>
      <w:tr>
        <w:trPr>
          <w:cantSplit/>
        </w:trPr>
        <w:tc>
          <w:tcPr>
            <w:tcW w:type="dxa" w:w="2592"/>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Guest service margin</w:t>
            </w:r>
          </w:p>
        </w:tc>
        <w:tc>
          <w:tcPr>
            <w:tcW w:type="dxa" w:w="244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3 percent of gross booking value</w:t>
            </w:r>
          </w:p>
        </w:tc>
        <w:tc>
          <w:tcPr>
            <w:tcW w:type="dxa" w:w="496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Funds concierge coordination and direct booking service</w:t>
            </w:r>
          </w:p>
        </w:tc>
      </w:tr>
      <w:tr>
        <w:trPr>
          <w:cantSplit/>
        </w:trPr>
        <w:tc>
          <w:tcPr>
            <w:tcW w:type="dxa" w:w="2592"/>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Property onboarding</w:t>
            </w:r>
          </w:p>
        </w:tc>
        <w:tc>
          <w:tcPr>
            <w:tcW w:type="dxa" w:w="244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ETB 8,000 per signed home</w:t>
            </w:r>
          </w:p>
        </w:tc>
        <w:tc>
          <w:tcPr>
            <w:tcW w:type="dxa" w:w="496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Covers inspection, listing setup, launch preparation, and owner activation</w:t>
            </w:r>
          </w:p>
        </w:tc>
      </w:tr>
      <w:tr>
        <w:trPr>
          <w:cantSplit/>
        </w:trPr>
        <w:tc>
          <w:tcPr>
            <w:tcW w:type="dxa" w:w="2592"/>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Premium services</w:t>
            </w:r>
          </w:p>
        </w:tc>
        <w:tc>
          <w:tcPr>
            <w:tcW w:type="dxa" w:w="244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Quoted per service</w:t>
            </w:r>
          </w:p>
        </w:tc>
        <w:tc>
          <w:tcPr>
            <w:tcW w:type="dxa" w:w="496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Airport transfers, furnishing upgrades, corporate billing, longer stay support, and special requests</w:t>
            </w:r>
          </w:p>
        </w:tc>
      </w:tr>
    </w:tbl>
    <w:p>
      <w:pPr>
        <w:spacing w:after="40"/>
      </w:pPr>
    </w:p>
    <w:p>
      <w:pPr>
        <w:pStyle w:val="Heading2"/>
        <w:keepNext/>
      </w:pPr>
      <w:r>
        <w:t>Commercial guardrails</w:t>
      </w:r>
    </w:p>
    <w:p>
      <w:pPr>
        <w:spacing w:after="140" w:line="283" w:lineRule="auto"/>
      </w:pPr>
      <w:r>
        <w:rPr>
          <w:rFonts w:ascii="Aptos" w:hAnsi="Aptos"/>
          <w:color w:val="1D1D1F"/>
        </w:rPr>
        <w:t>The commercial model should protect trust as carefully as it protects margin. The following guardrails are part of the launch design, not later refinements.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Guardrail</w:t>
            </w:r>
          </w:p>
        </w:tc>
        <w:tc>
          <w:tcPr>
            <w:tcW w:type="dxa" w:w="7488"/>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Launch practice</w:t>
            </w:r>
          </w:p>
        </w:tc>
      </w:tr>
      <w:tr>
        <w:trPr>
          <w:cantSplit/>
        </w:trPr>
        <w:tc>
          <w:tcPr>
            <w:tcW w:type="dxa" w:w="252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Rate integrity</w:t>
            </w:r>
          </w:p>
        </w:tc>
        <w:tc>
          <w:tcPr>
            <w:tcW w:type="dxa" w:w="748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Publish property specific pricing, availability, and conditions that a guest can understand before requesting a stay.</w:t>
            </w:r>
          </w:p>
        </w:tc>
      </w:tr>
      <w:tr>
        <w:trPr>
          <w:cantSplit/>
        </w:trPr>
        <w:tc>
          <w:tcPr>
            <w:tcW w:type="dxa" w:w="252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Service clarity</w:t>
            </w:r>
          </w:p>
        </w:tc>
        <w:tc>
          <w:tcPr>
            <w:tcW w:type="dxa" w:w="748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Separate optional coordination and premium services from the core booking price before a guest commits.</w:t>
            </w:r>
          </w:p>
        </w:tc>
      </w:tr>
      <w:tr>
        <w:trPr>
          <w:cantSplit/>
        </w:trPr>
        <w:tc>
          <w:tcPr>
            <w:tcW w:type="dxa" w:w="252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Owner alignment</w:t>
            </w:r>
          </w:p>
        </w:tc>
        <w:tc>
          <w:tcPr>
            <w:tcW w:type="dxa" w:w="748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Agree commission, maintenance authorization, payout timing, and reporting expectations before a home goes live.</w:t>
            </w:r>
          </w:p>
        </w:tc>
      </w:tr>
      <w:tr>
        <w:trPr>
          <w:cantSplit/>
        </w:trPr>
        <w:tc>
          <w:tcPr>
            <w:tcW w:type="dxa" w:w="252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Collection control</w:t>
            </w:r>
          </w:p>
        </w:tc>
        <w:tc>
          <w:tcPr>
            <w:tcW w:type="dxa" w:w="748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Complete secure payment, cancellation, and reconciliation workflows before representing a booking as instant confirmation.</w:t>
            </w:r>
          </w:p>
        </w:tc>
      </w:tr>
    </w:tbl>
    <w:p>
      <w:pPr>
        <w:spacing w:after="40"/>
      </w:pPr>
    </w:p>
    <w:p>
      <w:r>
        <w:br w:type="page"/>
      </w:r>
    </w:p>
    <w:p>
      <w:pPr>
        <w:pStyle w:val="Heading1"/>
        <w:keepNext/>
      </w:pPr>
      <w:r>
        <w:t>Illustrative first year financial plan</w:t>
      </w:r>
    </w:p>
    <w:p>
      <w:pPr>
        <w:spacing w:after="140" w:line="283" w:lineRule="auto"/>
      </w:pPr>
      <w:r>
        <w:rPr>
          <w:rFonts w:ascii="Aptos" w:hAnsi="Aptos"/>
          <w:color w:val="1D1D1F"/>
        </w:rPr>
        <w:t>This planning scenario is not historical performance or a forecast guarantee. It assumes a staged portfolio ramp from 6 to 18 homes, an ETB 11,500 blended average daily rate, occupancy rising from 35 percent to 60 percent, an 18 percent blended recurring take rate, and ETB 8,000 onboarding revenue per newly signed home. The model explicitly includes a 2 percent channel and payment cost, ETB 200 local support cost per booked night, ETB 1,000 quality upkeep per active home each month, and fixed operating costs that grow with the portfolio.</w:t>
      </w:r>
    </w:p>
    <w:p>
      <w:pPr>
        <w:spacing w:before="40" w:after="160"/>
      </w:pPr>
      <w:r>
        <w:rPr>
          <w:rFonts w:ascii="Aptos" w:hAnsi="Aptos"/>
          <w:i/>
          <w:color w:val="515154"/>
          <w:sz w:val="18"/>
        </w:rPr>
        <w:t>Illustrative gross booking value is guest spend before Addis Living fees. Platform revenue includes an 18 percent blended recurring take rate and onboarding fees for newly signed homes.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2448"/>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Metric</w:t>
            </w:r>
          </w:p>
        </w:tc>
        <w:tc>
          <w:tcPr>
            <w:tcW w:type="dxa" w:w="1800"/>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Month 1</w:t>
            </w:r>
          </w:p>
        </w:tc>
        <w:tc>
          <w:tcPr>
            <w:tcW w:type="dxa" w:w="1800"/>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Month 6</w:t>
            </w:r>
          </w:p>
        </w:tc>
        <w:tc>
          <w:tcPr>
            <w:tcW w:type="dxa" w:w="1800"/>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Month 12</w:t>
            </w:r>
          </w:p>
        </w:tc>
        <w:tc>
          <w:tcPr>
            <w:tcW w:type="dxa" w:w="1800"/>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Year 1</w:t>
            </w:r>
          </w:p>
        </w:tc>
      </w:tr>
      <w:tr>
        <w:trPr>
          <w:cantSplit/>
        </w:trPr>
        <w:tc>
          <w:tcPr>
            <w:tcW w:type="dxa" w:w="244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Managed homes</w:t>
            </w:r>
          </w:p>
        </w:tc>
        <w:tc>
          <w:tcPr>
            <w:tcW w:type="dxa" w:w="180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6</w:t>
            </w:r>
          </w:p>
        </w:tc>
        <w:tc>
          <w:tcPr>
            <w:tcW w:type="dxa" w:w="180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10</w:t>
            </w:r>
          </w:p>
        </w:tc>
        <w:tc>
          <w:tcPr>
            <w:tcW w:type="dxa" w:w="180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18</w:t>
            </w:r>
          </w:p>
        </w:tc>
        <w:tc>
          <w:tcPr>
            <w:tcW w:type="dxa" w:w="180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18 month-end target</w:t>
            </w:r>
          </w:p>
        </w:tc>
      </w:tr>
      <w:tr>
        <w:trPr>
          <w:cantSplit/>
        </w:trPr>
        <w:tc>
          <w:tcPr>
            <w:tcW w:type="dxa" w:w="244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Occupancy</w:t>
            </w:r>
          </w:p>
        </w:tc>
        <w:tc>
          <w:tcPr>
            <w:tcW w:type="dxa" w:w="180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35 percent</w:t>
            </w:r>
          </w:p>
        </w:tc>
        <w:tc>
          <w:tcPr>
            <w:tcW w:type="dxa" w:w="180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50 percent</w:t>
            </w:r>
          </w:p>
        </w:tc>
        <w:tc>
          <w:tcPr>
            <w:tcW w:type="dxa" w:w="180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60 percent</w:t>
            </w:r>
          </w:p>
        </w:tc>
        <w:tc>
          <w:tcPr>
            <w:tcW w:type="dxa" w:w="180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Ramp assumption</w:t>
            </w:r>
          </w:p>
        </w:tc>
      </w:tr>
      <w:tr>
        <w:trPr>
          <w:cantSplit/>
        </w:trPr>
        <w:tc>
          <w:tcPr>
            <w:tcW w:type="dxa" w:w="244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Gross booking value</w:t>
            </w:r>
          </w:p>
        </w:tc>
        <w:tc>
          <w:tcPr>
            <w:tcW w:type="dxa" w:w="180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ETB 0.72M</w:t>
            </w:r>
          </w:p>
        </w:tc>
        <w:tc>
          <w:tcPr>
            <w:tcW w:type="dxa" w:w="180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ETB 1.73M</w:t>
            </w:r>
          </w:p>
        </w:tc>
        <w:tc>
          <w:tcPr>
            <w:tcW w:type="dxa" w:w="180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ETB 3.73M</w:t>
            </w:r>
          </w:p>
        </w:tc>
        <w:tc>
          <w:tcPr>
            <w:tcW w:type="dxa" w:w="180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ETB 23.3M</w:t>
            </w:r>
          </w:p>
        </w:tc>
      </w:tr>
      <w:tr>
        <w:trPr>
          <w:cantSplit/>
        </w:trPr>
        <w:tc>
          <w:tcPr>
            <w:tcW w:type="dxa" w:w="244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Platform revenue</w:t>
            </w:r>
          </w:p>
        </w:tc>
        <w:tc>
          <w:tcPr>
            <w:tcW w:type="dxa" w:w="180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ETB 0.19M</w:t>
            </w:r>
          </w:p>
        </w:tc>
        <w:tc>
          <w:tcPr>
            <w:tcW w:type="dxa" w:w="180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ETB 0.33M</w:t>
            </w:r>
          </w:p>
        </w:tc>
        <w:tc>
          <w:tcPr>
            <w:tcW w:type="dxa" w:w="180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ETB 0.69M</w:t>
            </w:r>
          </w:p>
        </w:tc>
        <w:tc>
          <w:tcPr>
            <w:tcW w:type="dxa" w:w="180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ETB 4.4M</w:t>
            </w:r>
          </w:p>
        </w:tc>
      </w:tr>
      <w:tr>
        <w:trPr>
          <w:cantSplit/>
        </w:trPr>
        <w:tc>
          <w:tcPr>
            <w:tcW w:type="dxa" w:w="244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Operating contribution</w:t>
            </w:r>
          </w:p>
        </w:tc>
        <w:tc>
          <w:tcPr>
            <w:tcW w:type="dxa" w:w="180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ETB -0.06M</w:t>
            </w:r>
          </w:p>
        </w:tc>
        <w:tc>
          <w:tcPr>
            <w:tcW w:type="dxa" w:w="180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ETB -0.02M</w:t>
            </w:r>
          </w:p>
        </w:tc>
        <w:tc>
          <w:tcPr>
            <w:tcW w:type="dxa" w:w="180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ETB 0.15M</w:t>
            </w:r>
          </w:p>
        </w:tc>
        <w:tc>
          <w:tcPr>
            <w:tcW w:type="dxa" w:w="180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ETB -0.1M</w:t>
            </w:r>
          </w:p>
        </w:tc>
      </w:tr>
    </w:tbl>
    <w:p>
      <w:pPr>
        <w:spacing w:after="40"/>
      </w:pPr>
    </w:p>
    <w:p>
      <w:pPr>
        <w:spacing w:after="140" w:line="283" w:lineRule="auto"/>
      </w:pPr>
      <w:r>
        <w:rPr>
          <w:rFonts w:ascii="Aptos" w:hAnsi="Aptos"/>
          <w:color w:val="1D1D1F"/>
        </w:rPr>
        <w:t>The key underwriting question is whether each new home can produce enough recurring revenue to carry its share of field operations and support. The plan should not accelerate beyond 18 homes until contribution, guest quality, and owner retention are demonstrably repeatable.</w:t>
      </w:r>
    </w:p>
    <w:p>
      <w:pPr>
        <w:pStyle w:val="Heading2"/>
        <w:keepNext/>
      </w:pPr>
      <w:r>
        <w:t>Operating milestones</w:t>
      </w:r>
    </w:p>
    <w:p>
      <w:pPr>
        <w:pStyle w:val="ListBullet"/>
        <w:spacing w:after="60" w:line="269" w:lineRule="auto"/>
      </w:pPr>
      <w:r>
        <w:rPr>
          <w:rFonts w:ascii="Aptos" w:hAnsi="Aptos"/>
          <w:color w:val="1D1D1F"/>
        </w:rPr>
        <w:t>Month 3: 6 verified homes live, approved operating playbook, named service partners, and property-level readiness records.</w:t>
      </w:r>
    </w:p>
    <w:p>
      <w:pPr>
        <w:pStyle w:val="ListBullet"/>
        <w:spacing w:after="60" w:line="269" w:lineRule="auto"/>
      </w:pPr>
      <w:r>
        <w:rPr>
          <w:rFonts w:ascii="Aptos" w:hAnsi="Aptos"/>
          <w:color w:val="1D1D1F"/>
        </w:rPr>
        <w:t>Month 6: 10 live homes, two or more recurring demand partners, direct booking workflow, and first owner reporting reviews.</w:t>
      </w:r>
    </w:p>
    <w:p>
      <w:pPr>
        <w:pStyle w:val="ListBullet"/>
        <w:spacing w:after="60" w:line="269" w:lineRule="auto"/>
      </w:pPr>
      <w:r>
        <w:rPr>
          <w:rFonts w:ascii="Aptos" w:hAnsi="Aptos"/>
          <w:color w:val="1D1D1F"/>
        </w:rPr>
        <w:t>Month 12: 18 live homes, measured guest and owner retention, positive monthly contribution in the illustrative scenario, and a data-backed scale decision.</w:t>
      </w:r>
    </w:p>
    <w:p>
      <w:r>
        <w:br w:type="page"/>
      </w:r>
    </w:p>
    <w:p>
      <w:pPr>
        <w:pStyle w:val="Heading1"/>
        <w:keepNext/>
      </w:pPr>
      <w:r>
        <w:t>Capital plan and release principles</w:t>
      </w:r>
    </w:p>
    <w:p>
      <w:pPr>
        <w:spacing w:after="140" w:line="283" w:lineRule="auto"/>
      </w:pPr>
      <w:r>
        <w:rPr>
          <w:rFonts w:ascii="Aptos" w:hAnsi="Aptos"/>
          <w:color w:val="1D1D1F"/>
        </w:rPr>
        <w:t>Addis Living is seeking ETB 3.0 million in pre-seed launch capital. The capital should be released against operating milestones, not simply spent against a calendar. The initial allocation prioritizes the service infrastructure that makes the guest promise credible.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4896"/>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Use of funds</w:t>
            </w:r>
          </w:p>
        </w:tc>
        <w:tc>
          <w:tcPr>
            <w:tcW w:type="dxa" w:w="1584"/>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ETB millions</w:t>
            </w:r>
          </w:p>
        </w:tc>
        <w:tc>
          <w:tcPr>
            <w:tcW w:type="dxa" w:w="3168"/>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Milestone enabled</w:t>
            </w:r>
          </w:p>
        </w:tc>
      </w:tr>
      <w:tr>
        <w:trPr>
          <w:cantSplit/>
        </w:trPr>
        <w:tc>
          <w:tcPr>
            <w:tcW w:type="dxa" w:w="4896"/>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Product payments and launch implementation</w:t>
            </w:r>
          </w:p>
        </w:tc>
        <w:tc>
          <w:tcPr>
            <w:tcW w:type="dxa" w:w="1584"/>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0.55</w:t>
            </w:r>
          </w:p>
        </w:tc>
        <w:tc>
          <w:tcPr>
            <w:tcW w:type="dxa" w:w="316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Authenticated inventory, payments, legal and compliance, and launch setup</w:t>
            </w:r>
          </w:p>
        </w:tc>
      </w:tr>
      <w:tr>
        <w:trPr>
          <w:cantSplit/>
        </w:trPr>
        <w:tc>
          <w:tcPr>
            <w:tcW w:type="dxa" w:w="4896"/>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Property readiness and onboarding</w:t>
            </w:r>
          </w:p>
        </w:tc>
        <w:tc>
          <w:tcPr>
            <w:tcW w:type="dxa" w:w="1584"/>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0.60</w:t>
            </w:r>
          </w:p>
        </w:tc>
        <w:tc>
          <w:tcPr>
            <w:tcW w:type="dxa" w:w="316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Audits, photography, onboarding kits, and listing activation</w:t>
            </w:r>
          </w:p>
        </w:tc>
      </w:tr>
      <w:tr>
        <w:trPr>
          <w:cantSplit/>
        </w:trPr>
        <w:tc>
          <w:tcPr>
            <w:tcW w:type="dxa" w:w="4896"/>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Demand and corporate sales activation</w:t>
            </w:r>
          </w:p>
        </w:tc>
        <w:tc>
          <w:tcPr>
            <w:tcW w:type="dxa" w:w="1584"/>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0.50</w:t>
            </w:r>
          </w:p>
        </w:tc>
        <w:tc>
          <w:tcPr>
            <w:tcW w:type="dxa" w:w="316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Owner acquisition and direct corporate or relocation demand channels</w:t>
            </w:r>
          </w:p>
        </w:tc>
      </w:tr>
      <w:tr>
        <w:trPr>
          <w:cantSplit/>
        </w:trPr>
        <w:tc>
          <w:tcPr>
            <w:tcW w:type="dxa" w:w="4896"/>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Working capital buffer</w:t>
            </w:r>
          </w:p>
        </w:tc>
        <w:tc>
          <w:tcPr>
            <w:tcW w:type="dxa" w:w="1584"/>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0.70</w:t>
            </w:r>
          </w:p>
        </w:tc>
        <w:tc>
          <w:tcPr>
            <w:tcW w:type="dxa" w:w="316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Coverage for the early operating contribution gap and delayed collections</w:t>
            </w:r>
          </w:p>
        </w:tc>
      </w:tr>
      <w:tr>
        <w:trPr>
          <w:cantSplit/>
        </w:trPr>
        <w:tc>
          <w:tcPr>
            <w:tcW w:type="dxa" w:w="4896"/>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Contingency</w:t>
            </w:r>
          </w:p>
        </w:tc>
        <w:tc>
          <w:tcPr>
            <w:tcW w:type="dxa" w:w="1584"/>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0.35</w:t>
            </w:r>
          </w:p>
        </w:tc>
        <w:tc>
          <w:tcPr>
            <w:tcW w:type="dxa" w:w="316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Foreign exchange, regulatory, and guest incident reserve</w:t>
            </w:r>
          </w:p>
        </w:tc>
      </w:tr>
      <w:tr>
        <w:trPr>
          <w:cantSplit/>
        </w:trPr>
        <w:tc>
          <w:tcPr>
            <w:tcW w:type="dxa" w:w="4896"/>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Field equipment and first-party analytics</w:t>
            </w:r>
          </w:p>
        </w:tc>
        <w:tc>
          <w:tcPr>
            <w:tcW w:type="dxa" w:w="1584"/>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0.30</w:t>
            </w:r>
          </w:p>
        </w:tc>
        <w:tc>
          <w:tcPr>
            <w:tcW w:type="dxa" w:w="316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Booking operations, analytics, security, and field equipment</w:t>
            </w:r>
          </w:p>
        </w:tc>
      </w:tr>
      <w:tr>
        <w:trPr>
          <w:cantSplit/>
        </w:trPr>
        <w:tc>
          <w:tcPr>
            <w:tcW w:type="dxa" w:w="4896"/>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Total</w:t>
            </w:r>
          </w:p>
        </w:tc>
        <w:tc>
          <w:tcPr>
            <w:tcW w:type="dxa" w:w="1584"/>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3.00</w:t>
            </w:r>
          </w:p>
        </w:tc>
        <w:tc>
          <w:tcPr>
            <w:tcW w:type="dxa" w:w="316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Disciplined twelve month launch plan</w:t>
            </w:r>
          </w:p>
        </w:tc>
      </w:tr>
    </w:tbl>
    <w:p>
      <w:pPr>
        <w:spacing w:after="40"/>
      </w:pPr>
    </w:p>
    <w:p>
      <w:pPr>
        <w:pStyle w:val="Heading2"/>
        <w:keepNext/>
      </w:pPr>
      <w:r>
        <w:t>Suggested milestone gates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Funding gate</w:t>
            </w:r>
          </w:p>
        </w:tc>
        <w:tc>
          <w:tcPr>
            <w:tcW w:type="dxa" w:w="4536"/>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Evidence required</w:t>
            </w:r>
          </w:p>
        </w:tc>
        <w:tc>
          <w:tcPr>
            <w:tcW w:type="dxa" w:w="3528"/>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Priority unlocked</w:t>
            </w:r>
          </w:p>
        </w:tc>
      </w:tr>
      <w:tr>
        <w:trPr>
          <w:cantSplit/>
        </w:trPr>
        <w:tc>
          <w:tcPr>
            <w:tcW w:type="dxa" w:w="1944"/>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Launch readiness</w:t>
            </w:r>
          </w:p>
        </w:tc>
        <w:tc>
          <w:tcPr>
            <w:tcW w:type="dxa" w:w="4536"/>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Six approved homes, signed operating playbook, and named service partners</w:t>
            </w:r>
          </w:p>
        </w:tc>
        <w:tc>
          <w:tcPr>
            <w:tcW w:type="dxa" w:w="352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Listing activation, payments setup, property readiness, and owner onboarding</w:t>
            </w:r>
          </w:p>
        </w:tc>
      </w:tr>
      <w:tr>
        <w:trPr>
          <w:cantSplit/>
        </w:trPr>
        <w:tc>
          <w:tcPr>
            <w:tcW w:type="dxa" w:w="1944"/>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Operating proof</w:t>
            </w:r>
          </w:p>
        </w:tc>
        <w:tc>
          <w:tcPr>
            <w:tcW w:type="dxa" w:w="4536"/>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Ten live homes, direct booking response data, and initial owner reporting</w:t>
            </w:r>
          </w:p>
        </w:tc>
        <w:tc>
          <w:tcPr>
            <w:tcW w:type="dxa" w:w="352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Corporate demand activation, field operations, and retention improvements</w:t>
            </w:r>
          </w:p>
        </w:tc>
      </w:tr>
      <w:tr>
        <w:trPr>
          <w:cantSplit/>
        </w:trPr>
        <w:tc>
          <w:tcPr>
            <w:tcW w:type="dxa" w:w="1944"/>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Scale decision</w:t>
            </w:r>
          </w:p>
        </w:tc>
        <w:tc>
          <w:tcPr>
            <w:tcW w:type="dxa" w:w="4536"/>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Eighteen live homes, quality and retention evidence, and positive illustrative monthly contribution</w:t>
            </w:r>
          </w:p>
        </w:tc>
        <w:tc>
          <w:tcPr>
            <w:tcW w:type="dxa" w:w="352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7"/>
              </w:rPr>
              <w:t>Selective portfolio growth or a disciplined recalibration</w:t>
            </w:r>
          </w:p>
        </w:tc>
      </w:tr>
    </w:tbl>
    <w:p>
      <w:pPr>
        <w:spacing w:after="40"/>
      </w:pPr>
    </w:p>
    <w:p>
      <w:r>
        <w:br w:type="page"/>
      </w:r>
    </w:p>
    <w:p>
      <w:pPr>
        <w:pStyle w:val="Heading1"/>
        <w:keepNext/>
      </w:pPr>
      <w:r>
        <w:t>Risks and controls</w:t>
      </w:r>
    </w:p>
    <w:p>
      <w:pPr>
        <w:spacing w:after="140" w:line="283" w:lineRule="auto"/>
      </w:pPr>
      <w:r>
        <w:rPr>
          <w:rFonts w:ascii="Aptos" w:hAnsi="Aptos"/>
          <w:color w:val="1D1D1F"/>
        </w:rPr>
        <w:t>Trust must be earned property by property. Addis Living should explicitly avoid universal promises until a home has been independently verified against its own operating record. The same discipline applies to payments, channel integrations, availability, and service coverage.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168"/>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Risk</w:t>
            </w:r>
          </w:p>
        </w:tc>
        <w:tc>
          <w:tcPr>
            <w:tcW w:type="dxa" w:w="6480"/>
            <w:shd w:fill="17324D"/>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jc w:val="left"/>
            </w:pPr>
            <w:r>
              <w:rPr>
                <w:rFonts w:ascii="Aptos" w:hAnsi="Aptos"/>
                <w:b/>
                <w:color w:val="FFFFFF"/>
                <w:sz w:val="18"/>
              </w:rPr>
              <w:t>Control</w:t>
            </w:r>
          </w:p>
        </w:tc>
      </w:tr>
      <w:tr>
        <w:trPr>
          <w:cantSplit/>
        </w:trPr>
        <w:tc>
          <w:tcPr>
            <w:tcW w:type="dxa" w:w="316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Inconsistent home quality or readiness</w:t>
            </w:r>
          </w:p>
        </w:tc>
        <w:tc>
          <w:tcPr>
            <w:tcW w:type="dxa" w:w="648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Use a documented qualification checklist, property specific disclosures, launch approval, and recurring audits.</w:t>
            </w:r>
          </w:p>
        </w:tc>
      </w:tr>
      <w:tr>
        <w:trPr>
          <w:cantSplit/>
        </w:trPr>
        <w:tc>
          <w:tcPr>
            <w:tcW w:type="dxa" w:w="316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Guest service failure</w:t>
            </w:r>
          </w:p>
        </w:tc>
        <w:tc>
          <w:tcPr>
            <w:tcW w:type="dxa" w:w="648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Define response standards, escalation owners, vetted local partners, and a post incident review process.</w:t>
            </w:r>
          </w:p>
        </w:tc>
      </w:tr>
      <w:tr>
        <w:trPr>
          <w:cantSplit/>
        </w:trPr>
        <w:tc>
          <w:tcPr>
            <w:tcW w:type="dxa" w:w="316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Payment and cancellation friction</w:t>
            </w:r>
          </w:p>
        </w:tc>
        <w:tc>
          <w:tcPr>
            <w:tcW w:type="dxa" w:w="648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Introduce secure payment, explicit cancellation terms, reconciliation, and guest communication before promising instant confirmation.</w:t>
            </w:r>
          </w:p>
        </w:tc>
      </w:tr>
      <w:tr>
        <w:trPr>
          <w:cantSplit/>
        </w:trPr>
        <w:tc>
          <w:tcPr>
            <w:tcW w:type="dxa" w:w="316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Utility and connectivity variability</w:t>
            </w:r>
          </w:p>
        </w:tc>
        <w:tc>
          <w:tcPr>
            <w:tcW w:type="dxa" w:w="648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Verify each home at onboarding, disclose limitations accurately, and maintain practical contingencies instead of blanket guarantees.</w:t>
            </w:r>
          </w:p>
        </w:tc>
      </w:tr>
      <w:tr>
        <w:trPr>
          <w:cantSplit/>
        </w:trPr>
        <w:tc>
          <w:tcPr>
            <w:tcW w:type="dxa" w:w="3168"/>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Channel concentration</w:t>
            </w:r>
          </w:p>
        </w:tc>
        <w:tc>
          <w:tcPr>
            <w:tcW w:type="dxa" w:w="6480"/>
            <w:shd w:fill="FFFFFF"/>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Build direct corporate, relocation, diaspora, and repeat guest demand alongside selected OTA distribution.</w:t>
            </w:r>
          </w:p>
        </w:tc>
      </w:tr>
      <w:tr>
        <w:trPr>
          <w:cantSplit/>
        </w:trPr>
        <w:tc>
          <w:tcPr>
            <w:tcW w:type="dxa" w:w="3168"/>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Owner trust and compliance</w:t>
            </w:r>
          </w:p>
        </w:tc>
        <w:tc>
          <w:tcPr>
            <w:tcW w:type="dxa" w:w="6480"/>
            <w:shd w:fill="F1F7FC"/>
            <w:tcBorders>
              <w:top w:val="single" w:sz="6" w:space="0" w:color="D9D9D9"/>
              <w:left w:val="single" w:sz="6" w:space="0" w:color="D9D9D9"/>
              <w:bottom w:val="single" w:sz="6" w:space="0" w:color="D9D9D9"/>
              <w:right w:val="single" w:sz="6" w:space="0" w:color="D9D9D9"/>
            </w:tcBorders>
            <w:tcMar>
              <w:top w:w="105" w:type="dxa"/>
              <w:start w:w="115" w:type="dxa"/>
              <w:bottom w:w="105" w:type="dxa"/>
              <w:end w:w="115" w:type="dxa"/>
            </w:tcMar>
            <w:vAlign w:val="center"/>
          </w:tcPr>
          <w:p>
            <w:pPr>
              <w:spacing w:after="0" w:line="259" w:lineRule="auto"/>
              <w:jc w:val="left"/>
            </w:pPr>
            <w:r>
              <w:rPr>
                <w:rFonts w:ascii="Aptos" w:hAnsi="Aptos"/>
                <w:color w:val="1D1D1F"/>
                <w:sz w:val="18"/>
              </w:rPr>
              <w:t>Use clear agreements, transparent payout reporting, local legal and tax review, and documented data handling practices.</w:t>
            </w:r>
          </w:p>
        </w:tc>
      </w:tr>
    </w:tbl>
    <w:p>
      <w:pPr>
        <w:spacing w:after="40"/>
      </w:pPr>
    </w:p>
    <w:p>
      <w:pPr>
        <w:pStyle w:val="Heading1"/>
        <w:keepNext/>
      </w:pPr>
      <w:r>
        <w:t>Partnership request</w:t>
      </w:r>
    </w:p>
    <w:p>
      <w:pPr>
        <w:spacing w:after="140" w:line="283" w:lineRule="auto"/>
      </w:pPr>
      <w:r>
        <w:rPr>
          <w:rFonts w:ascii="Aptos" w:hAnsi="Aptos"/>
          <w:color w:val="1D1D1F"/>
        </w:rPr>
        <w:t>Addis Living is seeking two forms of support: capital to build a reliable first portfolio and operating partners who can make the standard real. The immediate partnership targets are 10 to 20 launch property owners, 2 to 3 recurring corporate or relocation demand partners, and vetted providers for cleaning, maintenance, airport transfers, connectivity, and utility support.</w:t>
      </w:r>
    </w:p>
    <w:p>
      <w:pPr>
        <w:spacing w:after="140" w:line="283" w:lineRule="auto"/>
      </w:pPr>
      <w:r>
        <w:rPr>
          <w:rFonts w:ascii="Aptos" w:hAnsi="Aptos"/>
          <w:color w:val="1D1D1F"/>
        </w:rPr>
        <w:t>The requested next step is a diligence conversation to validate the launch assumptions, identify the first property and demand partners, agree a milestone based capital structure, and appoint the operating owners responsible for supply, guest experience, and compliance. Final financing terms, valuation, and commercial commitments should follow that diligence.</w:t>
      </w:r>
    </w:p>
    <w:sectPr w:rsidR="00FC693F" w:rsidRPr="0006063C" w:rsidSect="00034616">
      <w:footerReference w:type="default" r:id="rId9"/>
      <w:pgSz w:w="12240" w:h="15840"/>
      <w:pgMar w:top="1123"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15154"/>
        <w:sz w:val="18"/>
      </w:rPr>
      <w:t xml:space="preserve">Addis Living Business Proposal  </w:t>
    </w:r>
    <w:r>
      <w:rPr>
        <w:rFonts w:ascii="Aptos" w:hAnsi="Aptos"/>
        <w:color w:val="515154"/>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1D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