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Comparative Evaluation Report</w:t>
      </w:r>
    </w:p>
    <w:p>
      <w:pPr>
        <w:pStyle w:val="Subtitle"/>
      </w:pPr>
      <w:r>
        <w:t>Water-use and Electricity ODD+D action-situation extraction: ODD+game context vs ODD-only</w:t>
      </w:r>
    </w:p>
    <w:tbl>
      <w:tblPr>
        <w:tblW w:type="auto" w:w="0"/>
        <w:jc w:val="center"/>
        <w:tblLayout w:type="fixed"/>
        <w:tblLook w:firstColumn="1" w:firstRow="1" w:lastColumn="0" w:lastRow="0" w:noHBand="0" w:noVBand="1" w:val="04A0"/>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Pr>
      <w:tblGrid>
        <w:gridCol w:w="4680"/>
        <w:gridCol w:w="4680"/>
      </w:tblGrid>
      <w:tr>
        <w:trPr>
          <w:tblHeader w:val="true"/>
          <w:cantSplit/>
        </w:trPr>
        <w:tc>
          <w:tcPr>
            <w:tcW w:type="dxa" w:w="2088"/>
            <w:shd w:fill="F2F4F7"/>
            <w:vAlign w:val="center"/>
          </w:tcPr>
          <w:p>
            <w:pPr>
              <w:spacing w:before="0" w:after="40" w:line="252" w:lineRule="auto"/>
              <w:jc w:val="center"/>
            </w:pPr>
            <w:r/>
            <w:r>
              <w:rPr>
                <w:b/>
                <w:color w:val="0B2545"/>
                <w:sz w:val="18"/>
              </w:rPr>
              <w:t>Field</w:t>
            </w:r>
          </w:p>
        </w:tc>
        <w:tc>
          <w:tcPr>
            <w:tcW w:type="dxa" w:w="6983"/>
            <w:shd w:fill="F2F4F7"/>
            <w:vAlign w:val="center"/>
          </w:tcPr>
          <w:p>
            <w:pPr>
              <w:spacing w:before="0" w:after="40" w:line="252" w:lineRule="auto"/>
              <w:jc w:val="center"/>
            </w:pPr>
            <w:r/>
            <w:r>
              <w:rPr>
                <w:b/>
                <w:color w:val="0B2545"/>
                <w:sz w:val="18"/>
              </w:rPr>
              <w:t>Value</w:t>
            </w:r>
          </w:p>
        </w:tc>
      </w:tr>
      <w:tr>
        <w:trPr>
          <w:cantSplit/>
        </w:trPr>
        <w:tc>
          <w:tcPr>
            <w:tcW w:type="dxa" w:w="2088"/>
            <w:vAlign w:val="center"/>
          </w:tcPr>
          <w:p>
            <w:pPr>
              <w:spacing w:before="0" w:after="40" w:line="252" w:lineRule="auto"/>
              <w:jc w:val="center"/>
            </w:pPr>
            <w:r/>
            <w:r>
              <w:rPr>
                <w:b w:val="0"/>
                <w:sz w:val="18"/>
              </w:rPr>
              <w:t>Report date</w:t>
            </w:r>
          </w:p>
        </w:tc>
        <w:tc>
          <w:tcPr>
            <w:tcW w:type="dxa" w:w="6983"/>
            <w:vAlign w:val="center"/>
          </w:tcPr>
          <w:p>
            <w:pPr>
              <w:spacing w:before="0" w:after="40" w:line="252" w:lineRule="auto"/>
              <w:jc w:val="left"/>
            </w:pPr>
            <w:r/>
            <w:r>
              <w:rPr>
                <w:b w:val="0"/>
                <w:sz w:val="18"/>
              </w:rPr>
              <w:t>2026-05-11</w:t>
            </w:r>
          </w:p>
        </w:tc>
      </w:tr>
      <w:tr>
        <w:trPr>
          <w:cantSplit/>
        </w:trPr>
        <w:tc>
          <w:tcPr>
            <w:tcW w:type="dxa" w:w="2088"/>
            <w:vAlign w:val="center"/>
          </w:tcPr>
          <w:p>
            <w:pPr>
              <w:spacing w:before="0" w:after="40" w:line="252" w:lineRule="auto"/>
              <w:jc w:val="center"/>
            </w:pPr>
            <w:r/>
            <w:r>
              <w:rPr>
                <w:b w:val="0"/>
                <w:sz w:val="18"/>
              </w:rPr>
              <w:t>Workspace</w:t>
            </w:r>
          </w:p>
        </w:tc>
        <w:tc>
          <w:tcPr>
            <w:tcW w:type="dxa" w:w="6983"/>
            <w:vAlign w:val="center"/>
          </w:tcPr>
          <w:p>
            <w:pPr>
              <w:spacing w:before="0" w:after="40" w:line="252" w:lineRule="auto"/>
              <w:jc w:val="left"/>
            </w:pPr>
            <w:r/>
            <w:r>
              <w:rPr>
                <w:b w:val="0"/>
                <w:sz w:val="18"/>
              </w:rPr>
              <w:t>/Users/alex-lirio-lucian/develop/WaterUse-alex/LLM_Prompting</w:t>
            </w:r>
          </w:p>
        </w:tc>
      </w:tr>
      <w:tr>
        <w:trPr>
          <w:cantSplit/>
        </w:trPr>
        <w:tc>
          <w:tcPr>
            <w:tcW w:type="dxa" w:w="2088"/>
            <w:vAlign w:val="center"/>
          </w:tcPr>
          <w:p>
            <w:pPr>
              <w:spacing w:before="0" w:after="40" w:line="252" w:lineRule="auto"/>
              <w:jc w:val="center"/>
            </w:pPr>
            <w:r/>
            <w:r>
              <w:rPr>
                <w:b w:val="0"/>
                <w:sz w:val="18"/>
              </w:rPr>
              <w:t>Cases</w:t>
            </w:r>
          </w:p>
        </w:tc>
        <w:tc>
          <w:tcPr>
            <w:tcW w:type="dxa" w:w="6983"/>
            <w:vAlign w:val="center"/>
          </w:tcPr>
          <w:p>
            <w:pPr>
              <w:spacing w:before="0" w:after="40" w:line="252" w:lineRule="auto"/>
              <w:jc w:val="left"/>
            </w:pPr>
            <w:r/>
            <w:r>
              <w:rPr>
                <w:b w:val="0"/>
                <w:sz w:val="18"/>
              </w:rPr>
              <w:t>ODD_water and ODD_electricity</w:t>
            </w:r>
          </w:p>
        </w:tc>
      </w:tr>
      <w:tr>
        <w:trPr>
          <w:cantSplit/>
        </w:trPr>
        <w:tc>
          <w:tcPr>
            <w:tcW w:type="dxa" w:w="2088"/>
            <w:vAlign w:val="center"/>
          </w:tcPr>
          <w:p>
            <w:pPr>
              <w:spacing w:before="0" w:after="40" w:line="252" w:lineRule="auto"/>
              <w:jc w:val="center"/>
            </w:pPr>
            <w:r/>
            <w:r>
              <w:rPr>
                <w:b w:val="0"/>
                <w:sz w:val="18"/>
              </w:rPr>
              <w:t>Evaluation outputs</w:t>
            </w:r>
          </w:p>
        </w:tc>
        <w:tc>
          <w:tcPr>
            <w:tcW w:type="dxa" w:w="6983"/>
            <w:vAlign w:val="center"/>
          </w:tcPr>
          <w:p>
            <w:pPr>
              <w:spacing w:before="0" w:after="40" w:line="252" w:lineRule="auto"/>
              <w:jc w:val="left"/>
            </w:pPr>
            <w:r/>
            <w:r>
              <w:rPr>
                <w:b w:val="0"/>
                <w:sz w:val="18"/>
              </w:rPr>
              <w:t>Current comparison reports and AS-level audit CSV files in each case folder</w:t>
            </w:r>
          </w:p>
        </w:tc>
      </w:tr>
    </w:tbl>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rPr>
          <w:cantSplit/>
        </w:trPr>
        <w:tc>
          <w:tcPr>
            <w:tcW w:type="dxa" w:w="9000"/>
            <w:shd w:fill="F4F6F9"/>
          </w:tcPr>
          <w:p>
            <w:pPr>
              <w:spacing w:after="40" w:before="0" w:line="252" w:lineRule="auto"/>
            </w:pPr>
            <w:r/>
            <w:r>
              <w:rPr>
                <w:b/>
                <w:color w:val="1F4D78"/>
                <w:sz w:val="21"/>
              </w:rPr>
              <w:t>Executive summary</w:t>
            </w:r>
          </w:p>
          <w:p>
            <w:pPr>
              <w:spacing w:after="40" w:before="0" w:line="252" w:lineRule="auto"/>
            </w:pPr>
            <w:r>
              <w:rPr>
                <w:sz w:val="19"/>
              </w:rPr>
              <w:t>The ODD+game condition is not uniformly better across all models and cases. It improves recall for DeepSeek and Qwen in several comparisons, but it can also increase over-generation, duplicates, or missed specific ASs. The most reliable interpretation comes from TP, FN, FP, Precision, and Recall together, plus AS-level audit records.</w:t>
            </w:r>
          </w:p>
        </w:tc>
      </w:tr>
    </w:tbl>
    <w:p>
      <w:pPr>
        <w:pStyle w:val="Heading1"/>
        <w:keepNext/>
      </w:pPr>
      <w:r>
        <w:t>1. Test Environment</w:t>
      </w:r>
    </w:p>
    <w:tbl>
      <w:tblPr>
        <w:tblW w:type="auto" w:w="0"/>
        <w:jc w:val="center"/>
        <w:tblLayout w:type="fixed"/>
        <w:tblLook w:firstColumn="1" w:firstRow="1" w:lastColumn="0" w:lastRow="0" w:noHBand="0" w:noVBand="1" w:val="04A0"/>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Pr>
      <w:tblGrid>
        <w:gridCol w:w="4680"/>
        <w:gridCol w:w="4680"/>
      </w:tblGrid>
      <w:tr>
        <w:trPr>
          <w:tblHeader w:val="true"/>
          <w:cantSplit/>
        </w:trPr>
        <w:tc>
          <w:tcPr>
            <w:tcW w:type="dxa" w:w="2232"/>
            <w:shd w:fill="F2F4F7"/>
            <w:vAlign w:val="center"/>
          </w:tcPr>
          <w:p>
            <w:pPr>
              <w:spacing w:before="0" w:after="40" w:line="252" w:lineRule="auto"/>
              <w:jc w:val="center"/>
            </w:pPr>
            <w:r/>
            <w:r>
              <w:rPr>
                <w:b/>
                <w:color w:val="0B2545"/>
                <w:sz w:val="17"/>
              </w:rPr>
              <w:t>Item</w:t>
            </w:r>
          </w:p>
        </w:tc>
        <w:tc>
          <w:tcPr>
            <w:tcW w:type="dxa" w:w="6840"/>
            <w:shd w:fill="F2F4F7"/>
            <w:vAlign w:val="center"/>
          </w:tcPr>
          <w:p>
            <w:pPr>
              <w:spacing w:before="0" w:after="40" w:line="252" w:lineRule="auto"/>
              <w:jc w:val="center"/>
            </w:pPr>
            <w:r/>
            <w:r>
              <w:rPr>
                <w:b/>
                <w:color w:val="0B2545"/>
                <w:sz w:val="17"/>
              </w:rPr>
              <w:t>Configuration</w:t>
            </w:r>
          </w:p>
        </w:tc>
      </w:tr>
      <w:tr>
        <w:trPr>
          <w:cantSplit/>
        </w:trPr>
        <w:tc>
          <w:tcPr>
            <w:tcW w:type="dxa" w:w="2232"/>
            <w:vAlign w:val="center"/>
          </w:tcPr>
          <w:p>
            <w:pPr>
              <w:spacing w:before="0" w:after="40" w:line="252" w:lineRule="auto"/>
              <w:jc w:val="center"/>
            </w:pPr>
            <w:r/>
            <w:r>
              <w:rPr>
                <w:b w:val="0"/>
                <w:sz w:val="17"/>
              </w:rPr>
              <w:t>Provider/API</w:t>
            </w:r>
          </w:p>
        </w:tc>
        <w:tc>
          <w:tcPr>
            <w:tcW w:type="dxa" w:w="6840"/>
            <w:vAlign w:val="center"/>
          </w:tcPr>
          <w:p>
            <w:pPr>
              <w:spacing w:before="0" w:after="40" w:line="252" w:lineRule="auto"/>
              <w:jc w:val="left"/>
            </w:pPr>
            <w:r/>
            <w:r>
              <w:rPr>
                <w:b w:val="0"/>
                <w:sz w:val="17"/>
              </w:rPr>
              <w:t>Together API via together Python client</w:t>
            </w:r>
          </w:p>
        </w:tc>
      </w:tr>
      <w:tr>
        <w:trPr>
          <w:cantSplit/>
        </w:trPr>
        <w:tc>
          <w:tcPr>
            <w:tcW w:type="dxa" w:w="2232"/>
            <w:vAlign w:val="center"/>
          </w:tcPr>
          <w:p>
            <w:pPr>
              <w:spacing w:before="0" w:after="40" w:line="252" w:lineRule="auto"/>
              <w:jc w:val="center"/>
            </w:pPr>
            <w:r/>
            <w:r>
              <w:rPr>
                <w:b w:val="0"/>
                <w:sz w:val="17"/>
              </w:rPr>
              <w:t>Model count</w:t>
            </w:r>
          </w:p>
        </w:tc>
        <w:tc>
          <w:tcPr>
            <w:tcW w:type="dxa" w:w="6840"/>
            <w:vAlign w:val="center"/>
          </w:tcPr>
          <w:p>
            <w:pPr>
              <w:spacing w:before="0" w:after="40" w:line="252" w:lineRule="auto"/>
              <w:jc w:val="left"/>
            </w:pPr>
            <w:r/>
            <w:r>
              <w:rPr>
                <w:b w:val="0"/>
                <w:sz w:val="17"/>
              </w:rPr>
              <w:t>Three LLMs evaluated in each case and prompt condition</w:t>
            </w:r>
          </w:p>
        </w:tc>
      </w:tr>
      <w:tr>
        <w:trPr>
          <w:cantSplit/>
        </w:trPr>
        <w:tc>
          <w:tcPr>
            <w:tcW w:type="dxa" w:w="2232"/>
            <w:vAlign w:val="center"/>
          </w:tcPr>
          <w:p>
            <w:pPr>
              <w:spacing w:before="0" w:after="40" w:line="252" w:lineRule="auto"/>
              <w:jc w:val="center"/>
            </w:pPr>
            <w:r/>
            <w:r>
              <w:rPr>
                <w:b w:val="0"/>
                <w:sz w:val="17"/>
              </w:rPr>
              <w:t>Models</w:t>
            </w:r>
          </w:p>
        </w:tc>
        <w:tc>
          <w:tcPr>
            <w:tcW w:type="dxa" w:w="6840"/>
            <w:vAlign w:val="center"/>
          </w:tcPr>
          <w:p>
            <w:pPr>
              <w:spacing w:before="0" w:after="40" w:line="252" w:lineRule="auto"/>
              <w:jc w:val="left"/>
            </w:pPr>
            <w:r/>
            <w:r>
              <w:rPr>
                <w:b w:val="0"/>
                <w:sz w:val="17"/>
              </w:rPr>
              <w:t>DeepSeek-R1; Llama-3.3-70B-Instruct-Turbo; Qwen2.5-7B-Instruct-Turbo</w:t>
            </w:r>
          </w:p>
        </w:tc>
      </w:tr>
      <w:tr>
        <w:trPr>
          <w:cantSplit/>
        </w:trPr>
        <w:tc>
          <w:tcPr>
            <w:tcW w:type="dxa" w:w="2232"/>
            <w:vAlign w:val="center"/>
          </w:tcPr>
          <w:p>
            <w:pPr>
              <w:spacing w:before="0" w:after="40" w:line="252" w:lineRule="auto"/>
              <w:jc w:val="center"/>
            </w:pPr>
            <w:r/>
            <w:r>
              <w:rPr>
                <w:b w:val="0"/>
                <w:sz w:val="17"/>
              </w:rPr>
              <w:t>Prompt conditions</w:t>
            </w:r>
          </w:p>
        </w:tc>
        <w:tc>
          <w:tcPr>
            <w:tcW w:type="dxa" w:w="6840"/>
            <w:vAlign w:val="center"/>
          </w:tcPr>
          <w:p>
            <w:pPr>
              <w:spacing w:before="0" w:after="40" w:line="252" w:lineRule="auto"/>
              <w:jc w:val="left"/>
            </w:pPr>
            <w:r/>
            <w:r>
              <w:rPr>
                <w:b w:val="0"/>
                <w:sz w:val="17"/>
              </w:rPr>
              <w:t>ODD+game: ODD+D text plus game scenario; ODD-only: ODD+D text only</w:t>
            </w:r>
          </w:p>
        </w:tc>
      </w:tr>
      <w:tr>
        <w:trPr>
          <w:cantSplit/>
        </w:trPr>
        <w:tc>
          <w:tcPr>
            <w:tcW w:type="dxa" w:w="2232"/>
            <w:vAlign w:val="center"/>
          </w:tcPr>
          <w:p>
            <w:pPr>
              <w:spacing w:before="0" w:after="40" w:line="252" w:lineRule="auto"/>
              <w:jc w:val="center"/>
            </w:pPr>
            <w:r/>
            <w:r>
              <w:rPr>
                <w:b w:val="0"/>
                <w:sz w:val="17"/>
              </w:rPr>
              <w:t>Runs</w:t>
            </w:r>
          </w:p>
        </w:tc>
        <w:tc>
          <w:tcPr>
            <w:tcW w:type="dxa" w:w="6840"/>
            <w:vAlign w:val="center"/>
          </w:tcPr>
          <w:p>
            <w:pPr>
              <w:spacing w:before="0" w:after="40" w:line="252" w:lineRule="auto"/>
              <w:jc w:val="left"/>
            </w:pPr>
            <w:r/>
            <w:r>
              <w:rPr>
                <w:b w:val="0"/>
                <w:sz w:val="17"/>
              </w:rPr>
              <w:t>30 runs per model per condition; 180 total generations per case</w:t>
            </w:r>
          </w:p>
        </w:tc>
      </w:tr>
      <w:tr>
        <w:trPr>
          <w:cantSplit/>
        </w:trPr>
        <w:tc>
          <w:tcPr>
            <w:tcW w:type="dxa" w:w="2232"/>
            <w:vAlign w:val="center"/>
          </w:tcPr>
          <w:p>
            <w:pPr>
              <w:spacing w:before="0" w:after="40" w:line="252" w:lineRule="auto"/>
              <w:jc w:val="center"/>
            </w:pPr>
            <w:r/>
            <w:r>
              <w:rPr>
                <w:b w:val="0"/>
                <w:sz w:val="17"/>
              </w:rPr>
              <w:t>Generation settings</w:t>
            </w:r>
          </w:p>
        </w:tc>
        <w:tc>
          <w:tcPr>
            <w:tcW w:type="dxa" w:w="6840"/>
            <w:vAlign w:val="center"/>
          </w:tcPr>
          <w:p>
            <w:pPr>
              <w:spacing w:before="0" w:after="40" w:line="252" w:lineRule="auto"/>
              <w:jc w:val="left"/>
            </w:pPr>
            <w:r/>
            <w:r>
              <w:rPr>
                <w:b w:val="0"/>
                <w:sz w:val="17"/>
              </w:rPr>
              <w:t>temperature=0.6; max_tokens=16000; timeout=600 seconds for all three models</w:t>
            </w:r>
          </w:p>
        </w:tc>
      </w:tr>
      <w:tr>
        <w:trPr>
          <w:cantSplit/>
        </w:trPr>
        <w:tc>
          <w:tcPr>
            <w:tcW w:type="dxa" w:w="2232"/>
            <w:vAlign w:val="center"/>
          </w:tcPr>
          <w:p>
            <w:pPr>
              <w:spacing w:before="0" w:after="40" w:line="252" w:lineRule="auto"/>
              <w:jc w:val="center"/>
            </w:pPr>
            <w:r/>
            <w:r>
              <w:rPr>
                <w:b w:val="0"/>
                <w:sz w:val="17"/>
              </w:rPr>
              <w:t>Water-use scorer</w:t>
            </w:r>
          </w:p>
        </w:tc>
        <w:tc>
          <w:tcPr>
            <w:tcW w:type="dxa" w:w="6840"/>
            <w:vAlign w:val="center"/>
          </w:tcPr>
          <w:p>
            <w:pPr>
              <w:spacing w:before="0" w:after="40" w:line="252" w:lineRule="auto"/>
              <w:jc w:val="left"/>
            </w:pPr>
            <w:r/>
            <w:r>
              <w:rPr>
                <w:b w:val="0"/>
                <w:sz w:val="17"/>
              </w:rPr>
              <w:t>ODD_water/evaluate_tp_fp_fn_compare.py</w:t>
            </w:r>
          </w:p>
        </w:tc>
      </w:tr>
      <w:tr>
        <w:trPr>
          <w:cantSplit/>
        </w:trPr>
        <w:tc>
          <w:tcPr>
            <w:tcW w:type="dxa" w:w="2232"/>
            <w:vAlign w:val="center"/>
          </w:tcPr>
          <w:p>
            <w:pPr>
              <w:spacing w:before="0" w:after="40" w:line="252" w:lineRule="auto"/>
              <w:jc w:val="center"/>
            </w:pPr>
            <w:r/>
            <w:r>
              <w:rPr>
                <w:b w:val="0"/>
                <w:sz w:val="17"/>
              </w:rPr>
              <w:t>Electricity scorer</w:t>
            </w:r>
          </w:p>
        </w:tc>
        <w:tc>
          <w:tcPr>
            <w:tcW w:type="dxa" w:w="6840"/>
            <w:vAlign w:val="center"/>
          </w:tcPr>
          <w:p>
            <w:pPr>
              <w:spacing w:before="0" w:after="40" w:line="252" w:lineRule="auto"/>
              <w:jc w:val="left"/>
            </w:pPr>
            <w:r/>
            <w:r>
              <w:rPr>
                <w:b w:val="0"/>
                <w:sz w:val="17"/>
              </w:rPr>
              <w:t>ODD_electricity/evaluate_tp_fp_fn.py</w:t>
            </w:r>
          </w:p>
        </w:tc>
      </w:tr>
    </w:tbl>
    <w:p/>
    <w:p>
      <w:pPr>
        <w:pStyle w:val="Heading1"/>
        <w:keepNext/>
      </w:pPr>
      <w:r>
        <w:t>2. Evaluation Method</w:t>
      </w:r>
    </w:p>
    <w:p>
      <w:r>
        <w:t>Each generated action situation was reviewed against a fixed gold set for the relevant case. The scoring scripts evaluate only TP, FN, FP, Precision, and Recall. F1 is intentionally not included. Titles are not ignored: the generated title is judged together with the body and payoff matrix or sequential representation text.</w:t>
      </w:r>
    </w:p>
    <w:tbl>
      <w:tblPr>
        <w:tblW w:type="auto" w:w="0"/>
        <w:jc w:val="center"/>
        <w:tblLayout w:type="fixed"/>
        <w:tblLook w:firstColumn="1" w:firstRow="1" w:lastColumn="0" w:lastRow="0" w:noHBand="0" w:noVBand="1" w:val="04A0"/>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Pr>
      <w:tblGrid>
        <w:gridCol w:w="4680"/>
        <w:gridCol w:w="4680"/>
      </w:tblGrid>
      <w:tr>
        <w:trPr>
          <w:tblHeader w:val="true"/>
          <w:cantSplit/>
        </w:trPr>
        <w:tc>
          <w:tcPr>
            <w:tcW w:type="dxa" w:w="1655"/>
            <w:shd w:fill="F2F4F7"/>
            <w:vAlign w:val="center"/>
          </w:tcPr>
          <w:p>
            <w:pPr>
              <w:spacing w:before="0" w:after="40" w:line="252" w:lineRule="auto"/>
              <w:jc w:val="center"/>
            </w:pPr>
            <w:r/>
            <w:r>
              <w:rPr>
                <w:b/>
                <w:color w:val="0B2545"/>
                <w:sz w:val="18"/>
              </w:rPr>
              <w:t>Metric</w:t>
            </w:r>
          </w:p>
        </w:tc>
        <w:tc>
          <w:tcPr>
            <w:tcW w:type="dxa" w:w="7416"/>
            <w:shd w:fill="F2F4F7"/>
            <w:vAlign w:val="center"/>
          </w:tcPr>
          <w:p>
            <w:pPr>
              <w:spacing w:before="0" w:after="40" w:line="252" w:lineRule="auto"/>
              <w:jc w:val="center"/>
            </w:pPr>
            <w:r/>
            <w:r>
              <w:rPr>
                <w:b/>
                <w:color w:val="0B2545"/>
                <w:sz w:val="18"/>
              </w:rPr>
              <w:t>Definition</w:t>
            </w:r>
          </w:p>
        </w:tc>
      </w:tr>
      <w:tr>
        <w:trPr>
          <w:cantSplit/>
        </w:trPr>
        <w:tc>
          <w:tcPr>
            <w:tcW w:type="dxa" w:w="1655"/>
            <w:vAlign w:val="center"/>
          </w:tcPr>
          <w:p>
            <w:pPr>
              <w:spacing w:before="0" w:after="40" w:line="252" w:lineRule="auto"/>
              <w:jc w:val="center"/>
            </w:pPr>
            <w:r/>
            <w:r>
              <w:rPr>
                <w:b w:val="0"/>
                <w:sz w:val="18"/>
              </w:rPr>
              <w:t>TP</w:t>
            </w:r>
          </w:p>
        </w:tc>
        <w:tc>
          <w:tcPr>
            <w:tcW w:type="dxa" w:w="7416"/>
            <w:vAlign w:val="center"/>
          </w:tcPr>
          <w:p>
            <w:pPr>
              <w:spacing w:before="0" w:after="40" w:line="252" w:lineRule="auto"/>
              <w:jc w:val="left"/>
            </w:pPr>
            <w:r/>
            <w:r>
              <w:rPr>
                <w:b w:val="0"/>
                <w:sz w:val="18"/>
              </w:rPr>
              <w:t>Generated AS is in the correct AS set. The first match to a correct AS counts as TP.</w:t>
            </w:r>
          </w:p>
        </w:tc>
      </w:tr>
      <w:tr>
        <w:trPr>
          <w:cantSplit/>
        </w:trPr>
        <w:tc>
          <w:tcPr>
            <w:tcW w:type="dxa" w:w="1655"/>
            <w:vAlign w:val="center"/>
          </w:tcPr>
          <w:p>
            <w:pPr>
              <w:spacing w:before="0" w:after="40" w:line="252" w:lineRule="auto"/>
              <w:jc w:val="center"/>
            </w:pPr>
            <w:r/>
            <w:r>
              <w:rPr>
                <w:b w:val="0"/>
                <w:sz w:val="18"/>
              </w:rPr>
              <w:t>FN</w:t>
            </w:r>
          </w:p>
        </w:tc>
        <w:tc>
          <w:tcPr>
            <w:tcW w:type="dxa" w:w="7416"/>
            <w:vAlign w:val="center"/>
          </w:tcPr>
          <w:p>
            <w:pPr>
              <w:spacing w:before="0" w:after="40" w:line="252" w:lineRule="auto"/>
              <w:jc w:val="left"/>
            </w:pPr>
            <w:r/>
            <w:r>
              <w:rPr>
                <w:b w:val="0"/>
                <w:sz w:val="18"/>
              </w:rPr>
              <w:t>Correct AS was missed by the model in that run.</w:t>
            </w:r>
          </w:p>
        </w:tc>
      </w:tr>
      <w:tr>
        <w:trPr>
          <w:cantSplit/>
        </w:trPr>
        <w:tc>
          <w:tcPr>
            <w:tcW w:type="dxa" w:w="1655"/>
            <w:vAlign w:val="center"/>
          </w:tcPr>
          <w:p>
            <w:pPr>
              <w:spacing w:before="0" w:after="40" w:line="252" w:lineRule="auto"/>
              <w:jc w:val="center"/>
            </w:pPr>
            <w:r/>
            <w:r>
              <w:rPr>
                <w:b w:val="0"/>
                <w:sz w:val="18"/>
              </w:rPr>
              <w:t>FP</w:t>
            </w:r>
          </w:p>
        </w:tc>
        <w:tc>
          <w:tcPr>
            <w:tcW w:type="dxa" w:w="7416"/>
            <w:vAlign w:val="center"/>
          </w:tcPr>
          <w:p>
            <w:pPr>
              <w:spacing w:before="0" w:after="40" w:line="252" w:lineRule="auto"/>
              <w:jc w:val="left"/>
            </w:pPr>
            <w:r/>
            <w:r>
              <w:rPr>
                <w:b w:val="0"/>
                <w:sz w:val="18"/>
              </w:rPr>
              <w:t>Generated AS is not in the correct set, or is a duplicate after that correct AS was already counted.</w:t>
            </w:r>
          </w:p>
        </w:tc>
      </w:tr>
      <w:tr>
        <w:trPr>
          <w:cantSplit/>
        </w:trPr>
        <w:tc>
          <w:tcPr>
            <w:tcW w:type="dxa" w:w="1655"/>
            <w:vAlign w:val="center"/>
          </w:tcPr>
          <w:p>
            <w:pPr>
              <w:spacing w:before="0" w:after="40" w:line="252" w:lineRule="auto"/>
              <w:jc w:val="center"/>
            </w:pPr>
            <w:r/>
            <w:r>
              <w:rPr>
                <w:b w:val="0"/>
                <w:sz w:val="18"/>
              </w:rPr>
              <w:t>Precision</w:t>
            </w:r>
          </w:p>
        </w:tc>
        <w:tc>
          <w:tcPr>
            <w:tcW w:type="dxa" w:w="7416"/>
            <w:vAlign w:val="center"/>
          </w:tcPr>
          <w:p>
            <w:pPr>
              <w:spacing w:before="0" w:after="40" w:line="252" w:lineRule="auto"/>
              <w:jc w:val="left"/>
            </w:pPr>
            <w:r/>
            <w:r>
              <w:rPr>
                <w:b w:val="0"/>
                <w:sz w:val="18"/>
              </w:rPr>
              <w:t>TP / (TP + FP)</w:t>
            </w:r>
          </w:p>
        </w:tc>
      </w:tr>
      <w:tr>
        <w:trPr>
          <w:cantSplit/>
        </w:trPr>
        <w:tc>
          <w:tcPr>
            <w:tcW w:type="dxa" w:w="1655"/>
            <w:vAlign w:val="center"/>
          </w:tcPr>
          <w:p>
            <w:pPr>
              <w:spacing w:before="0" w:after="40" w:line="252" w:lineRule="auto"/>
              <w:jc w:val="center"/>
            </w:pPr>
            <w:r/>
            <w:r>
              <w:rPr>
                <w:b w:val="0"/>
                <w:sz w:val="18"/>
              </w:rPr>
              <w:t>Recall</w:t>
            </w:r>
          </w:p>
        </w:tc>
        <w:tc>
          <w:tcPr>
            <w:tcW w:type="dxa" w:w="7416"/>
            <w:vAlign w:val="center"/>
          </w:tcPr>
          <w:p>
            <w:pPr>
              <w:spacing w:before="0" w:after="40" w:line="252" w:lineRule="auto"/>
              <w:jc w:val="left"/>
            </w:pPr>
            <w:r/>
            <w:r>
              <w:rPr>
                <w:b w:val="0"/>
                <w:sz w:val="18"/>
              </w:rPr>
              <w:t>TP / (TP + FN)</w:t>
            </w:r>
          </w:p>
        </w:tc>
      </w:tr>
    </w:tbl>
    <w:p/>
    <w:p>
      <w:pPr>
        <w:pStyle w:val="Heading2"/>
        <w:keepNext/>
      </w:pPr>
      <w:r>
        <w:t>2.1 Correct AS Sets</w:t>
      </w:r>
    </w:p>
    <w:p>
      <w:pPr>
        <w:pStyle w:val="Caption"/>
      </w:pPr>
      <w:r>
        <w:rPr>
          <w:b/>
          <w:color w:val="1F4D78"/>
        </w:rPr>
        <w:t>Water-use correct set</w:t>
      </w:r>
    </w:p>
    <w:tbl>
      <w:tblPr>
        <w:tblW w:type="auto" w:w="0"/>
        <w:jc w:val="center"/>
        <w:tblLayout w:type="fixed"/>
        <w:tblLook w:firstColumn="1" w:firstRow="1" w:lastColumn="0" w:lastRow="0" w:noHBand="0" w:noVBand="1" w:val="04A0"/>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Pr>
      <w:tblGrid>
        <w:gridCol w:w="4680"/>
        <w:gridCol w:w="4680"/>
      </w:tblGrid>
      <w:tr>
        <w:trPr>
          <w:tblHeader w:val="true"/>
          <w:cantSplit/>
        </w:trPr>
        <w:tc>
          <w:tcPr>
            <w:tcW w:type="dxa" w:w="1152"/>
            <w:shd w:fill="F2F4F7"/>
            <w:vAlign w:val="center"/>
          </w:tcPr>
          <w:p>
            <w:pPr>
              <w:spacing w:before="0" w:after="40" w:line="252" w:lineRule="auto"/>
              <w:jc w:val="center"/>
            </w:pPr>
            <w:r/>
            <w:r>
              <w:rPr>
                <w:b/>
                <w:color w:val="0B2545"/>
                <w:sz w:val="18"/>
              </w:rPr>
              <w:t>Water AS</w:t>
            </w:r>
          </w:p>
        </w:tc>
        <w:tc>
          <w:tcPr>
            <w:tcW w:type="dxa" w:w="7920"/>
            <w:shd w:fill="F2F4F7"/>
            <w:vAlign w:val="center"/>
          </w:tcPr>
          <w:p>
            <w:pPr>
              <w:spacing w:before="0" w:after="40" w:line="252" w:lineRule="auto"/>
              <w:jc w:val="center"/>
            </w:pPr>
            <w:r/>
            <w:r>
              <w:rPr>
                <w:b/>
                <w:color w:val="0B2545"/>
                <w:sz w:val="18"/>
              </w:rPr>
              <w:t>Correct action situation</w:t>
            </w:r>
          </w:p>
        </w:tc>
      </w:tr>
      <w:tr>
        <w:trPr>
          <w:cantSplit/>
        </w:trPr>
        <w:tc>
          <w:tcPr>
            <w:tcW w:type="dxa" w:w="1152"/>
            <w:vAlign w:val="center"/>
          </w:tcPr>
          <w:p>
            <w:pPr>
              <w:spacing w:before="0" w:after="40" w:line="252" w:lineRule="auto"/>
              <w:jc w:val="center"/>
            </w:pPr>
            <w:r/>
            <w:r>
              <w:rPr>
                <w:b w:val="0"/>
                <w:sz w:val="18"/>
              </w:rPr>
              <w:t>AS1</w:t>
            </w:r>
          </w:p>
        </w:tc>
        <w:tc>
          <w:tcPr>
            <w:tcW w:type="dxa" w:w="7920"/>
            <w:vAlign w:val="center"/>
          </w:tcPr>
          <w:p>
            <w:pPr>
              <w:spacing w:before="0" w:after="40" w:line="252" w:lineRule="auto"/>
              <w:jc w:val="left"/>
            </w:pPr>
            <w:r/>
            <w:r>
              <w:rPr>
                <w:b w:val="0"/>
                <w:sz w:val="18"/>
              </w:rPr>
              <w:t>Upstream and downstream withdrawal decisions</w:t>
            </w:r>
          </w:p>
        </w:tc>
      </w:tr>
      <w:tr>
        <w:trPr>
          <w:cantSplit/>
        </w:trPr>
        <w:tc>
          <w:tcPr>
            <w:tcW w:type="dxa" w:w="1152"/>
            <w:vAlign w:val="center"/>
          </w:tcPr>
          <w:p>
            <w:pPr>
              <w:spacing w:before="0" w:after="40" w:line="252" w:lineRule="auto"/>
              <w:jc w:val="center"/>
            </w:pPr>
            <w:r/>
            <w:r>
              <w:rPr>
                <w:b w:val="0"/>
                <w:sz w:val="18"/>
              </w:rPr>
              <w:t>AS2</w:t>
            </w:r>
          </w:p>
        </w:tc>
        <w:tc>
          <w:tcPr>
            <w:tcW w:type="dxa" w:w="7920"/>
            <w:vAlign w:val="center"/>
          </w:tcPr>
          <w:p>
            <w:pPr>
              <w:spacing w:before="0" w:after="40" w:line="252" w:lineRule="auto"/>
              <w:jc w:val="left"/>
            </w:pPr>
            <w:r/>
            <w:r>
              <w:rPr>
                <w:b w:val="0"/>
                <w:sz w:val="18"/>
              </w:rPr>
              <w:t>Fish extraction common pool resource game</w:t>
            </w:r>
          </w:p>
        </w:tc>
      </w:tr>
    </w:tbl>
    <w:p/>
    <w:p>
      <w:pPr>
        <w:pStyle w:val="Caption"/>
      </w:pPr>
      <w:r>
        <w:rPr>
          <w:b/>
          <w:color w:val="1F4D78"/>
        </w:rPr>
        <w:t>Electricity correct set</w:t>
      </w:r>
    </w:p>
    <w:tbl>
      <w:tblPr>
        <w:tblW w:type="auto" w:w="0"/>
        <w:jc w:val="center"/>
        <w:tblLayout w:type="fixed"/>
        <w:tblLook w:firstColumn="1" w:firstRow="1" w:lastColumn="0" w:lastRow="0" w:noHBand="0" w:noVBand="1" w:val="04A0"/>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Pr>
      <w:tblGrid>
        <w:gridCol w:w="4680"/>
        <w:gridCol w:w="4680"/>
      </w:tblGrid>
      <w:tr>
        <w:trPr>
          <w:tblHeader w:val="true"/>
          <w:cantSplit/>
        </w:trPr>
        <w:tc>
          <w:tcPr>
            <w:tcW w:type="dxa" w:w="1152"/>
            <w:shd w:fill="F2F4F7"/>
            <w:vAlign w:val="center"/>
          </w:tcPr>
          <w:p>
            <w:pPr>
              <w:spacing w:before="0" w:after="40" w:line="252" w:lineRule="auto"/>
              <w:jc w:val="center"/>
            </w:pPr>
            <w:r/>
            <w:r>
              <w:rPr>
                <w:b/>
                <w:color w:val="0B2545"/>
                <w:sz w:val="17"/>
              </w:rPr>
              <w:t>Electricity AS</w:t>
            </w:r>
          </w:p>
        </w:tc>
        <w:tc>
          <w:tcPr>
            <w:tcW w:type="dxa" w:w="7920"/>
            <w:shd w:fill="F2F4F7"/>
            <w:vAlign w:val="center"/>
          </w:tcPr>
          <w:p>
            <w:pPr>
              <w:spacing w:before="0" w:after="40" w:line="252" w:lineRule="auto"/>
              <w:jc w:val="center"/>
            </w:pPr>
            <w:r/>
            <w:r>
              <w:rPr>
                <w:b/>
                <w:color w:val="0B2545"/>
                <w:sz w:val="17"/>
              </w:rPr>
              <w:t>Correct action situation</w:t>
            </w:r>
          </w:p>
        </w:tc>
      </w:tr>
      <w:tr>
        <w:trPr>
          <w:cantSplit/>
        </w:trPr>
        <w:tc>
          <w:tcPr>
            <w:tcW w:type="dxa" w:w="1152"/>
            <w:vAlign w:val="center"/>
          </w:tcPr>
          <w:p>
            <w:pPr>
              <w:spacing w:before="0" w:after="40" w:line="252" w:lineRule="auto"/>
              <w:jc w:val="center"/>
            </w:pPr>
            <w:r/>
            <w:r>
              <w:rPr>
                <w:b w:val="0"/>
                <w:sz w:val="17"/>
              </w:rPr>
              <w:t>AS1</w:t>
            </w:r>
          </w:p>
        </w:tc>
        <w:tc>
          <w:tcPr>
            <w:tcW w:type="dxa" w:w="7920"/>
            <w:vAlign w:val="center"/>
          </w:tcPr>
          <w:p>
            <w:pPr>
              <w:spacing w:before="0" w:after="40" w:line="252" w:lineRule="auto"/>
              <w:jc w:val="left"/>
            </w:pPr>
            <w:r/>
            <w:r>
              <w:rPr>
                <w:b w:val="0"/>
                <w:sz w:val="17"/>
              </w:rPr>
              <w:t>Capacitor-adoption assurance game between neighbouring farmers</w:t>
            </w:r>
          </w:p>
        </w:tc>
      </w:tr>
      <w:tr>
        <w:trPr>
          <w:cantSplit/>
        </w:trPr>
        <w:tc>
          <w:tcPr>
            <w:tcW w:type="dxa" w:w="1152"/>
            <w:vAlign w:val="center"/>
          </w:tcPr>
          <w:p>
            <w:pPr>
              <w:spacing w:before="0" w:after="40" w:line="252" w:lineRule="auto"/>
              <w:jc w:val="center"/>
            </w:pPr>
            <w:r/>
            <w:r>
              <w:rPr>
                <w:b w:val="0"/>
                <w:sz w:val="17"/>
              </w:rPr>
              <w:t>AS2</w:t>
            </w:r>
          </w:p>
        </w:tc>
        <w:tc>
          <w:tcPr>
            <w:tcW w:type="dxa" w:w="7920"/>
            <w:vAlign w:val="center"/>
          </w:tcPr>
          <w:p>
            <w:pPr>
              <w:spacing w:before="0" w:after="40" w:line="252" w:lineRule="auto"/>
              <w:jc w:val="left"/>
            </w:pPr>
            <w:r/>
            <w:r>
              <w:rPr>
                <w:b w:val="0"/>
                <w:sz w:val="17"/>
              </w:rPr>
              <w:t>Sequential social-learning process in capacitor adoption</w:t>
            </w:r>
          </w:p>
        </w:tc>
      </w:tr>
      <w:tr>
        <w:trPr>
          <w:cantSplit/>
        </w:trPr>
        <w:tc>
          <w:tcPr>
            <w:tcW w:type="dxa" w:w="1152"/>
            <w:vAlign w:val="center"/>
          </w:tcPr>
          <w:p>
            <w:pPr>
              <w:spacing w:before="0" w:after="40" w:line="252" w:lineRule="auto"/>
              <w:jc w:val="center"/>
            </w:pPr>
            <w:r/>
            <w:r>
              <w:rPr>
                <w:b w:val="0"/>
                <w:sz w:val="17"/>
              </w:rPr>
              <w:t>AS3</w:t>
            </w:r>
          </w:p>
        </w:tc>
        <w:tc>
          <w:tcPr>
            <w:tcW w:type="dxa" w:w="7920"/>
            <w:vAlign w:val="center"/>
          </w:tcPr>
          <w:p>
            <w:pPr>
              <w:spacing w:before="0" w:after="40" w:line="252" w:lineRule="auto"/>
              <w:jc w:val="left"/>
            </w:pPr>
            <w:r/>
            <w:r>
              <w:rPr>
                <w:b w:val="0"/>
                <w:sz w:val="17"/>
              </w:rPr>
              <w:t>Asymmetric transformer-capacity authorization dilemma between farmers</w:t>
            </w:r>
          </w:p>
        </w:tc>
      </w:tr>
      <w:tr>
        <w:trPr>
          <w:cantSplit/>
        </w:trPr>
        <w:tc>
          <w:tcPr>
            <w:tcW w:type="dxa" w:w="1152"/>
            <w:vAlign w:val="center"/>
          </w:tcPr>
          <w:p>
            <w:pPr>
              <w:spacing w:before="0" w:after="40" w:line="252" w:lineRule="auto"/>
              <w:jc w:val="center"/>
            </w:pPr>
            <w:r/>
            <w:r>
              <w:rPr>
                <w:b w:val="0"/>
                <w:sz w:val="17"/>
              </w:rPr>
              <w:t>AS4</w:t>
            </w:r>
          </w:p>
        </w:tc>
        <w:tc>
          <w:tcPr>
            <w:tcW w:type="dxa" w:w="7920"/>
            <w:vAlign w:val="center"/>
          </w:tcPr>
          <w:p>
            <w:pPr>
              <w:spacing w:before="0" w:after="40" w:line="252" w:lineRule="auto"/>
              <w:jc w:val="left"/>
            </w:pPr>
            <w:r/>
            <w:r>
              <w:rPr>
                <w:b w:val="0"/>
                <w:sz w:val="17"/>
              </w:rPr>
              <w:t>Mutual-exchange coordination game between farmer and sub-station staff</w:t>
            </w:r>
          </w:p>
        </w:tc>
      </w:tr>
      <w:tr>
        <w:trPr>
          <w:cantSplit/>
        </w:trPr>
        <w:tc>
          <w:tcPr>
            <w:tcW w:type="dxa" w:w="1152"/>
            <w:vAlign w:val="center"/>
          </w:tcPr>
          <w:p>
            <w:pPr>
              <w:spacing w:before="0" w:after="40" w:line="252" w:lineRule="auto"/>
              <w:jc w:val="center"/>
            </w:pPr>
            <w:r/>
            <w:r>
              <w:rPr>
                <w:b w:val="0"/>
                <w:sz w:val="17"/>
              </w:rPr>
              <w:t>AS5</w:t>
            </w:r>
          </w:p>
        </w:tc>
        <w:tc>
          <w:tcPr>
            <w:tcW w:type="dxa" w:w="7920"/>
            <w:vAlign w:val="center"/>
          </w:tcPr>
          <w:p>
            <w:pPr>
              <w:spacing w:before="0" w:after="40" w:line="252" w:lineRule="auto"/>
              <w:jc w:val="left"/>
            </w:pPr>
            <w:r/>
            <w:r>
              <w:rPr>
                <w:b w:val="0"/>
                <w:sz w:val="17"/>
              </w:rPr>
              <w:t>Authorization-and-investment asymmetric coordination between farmer and staff</w:t>
            </w:r>
          </w:p>
        </w:tc>
      </w:tr>
      <w:tr>
        <w:trPr>
          <w:cantSplit/>
        </w:trPr>
        <w:tc>
          <w:tcPr>
            <w:tcW w:type="dxa" w:w="1152"/>
            <w:vAlign w:val="center"/>
          </w:tcPr>
          <w:p>
            <w:pPr>
              <w:spacing w:before="0" w:after="40" w:line="252" w:lineRule="auto"/>
              <w:jc w:val="center"/>
            </w:pPr>
            <w:r/>
            <w:r>
              <w:rPr>
                <w:b w:val="0"/>
                <w:sz w:val="17"/>
              </w:rPr>
              <w:t>AS6</w:t>
            </w:r>
          </w:p>
        </w:tc>
        <w:tc>
          <w:tcPr>
            <w:tcW w:type="dxa" w:w="7920"/>
            <w:vAlign w:val="center"/>
          </w:tcPr>
          <w:p>
            <w:pPr>
              <w:spacing w:before="0" w:after="40" w:line="252" w:lineRule="auto"/>
              <w:jc w:val="left"/>
            </w:pPr>
            <w:r/>
            <w:r>
              <w:rPr>
                <w:b w:val="0"/>
                <w:sz w:val="17"/>
              </w:rPr>
              <w:t>Groundwater-extraction prisoner's dilemma between farmers</w:t>
            </w:r>
          </w:p>
        </w:tc>
      </w:tr>
    </w:tbl>
    <w:p/>
    <w:p>
      <w:pPr>
        <w:pStyle w:val="Heading1"/>
        <w:keepNext/>
      </w:pPr>
      <w:r>
        <w:t>3. Water-use Results</w:t>
      </w:r>
    </w:p>
    <w:p>
      <w:r>
        <w:t>The water-use case has two confirmed correct ASs, so each model has a maximum of 60 TP over 30 runs. The comparison shows that ODD+game improved recall for DeepSeek-R1 and Qwen2.5-7B, but not for Llama-3.3-70B.</w:t>
      </w:r>
    </w:p>
    <w:p>
      <w:pPr>
        <w:pStyle w:val="Caption"/>
      </w:pPr>
      <w:r>
        <w:rPr>
          <w:b/>
          <w:color w:val="1F4D78"/>
        </w:rPr>
        <w:t>Table 1. Water-use aggregate results</w:t>
      </w:r>
    </w:p>
    <w:tbl>
      <w:tblPr>
        <w:tblW w:type="auto" w:w="0"/>
        <w:jc w:val="center"/>
        <w:tblLayout w:type="fixed"/>
        <w:tblLook w:firstColumn="1" w:firstRow="1" w:lastColumn="0" w:lastRow="0" w:noHBand="0" w:noVBand="1" w:val="04A0"/>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Pr>
      <w:tblGrid>
        <w:gridCol w:w="1337"/>
        <w:gridCol w:w="1337"/>
        <w:gridCol w:w="1337"/>
        <w:gridCol w:w="1337"/>
        <w:gridCol w:w="1337"/>
        <w:gridCol w:w="1337"/>
        <w:gridCol w:w="1337"/>
      </w:tblGrid>
      <w:tr>
        <w:trPr>
          <w:tblHeader w:val="true"/>
          <w:cantSplit/>
        </w:trPr>
        <w:tc>
          <w:tcPr>
            <w:tcW w:type="dxa" w:w="1944"/>
            <w:shd w:fill="F2F4F7"/>
            <w:vAlign w:val="center"/>
          </w:tcPr>
          <w:p>
            <w:pPr>
              <w:spacing w:before="0" w:after="40" w:line="252" w:lineRule="auto"/>
              <w:jc w:val="center"/>
            </w:pPr>
            <w:r/>
            <w:r>
              <w:rPr>
                <w:b/>
                <w:color w:val="0B2545"/>
                <w:sz w:val="17"/>
              </w:rPr>
              <w:t>Model</w:t>
            </w:r>
          </w:p>
        </w:tc>
        <w:tc>
          <w:tcPr>
            <w:tcW w:type="dxa" w:w="1368"/>
            <w:shd w:fill="F2F4F7"/>
            <w:vAlign w:val="center"/>
          </w:tcPr>
          <w:p>
            <w:pPr>
              <w:spacing w:before="0" w:after="40" w:line="252" w:lineRule="auto"/>
              <w:jc w:val="center"/>
            </w:pPr>
            <w:r/>
            <w:r>
              <w:rPr>
                <w:b/>
                <w:color w:val="0B2545"/>
                <w:sz w:val="17"/>
              </w:rPr>
              <w:t>Setting</w:t>
            </w:r>
          </w:p>
        </w:tc>
        <w:tc>
          <w:tcPr>
            <w:tcW w:type="dxa" w:w="648"/>
            <w:shd w:fill="F2F4F7"/>
            <w:vAlign w:val="center"/>
          </w:tcPr>
          <w:p>
            <w:pPr>
              <w:spacing w:before="0" w:after="40" w:line="252" w:lineRule="auto"/>
              <w:jc w:val="center"/>
            </w:pPr>
            <w:r/>
            <w:r>
              <w:rPr>
                <w:b/>
                <w:color w:val="0B2545"/>
                <w:sz w:val="17"/>
              </w:rPr>
              <w:t>TP</w:t>
            </w:r>
          </w:p>
        </w:tc>
        <w:tc>
          <w:tcPr>
            <w:tcW w:type="dxa" w:w="648"/>
            <w:shd w:fill="F2F4F7"/>
            <w:vAlign w:val="center"/>
          </w:tcPr>
          <w:p>
            <w:pPr>
              <w:spacing w:before="0" w:after="40" w:line="252" w:lineRule="auto"/>
              <w:jc w:val="center"/>
            </w:pPr>
            <w:r/>
            <w:r>
              <w:rPr>
                <w:b/>
                <w:color w:val="0B2545"/>
                <w:sz w:val="17"/>
              </w:rPr>
              <w:t>FN</w:t>
            </w:r>
          </w:p>
        </w:tc>
        <w:tc>
          <w:tcPr>
            <w:tcW w:type="dxa" w:w="648"/>
            <w:shd w:fill="F2F4F7"/>
            <w:vAlign w:val="center"/>
          </w:tcPr>
          <w:p>
            <w:pPr>
              <w:spacing w:before="0" w:after="40" w:line="252" w:lineRule="auto"/>
              <w:jc w:val="center"/>
            </w:pPr>
            <w:r/>
            <w:r>
              <w:rPr>
                <w:b/>
                <w:color w:val="0B2545"/>
                <w:sz w:val="17"/>
              </w:rPr>
              <w:t>FP</w:t>
            </w:r>
          </w:p>
        </w:tc>
        <w:tc>
          <w:tcPr>
            <w:tcW w:type="dxa" w:w="1123"/>
            <w:shd w:fill="F2F4F7"/>
            <w:vAlign w:val="center"/>
          </w:tcPr>
          <w:p>
            <w:pPr>
              <w:spacing w:before="0" w:after="40" w:line="252" w:lineRule="auto"/>
              <w:jc w:val="center"/>
            </w:pPr>
            <w:r/>
            <w:r>
              <w:rPr>
                <w:b/>
                <w:color w:val="0B2545"/>
                <w:sz w:val="17"/>
              </w:rPr>
              <w:t>Precision</w:t>
            </w:r>
          </w:p>
        </w:tc>
        <w:tc>
          <w:tcPr>
            <w:tcW w:type="dxa" w:w="1123"/>
            <w:shd w:fill="F2F4F7"/>
            <w:vAlign w:val="center"/>
          </w:tcPr>
          <w:p>
            <w:pPr>
              <w:spacing w:before="0" w:after="40" w:line="252" w:lineRule="auto"/>
              <w:jc w:val="center"/>
            </w:pPr>
            <w:r/>
            <w:r>
              <w:rPr>
                <w:b/>
                <w:color w:val="0B2545"/>
                <w:sz w:val="17"/>
              </w:rPr>
              <w:t>Recall</w:t>
            </w:r>
          </w:p>
        </w:tc>
      </w:tr>
      <w:tr>
        <w:trPr>
          <w:cantSplit/>
        </w:trPr>
        <w:tc>
          <w:tcPr>
            <w:tcW w:type="dxa" w:w="1944"/>
            <w:vAlign w:val="center"/>
          </w:tcPr>
          <w:p>
            <w:pPr>
              <w:spacing w:before="0" w:after="40" w:line="252" w:lineRule="auto"/>
              <w:jc w:val="left"/>
            </w:pPr>
            <w:r/>
            <w:r>
              <w:rPr>
                <w:b w:val="0"/>
                <w:sz w:val="17"/>
              </w:rPr>
              <w:t>DeepSeek-R1</w:t>
            </w:r>
          </w:p>
        </w:tc>
        <w:tc>
          <w:tcPr>
            <w:tcW w:type="dxa" w:w="1368"/>
            <w:vAlign w:val="center"/>
          </w:tcPr>
          <w:p>
            <w:pPr>
              <w:spacing w:before="0" w:after="40" w:line="252" w:lineRule="auto"/>
              <w:jc w:val="left"/>
            </w:pPr>
            <w:r/>
            <w:r>
              <w:rPr>
                <w:b w:val="0"/>
                <w:sz w:val="17"/>
              </w:rPr>
              <w:t>ODD+game</w:t>
            </w:r>
          </w:p>
        </w:tc>
        <w:tc>
          <w:tcPr>
            <w:tcW w:type="dxa" w:w="648"/>
            <w:vAlign w:val="center"/>
          </w:tcPr>
          <w:p>
            <w:pPr>
              <w:spacing w:before="0" w:after="40" w:line="252" w:lineRule="auto"/>
              <w:jc w:val="center"/>
            </w:pPr>
            <w:r/>
            <w:r>
              <w:rPr>
                <w:b w:val="0"/>
                <w:sz w:val="17"/>
              </w:rPr>
              <w:t>49</w:t>
            </w:r>
          </w:p>
        </w:tc>
        <w:tc>
          <w:tcPr>
            <w:tcW w:type="dxa" w:w="648"/>
            <w:vAlign w:val="center"/>
          </w:tcPr>
          <w:p>
            <w:pPr>
              <w:spacing w:before="0" w:after="40" w:line="252" w:lineRule="auto"/>
              <w:jc w:val="center"/>
            </w:pPr>
            <w:r/>
            <w:r>
              <w:rPr>
                <w:b w:val="0"/>
                <w:sz w:val="17"/>
              </w:rPr>
              <w:t>11</w:t>
            </w:r>
          </w:p>
        </w:tc>
        <w:tc>
          <w:tcPr>
            <w:tcW w:type="dxa" w:w="648"/>
            <w:vAlign w:val="center"/>
          </w:tcPr>
          <w:p>
            <w:pPr>
              <w:spacing w:before="0" w:after="40" w:line="252" w:lineRule="auto"/>
              <w:jc w:val="center"/>
            </w:pPr>
            <w:r/>
            <w:r>
              <w:rPr>
                <w:b w:val="0"/>
                <w:sz w:val="17"/>
              </w:rPr>
              <w:t>10</w:t>
            </w:r>
          </w:p>
        </w:tc>
        <w:tc>
          <w:tcPr>
            <w:tcW w:type="dxa" w:w="1123"/>
            <w:vAlign w:val="center"/>
          </w:tcPr>
          <w:p>
            <w:pPr>
              <w:spacing w:before="0" w:after="40" w:line="252" w:lineRule="auto"/>
              <w:jc w:val="center"/>
            </w:pPr>
            <w:r/>
            <w:r>
              <w:rPr>
                <w:b w:val="0"/>
                <w:sz w:val="17"/>
              </w:rPr>
              <w:t>0.8305</w:t>
            </w:r>
          </w:p>
        </w:tc>
        <w:tc>
          <w:tcPr>
            <w:tcW w:type="dxa" w:w="1123"/>
            <w:vAlign w:val="center"/>
          </w:tcPr>
          <w:p>
            <w:pPr>
              <w:spacing w:before="0" w:after="40" w:line="252" w:lineRule="auto"/>
              <w:jc w:val="center"/>
            </w:pPr>
            <w:r/>
            <w:r>
              <w:rPr>
                <w:b w:val="0"/>
                <w:sz w:val="17"/>
              </w:rPr>
              <w:t>0.8167</w:t>
            </w:r>
          </w:p>
        </w:tc>
      </w:tr>
      <w:tr>
        <w:trPr>
          <w:cantSplit/>
        </w:trPr>
        <w:tc>
          <w:tcPr>
            <w:tcW w:type="dxa" w:w="1944"/>
            <w:vAlign w:val="center"/>
          </w:tcPr>
          <w:p>
            <w:pPr>
              <w:spacing w:before="0" w:after="40" w:line="252" w:lineRule="auto"/>
              <w:jc w:val="left"/>
            </w:pPr>
            <w:r/>
            <w:r>
              <w:rPr>
                <w:b w:val="0"/>
                <w:sz w:val="17"/>
              </w:rPr>
              <w:t>DeepSeek-R1</w:t>
            </w:r>
          </w:p>
        </w:tc>
        <w:tc>
          <w:tcPr>
            <w:tcW w:type="dxa" w:w="1368"/>
            <w:vAlign w:val="center"/>
          </w:tcPr>
          <w:p>
            <w:pPr>
              <w:spacing w:before="0" w:after="40" w:line="252" w:lineRule="auto"/>
              <w:jc w:val="left"/>
            </w:pPr>
            <w:r/>
            <w:r>
              <w:rPr>
                <w:b w:val="0"/>
                <w:sz w:val="17"/>
              </w:rPr>
              <w:t>ODD-only</w:t>
            </w:r>
          </w:p>
        </w:tc>
        <w:tc>
          <w:tcPr>
            <w:tcW w:type="dxa" w:w="648"/>
            <w:vAlign w:val="center"/>
          </w:tcPr>
          <w:p>
            <w:pPr>
              <w:spacing w:before="0" w:after="40" w:line="252" w:lineRule="auto"/>
              <w:jc w:val="center"/>
            </w:pPr>
            <w:r/>
            <w:r>
              <w:rPr>
                <w:b w:val="0"/>
                <w:sz w:val="17"/>
              </w:rPr>
              <w:t>46</w:t>
            </w:r>
          </w:p>
        </w:tc>
        <w:tc>
          <w:tcPr>
            <w:tcW w:type="dxa" w:w="648"/>
            <w:vAlign w:val="center"/>
          </w:tcPr>
          <w:p>
            <w:pPr>
              <w:spacing w:before="0" w:after="40" w:line="252" w:lineRule="auto"/>
              <w:jc w:val="center"/>
            </w:pPr>
            <w:r/>
            <w:r>
              <w:rPr>
                <w:b w:val="0"/>
                <w:sz w:val="17"/>
              </w:rPr>
              <w:t>14</w:t>
            </w:r>
          </w:p>
        </w:tc>
        <w:tc>
          <w:tcPr>
            <w:tcW w:type="dxa" w:w="648"/>
            <w:vAlign w:val="center"/>
          </w:tcPr>
          <w:p>
            <w:pPr>
              <w:spacing w:before="0" w:after="40" w:line="252" w:lineRule="auto"/>
              <w:jc w:val="center"/>
            </w:pPr>
            <w:r/>
            <w:r>
              <w:rPr>
                <w:b w:val="0"/>
                <w:sz w:val="17"/>
              </w:rPr>
              <w:t>9</w:t>
            </w:r>
          </w:p>
        </w:tc>
        <w:tc>
          <w:tcPr>
            <w:tcW w:type="dxa" w:w="1123"/>
            <w:vAlign w:val="center"/>
          </w:tcPr>
          <w:p>
            <w:pPr>
              <w:spacing w:before="0" w:after="40" w:line="252" w:lineRule="auto"/>
              <w:jc w:val="center"/>
            </w:pPr>
            <w:r/>
            <w:r>
              <w:rPr>
                <w:b w:val="0"/>
                <w:sz w:val="17"/>
              </w:rPr>
              <w:t>0.8364</w:t>
            </w:r>
          </w:p>
        </w:tc>
        <w:tc>
          <w:tcPr>
            <w:tcW w:type="dxa" w:w="1123"/>
            <w:vAlign w:val="center"/>
          </w:tcPr>
          <w:p>
            <w:pPr>
              <w:spacing w:before="0" w:after="40" w:line="252" w:lineRule="auto"/>
              <w:jc w:val="center"/>
            </w:pPr>
            <w:r/>
            <w:r>
              <w:rPr>
                <w:b w:val="0"/>
                <w:sz w:val="17"/>
              </w:rPr>
              <w:t>0.7667</w:t>
            </w:r>
          </w:p>
        </w:tc>
      </w:tr>
      <w:tr>
        <w:trPr>
          <w:cantSplit/>
        </w:trPr>
        <w:tc>
          <w:tcPr>
            <w:tcW w:type="dxa" w:w="1944"/>
            <w:vAlign w:val="center"/>
          </w:tcPr>
          <w:p>
            <w:pPr>
              <w:spacing w:before="0" w:after="40" w:line="252" w:lineRule="auto"/>
              <w:jc w:val="left"/>
            </w:pPr>
            <w:r/>
            <w:r>
              <w:rPr>
                <w:b w:val="0"/>
                <w:sz w:val="17"/>
              </w:rPr>
              <w:t>Llama-3.3-70B</w:t>
            </w:r>
          </w:p>
        </w:tc>
        <w:tc>
          <w:tcPr>
            <w:tcW w:type="dxa" w:w="1368"/>
            <w:vAlign w:val="center"/>
          </w:tcPr>
          <w:p>
            <w:pPr>
              <w:spacing w:before="0" w:after="40" w:line="252" w:lineRule="auto"/>
              <w:jc w:val="left"/>
            </w:pPr>
            <w:r/>
            <w:r>
              <w:rPr>
                <w:b w:val="0"/>
                <w:sz w:val="17"/>
              </w:rPr>
              <w:t>ODD+game</w:t>
            </w:r>
          </w:p>
        </w:tc>
        <w:tc>
          <w:tcPr>
            <w:tcW w:type="dxa" w:w="648"/>
            <w:vAlign w:val="center"/>
          </w:tcPr>
          <w:p>
            <w:pPr>
              <w:spacing w:before="0" w:after="40" w:line="252" w:lineRule="auto"/>
              <w:jc w:val="center"/>
            </w:pPr>
            <w:r/>
            <w:r>
              <w:rPr>
                <w:b w:val="0"/>
                <w:sz w:val="17"/>
              </w:rPr>
              <w:t>54</w:t>
            </w:r>
          </w:p>
        </w:tc>
        <w:tc>
          <w:tcPr>
            <w:tcW w:type="dxa" w:w="648"/>
            <w:vAlign w:val="center"/>
          </w:tcPr>
          <w:p>
            <w:pPr>
              <w:spacing w:before="0" w:after="40" w:line="252" w:lineRule="auto"/>
              <w:jc w:val="center"/>
            </w:pPr>
            <w:r/>
            <w:r>
              <w:rPr>
                <w:b w:val="0"/>
                <w:sz w:val="17"/>
              </w:rPr>
              <w:t>6</w:t>
            </w:r>
          </w:p>
        </w:tc>
        <w:tc>
          <w:tcPr>
            <w:tcW w:type="dxa" w:w="648"/>
            <w:vAlign w:val="center"/>
          </w:tcPr>
          <w:p>
            <w:pPr>
              <w:spacing w:before="0" w:after="40" w:line="252" w:lineRule="auto"/>
              <w:jc w:val="center"/>
            </w:pPr>
            <w:r/>
            <w:r>
              <w:rPr>
                <w:b w:val="0"/>
                <w:sz w:val="17"/>
              </w:rPr>
              <w:t>62</w:t>
            </w:r>
          </w:p>
        </w:tc>
        <w:tc>
          <w:tcPr>
            <w:tcW w:type="dxa" w:w="1123"/>
            <w:vAlign w:val="center"/>
          </w:tcPr>
          <w:p>
            <w:pPr>
              <w:spacing w:before="0" w:after="40" w:line="252" w:lineRule="auto"/>
              <w:jc w:val="center"/>
            </w:pPr>
            <w:r/>
            <w:r>
              <w:rPr>
                <w:b w:val="0"/>
                <w:sz w:val="17"/>
              </w:rPr>
              <w:t>0.4655</w:t>
            </w:r>
          </w:p>
        </w:tc>
        <w:tc>
          <w:tcPr>
            <w:tcW w:type="dxa" w:w="1123"/>
            <w:vAlign w:val="center"/>
          </w:tcPr>
          <w:p>
            <w:pPr>
              <w:spacing w:before="0" w:after="40" w:line="252" w:lineRule="auto"/>
              <w:jc w:val="center"/>
            </w:pPr>
            <w:r/>
            <w:r>
              <w:rPr>
                <w:b w:val="0"/>
                <w:sz w:val="17"/>
              </w:rPr>
              <w:t>0.9000</w:t>
            </w:r>
          </w:p>
        </w:tc>
      </w:tr>
      <w:tr>
        <w:trPr>
          <w:cantSplit/>
        </w:trPr>
        <w:tc>
          <w:tcPr>
            <w:tcW w:type="dxa" w:w="1944"/>
            <w:vAlign w:val="center"/>
          </w:tcPr>
          <w:p>
            <w:pPr>
              <w:spacing w:before="0" w:after="40" w:line="252" w:lineRule="auto"/>
              <w:jc w:val="left"/>
            </w:pPr>
            <w:r/>
            <w:r>
              <w:rPr>
                <w:b w:val="0"/>
                <w:sz w:val="17"/>
              </w:rPr>
              <w:t>Llama-3.3-70B</w:t>
            </w:r>
          </w:p>
        </w:tc>
        <w:tc>
          <w:tcPr>
            <w:tcW w:type="dxa" w:w="1368"/>
            <w:vAlign w:val="center"/>
          </w:tcPr>
          <w:p>
            <w:pPr>
              <w:spacing w:before="0" w:after="40" w:line="252" w:lineRule="auto"/>
              <w:jc w:val="left"/>
            </w:pPr>
            <w:r/>
            <w:r>
              <w:rPr>
                <w:b w:val="0"/>
                <w:sz w:val="17"/>
              </w:rPr>
              <w:t>ODD-only</w:t>
            </w:r>
          </w:p>
        </w:tc>
        <w:tc>
          <w:tcPr>
            <w:tcW w:type="dxa" w:w="648"/>
            <w:vAlign w:val="center"/>
          </w:tcPr>
          <w:p>
            <w:pPr>
              <w:spacing w:before="0" w:after="40" w:line="252" w:lineRule="auto"/>
              <w:jc w:val="center"/>
            </w:pPr>
            <w:r/>
            <w:r>
              <w:rPr>
                <w:b w:val="0"/>
                <w:sz w:val="17"/>
              </w:rPr>
              <w:t>55</w:t>
            </w:r>
          </w:p>
        </w:tc>
        <w:tc>
          <w:tcPr>
            <w:tcW w:type="dxa" w:w="648"/>
            <w:vAlign w:val="center"/>
          </w:tcPr>
          <w:p>
            <w:pPr>
              <w:spacing w:before="0" w:after="40" w:line="252" w:lineRule="auto"/>
              <w:jc w:val="center"/>
            </w:pPr>
            <w:r/>
            <w:r>
              <w:rPr>
                <w:b w:val="0"/>
                <w:sz w:val="17"/>
              </w:rPr>
              <w:t>5</w:t>
            </w:r>
          </w:p>
        </w:tc>
        <w:tc>
          <w:tcPr>
            <w:tcW w:type="dxa" w:w="648"/>
            <w:vAlign w:val="center"/>
          </w:tcPr>
          <w:p>
            <w:pPr>
              <w:spacing w:before="0" w:after="40" w:line="252" w:lineRule="auto"/>
              <w:jc w:val="center"/>
            </w:pPr>
            <w:r/>
            <w:r>
              <w:rPr>
                <w:b w:val="0"/>
                <w:sz w:val="17"/>
              </w:rPr>
              <w:t>53</w:t>
            </w:r>
          </w:p>
        </w:tc>
        <w:tc>
          <w:tcPr>
            <w:tcW w:type="dxa" w:w="1123"/>
            <w:vAlign w:val="center"/>
          </w:tcPr>
          <w:p>
            <w:pPr>
              <w:spacing w:before="0" w:after="40" w:line="252" w:lineRule="auto"/>
              <w:jc w:val="center"/>
            </w:pPr>
            <w:r/>
            <w:r>
              <w:rPr>
                <w:b w:val="0"/>
                <w:sz w:val="17"/>
              </w:rPr>
              <w:t>0.5093</w:t>
            </w:r>
          </w:p>
        </w:tc>
        <w:tc>
          <w:tcPr>
            <w:tcW w:type="dxa" w:w="1123"/>
            <w:vAlign w:val="center"/>
          </w:tcPr>
          <w:p>
            <w:pPr>
              <w:spacing w:before="0" w:after="40" w:line="252" w:lineRule="auto"/>
              <w:jc w:val="center"/>
            </w:pPr>
            <w:r/>
            <w:r>
              <w:rPr>
                <w:b w:val="0"/>
                <w:sz w:val="17"/>
              </w:rPr>
              <w:t>0.9167</w:t>
            </w:r>
          </w:p>
        </w:tc>
      </w:tr>
      <w:tr>
        <w:trPr>
          <w:cantSplit/>
        </w:trPr>
        <w:tc>
          <w:tcPr>
            <w:tcW w:type="dxa" w:w="1944"/>
            <w:vAlign w:val="center"/>
          </w:tcPr>
          <w:p>
            <w:pPr>
              <w:spacing w:before="0" w:after="40" w:line="252" w:lineRule="auto"/>
              <w:jc w:val="left"/>
            </w:pPr>
            <w:r/>
            <w:r>
              <w:rPr>
                <w:b w:val="0"/>
                <w:sz w:val="17"/>
              </w:rPr>
              <w:t>Qwen2.5-7B</w:t>
            </w:r>
          </w:p>
        </w:tc>
        <w:tc>
          <w:tcPr>
            <w:tcW w:type="dxa" w:w="1368"/>
            <w:vAlign w:val="center"/>
          </w:tcPr>
          <w:p>
            <w:pPr>
              <w:spacing w:before="0" w:after="40" w:line="252" w:lineRule="auto"/>
              <w:jc w:val="left"/>
            </w:pPr>
            <w:r/>
            <w:r>
              <w:rPr>
                <w:b w:val="0"/>
                <w:sz w:val="17"/>
              </w:rPr>
              <w:t>ODD+game</w:t>
            </w:r>
          </w:p>
        </w:tc>
        <w:tc>
          <w:tcPr>
            <w:tcW w:type="dxa" w:w="648"/>
            <w:vAlign w:val="center"/>
          </w:tcPr>
          <w:p>
            <w:pPr>
              <w:spacing w:before="0" w:after="40" w:line="252" w:lineRule="auto"/>
              <w:jc w:val="center"/>
            </w:pPr>
            <w:r/>
            <w:r>
              <w:rPr>
                <w:b w:val="0"/>
                <w:sz w:val="17"/>
              </w:rPr>
              <w:t>39</w:t>
            </w:r>
          </w:p>
        </w:tc>
        <w:tc>
          <w:tcPr>
            <w:tcW w:type="dxa" w:w="648"/>
            <w:vAlign w:val="center"/>
          </w:tcPr>
          <w:p>
            <w:pPr>
              <w:spacing w:before="0" w:after="40" w:line="252" w:lineRule="auto"/>
              <w:jc w:val="center"/>
            </w:pPr>
            <w:r/>
            <w:r>
              <w:rPr>
                <w:b w:val="0"/>
                <w:sz w:val="17"/>
              </w:rPr>
              <w:t>21</w:t>
            </w:r>
          </w:p>
        </w:tc>
        <w:tc>
          <w:tcPr>
            <w:tcW w:type="dxa" w:w="648"/>
            <w:vAlign w:val="center"/>
          </w:tcPr>
          <w:p>
            <w:pPr>
              <w:spacing w:before="0" w:after="40" w:line="252" w:lineRule="auto"/>
              <w:jc w:val="center"/>
            </w:pPr>
            <w:r/>
            <w:r>
              <w:rPr>
                <w:b w:val="0"/>
                <w:sz w:val="17"/>
              </w:rPr>
              <w:t>52</w:t>
            </w:r>
          </w:p>
        </w:tc>
        <w:tc>
          <w:tcPr>
            <w:tcW w:type="dxa" w:w="1123"/>
            <w:vAlign w:val="center"/>
          </w:tcPr>
          <w:p>
            <w:pPr>
              <w:spacing w:before="0" w:after="40" w:line="252" w:lineRule="auto"/>
              <w:jc w:val="center"/>
            </w:pPr>
            <w:r/>
            <w:r>
              <w:rPr>
                <w:b w:val="0"/>
                <w:sz w:val="17"/>
              </w:rPr>
              <w:t>0.4286</w:t>
            </w:r>
          </w:p>
        </w:tc>
        <w:tc>
          <w:tcPr>
            <w:tcW w:type="dxa" w:w="1123"/>
            <w:vAlign w:val="center"/>
          </w:tcPr>
          <w:p>
            <w:pPr>
              <w:spacing w:before="0" w:after="40" w:line="252" w:lineRule="auto"/>
              <w:jc w:val="center"/>
            </w:pPr>
            <w:r/>
            <w:r>
              <w:rPr>
                <w:b w:val="0"/>
                <w:sz w:val="17"/>
              </w:rPr>
              <w:t>0.6500</w:t>
            </w:r>
          </w:p>
        </w:tc>
      </w:tr>
      <w:tr>
        <w:trPr>
          <w:cantSplit/>
        </w:trPr>
        <w:tc>
          <w:tcPr>
            <w:tcW w:type="dxa" w:w="1944"/>
            <w:vAlign w:val="center"/>
          </w:tcPr>
          <w:p>
            <w:pPr>
              <w:spacing w:before="0" w:after="40" w:line="252" w:lineRule="auto"/>
              <w:jc w:val="left"/>
            </w:pPr>
            <w:r/>
            <w:r>
              <w:rPr>
                <w:b w:val="0"/>
                <w:sz w:val="17"/>
              </w:rPr>
              <w:t>Qwen2.5-7B</w:t>
            </w:r>
          </w:p>
        </w:tc>
        <w:tc>
          <w:tcPr>
            <w:tcW w:type="dxa" w:w="1368"/>
            <w:vAlign w:val="center"/>
          </w:tcPr>
          <w:p>
            <w:pPr>
              <w:spacing w:before="0" w:after="40" w:line="252" w:lineRule="auto"/>
              <w:jc w:val="left"/>
            </w:pPr>
            <w:r/>
            <w:r>
              <w:rPr>
                <w:b w:val="0"/>
                <w:sz w:val="17"/>
              </w:rPr>
              <w:t>ODD-only</w:t>
            </w:r>
          </w:p>
        </w:tc>
        <w:tc>
          <w:tcPr>
            <w:tcW w:type="dxa" w:w="648"/>
            <w:vAlign w:val="center"/>
          </w:tcPr>
          <w:p>
            <w:pPr>
              <w:spacing w:before="0" w:after="40" w:line="252" w:lineRule="auto"/>
              <w:jc w:val="center"/>
            </w:pPr>
            <w:r/>
            <w:r>
              <w:rPr>
                <w:b w:val="0"/>
                <w:sz w:val="17"/>
              </w:rPr>
              <w:t>36</w:t>
            </w:r>
          </w:p>
        </w:tc>
        <w:tc>
          <w:tcPr>
            <w:tcW w:type="dxa" w:w="648"/>
            <w:vAlign w:val="center"/>
          </w:tcPr>
          <w:p>
            <w:pPr>
              <w:spacing w:before="0" w:after="40" w:line="252" w:lineRule="auto"/>
              <w:jc w:val="center"/>
            </w:pPr>
            <w:r/>
            <w:r>
              <w:rPr>
                <w:b w:val="0"/>
                <w:sz w:val="17"/>
              </w:rPr>
              <w:t>24</w:t>
            </w:r>
          </w:p>
        </w:tc>
        <w:tc>
          <w:tcPr>
            <w:tcW w:type="dxa" w:w="648"/>
            <w:vAlign w:val="center"/>
          </w:tcPr>
          <w:p>
            <w:pPr>
              <w:spacing w:before="0" w:after="40" w:line="252" w:lineRule="auto"/>
              <w:jc w:val="center"/>
            </w:pPr>
            <w:r/>
            <w:r>
              <w:rPr>
                <w:b w:val="0"/>
                <w:sz w:val="17"/>
              </w:rPr>
              <w:t>58</w:t>
            </w:r>
          </w:p>
        </w:tc>
        <w:tc>
          <w:tcPr>
            <w:tcW w:type="dxa" w:w="1123"/>
            <w:vAlign w:val="center"/>
          </w:tcPr>
          <w:p>
            <w:pPr>
              <w:spacing w:before="0" w:after="40" w:line="252" w:lineRule="auto"/>
              <w:jc w:val="center"/>
            </w:pPr>
            <w:r/>
            <w:r>
              <w:rPr>
                <w:b w:val="0"/>
                <w:sz w:val="17"/>
              </w:rPr>
              <w:t>0.3830</w:t>
            </w:r>
          </w:p>
        </w:tc>
        <w:tc>
          <w:tcPr>
            <w:tcW w:type="dxa" w:w="1123"/>
            <w:vAlign w:val="center"/>
          </w:tcPr>
          <w:p>
            <w:pPr>
              <w:spacing w:before="0" w:after="40" w:line="252" w:lineRule="auto"/>
              <w:jc w:val="center"/>
            </w:pPr>
            <w:r/>
            <w:r>
              <w:rPr>
                <w:b w:val="0"/>
                <w:sz w:val="17"/>
              </w:rPr>
              <w:t>0.6000</w:t>
            </w:r>
          </w:p>
        </w:tc>
      </w:tr>
    </w:tbl>
    <w:p/>
    <w:p>
      <w:r>
        <w:br w:type="page"/>
      </w:r>
    </w:p>
    <w:p>
      <w:pPr>
        <w:pStyle w:val="Caption"/>
      </w:pPr>
      <w:r>
        <w:rPr>
          <w:b/>
          <w:color w:val="1F4D78"/>
        </w:rPr>
        <w:t>Table 2. Water-use deltas: ODD+game minus ODD-only</w:t>
      </w:r>
    </w:p>
    <w:tbl>
      <w:tblPr>
        <w:tblW w:type="auto" w:w="0"/>
        <w:jc w:val="center"/>
        <w:tblLayout w:type="fixed"/>
        <w:tblLook w:firstColumn="1" w:firstRow="1" w:lastColumn="0" w:lastRow="0" w:noHBand="0" w:noVBand="1" w:val="04A0"/>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Pr>
      <w:tblGrid>
        <w:gridCol w:w="1560"/>
        <w:gridCol w:w="1560"/>
        <w:gridCol w:w="1560"/>
        <w:gridCol w:w="1560"/>
        <w:gridCol w:w="1560"/>
        <w:gridCol w:w="1560"/>
      </w:tblGrid>
      <w:tr>
        <w:trPr>
          <w:tblHeader w:val="true"/>
          <w:cantSplit/>
        </w:trPr>
        <w:tc>
          <w:tcPr>
            <w:tcW w:type="dxa" w:w="2232"/>
            <w:shd w:fill="F2F4F7"/>
            <w:vAlign w:val="center"/>
          </w:tcPr>
          <w:p>
            <w:pPr>
              <w:spacing w:before="0" w:after="40" w:line="252" w:lineRule="auto"/>
              <w:jc w:val="center"/>
            </w:pPr>
            <w:r/>
            <w:r>
              <w:rPr>
                <w:b/>
                <w:color w:val="0B2545"/>
                <w:sz w:val="17"/>
              </w:rPr>
              <w:t>Model</w:t>
            </w:r>
          </w:p>
        </w:tc>
        <w:tc>
          <w:tcPr>
            <w:tcW w:type="dxa" w:w="1080"/>
            <w:shd w:fill="F2F4F7"/>
            <w:vAlign w:val="center"/>
          </w:tcPr>
          <w:p>
            <w:pPr>
              <w:spacing w:before="0" w:after="40" w:line="252" w:lineRule="auto"/>
              <w:jc w:val="center"/>
            </w:pPr>
            <w:r/>
            <w:r>
              <w:rPr>
                <w:b/>
                <w:color w:val="0B2545"/>
                <w:sz w:val="17"/>
              </w:rPr>
              <w:t>Delta TP</w:t>
            </w:r>
          </w:p>
        </w:tc>
        <w:tc>
          <w:tcPr>
            <w:tcW w:type="dxa" w:w="1080"/>
            <w:shd w:fill="F2F4F7"/>
            <w:vAlign w:val="center"/>
          </w:tcPr>
          <w:p>
            <w:pPr>
              <w:spacing w:before="0" w:after="40" w:line="252" w:lineRule="auto"/>
              <w:jc w:val="center"/>
            </w:pPr>
            <w:r/>
            <w:r>
              <w:rPr>
                <w:b/>
                <w:color w:val="0B2545"/>
                <w:sz w:val="17"/>
              </w:rPr>
              <w:t>Delta FN</w:t>
            </w:r>
          </w:p>
        </w:tc>
        <w:tc>
          <w:tcPr>
            <w:tcW w:type="dxa" w:w="1080"/>
            <w:shd w:fill="F2F4F7"/>
            <w:vAlign w:val="center"/>
          </w:tcPr>
          <w:p>
            <w:pPr>
              <w:spacing w:before="0" w:after="40" w:line="252" w:lineRule="auto"/>
              <w:jc w:val="center"/>
            </w:pPr>
            <w:r/>
            <w:r>
              <w:rPr>
                <w:b/>
                <w:color w:val="0B2545"/>
                <w:sz w:val="17"/>
              </w:rPr>
              <w:t>Delta FP</w:t>
            </w:r>
          </w:p>
        </w:tc>
        <w:tc>
          <w:tcPr>
            <w:tcW w:type="dxa" w:w="1728"/>
            <w:shd w:fill="F2F4F7"/>
            <w:vAlign w:val="center"/>
          </w:tcPr>
          <w:p>
            <w:pPr>
              <w:spacing w:before="0" w:after="40" w:line="252" w:lineRule="auto"/>
              <w:jc w:val="center"/>
            </w:pPr>
            <w:r/>
            <w:r>
              <w:rPr>
                <w:b/>
                <w:color w:val="0B2545"/>
                <w:sz w:val="17"/>
              </w:rPr>
              <w:t>Delta Precision</w:t>
            </w:r>
          </w:p>
        </w:tc>
        <w:tc>
          <w:tcPr>
            <w:tcW w:type="dxa" w:w="1728"/>
            <w:shd w:fill="F2F4F7"/>
            <w:vAlign w:val="center"/>
          </w:tcPr>
          <w:p>
            <w:pPr>
              <w:spacing w:before="0" w:after="40" w:line="252" w:lineRule="auto"/>
              <w:jc w:val="center"/>
            </w:pPr>
            <w:r/>
            <w:r>
              <w:rPr>
                <w:b/>
                <w:color w:val="0B2545"/>
                <w:sz w:val="17"/>
              </w:rPr>
              <w:t>Delta Recall</w:t>
            </w:r>
          </w:p>
        </w:tc>
      </w:tr>
      <w:tr>
        <w:trPr>
          <w:cantSplit/>
        </w:trPr>
        <w:tc>
          <w:tcPr>
            <w:tcW w:type="dxa" w:w="2232"/>
            <w:vAlign w:val="center"/>
          </w:tcPr>
          <w:p>
            <w:pPr>
              <w:spacing w:before="0" w:after="40" w:line="252" w:lineRule="auto"/>
              <w:jc w:val="left"/>
            </w:pPr>
            <w:r/>
            <w:r>
              <w:rPr>
                <w:b w:val="0"/>
                <w:sz w:val="17"/>
              </w:rPr>
              <w:t>DeepSeek-R1</w:t>
            </w:r>
          </w:p>
        </w:tc>
        <w:tc>
          <w:tcPr>
            <w:tcW w:type="dxa" w:w="1080"/>
            <w:vAlign w:val="center"/>
          </w:tcPr>
          <w:p>
            <w:pPr>
              <w:spacing w:before="0" w:after="40" w:line="252" w:lineRule="auto"/>
              <w:jc w:val="left"/>
            </w:pPr>
            <w:r/>
            <w:r>
              <w:rPr>
                <w:b w:val="0"/>
                <w:sz w:val="17"/>
              </w:rPr>
              <w:t>+3</w:t>
            </w:r>
          </w:p>
        </w:tc>
        <w:tc>
          <w:tcPr>
            <w:tcW w:type="dxa" w:w="1080"/>
            <w:vAlign w:val="center"/>
          </w:tcPr>
          <w:p>
            <w:pPr>
              <w:spacing w:before="0" w:after="40" w:line="252" w:lineRule="auto"/>
              <w:jc w:val="center"/>
            </w:pPr>
            <w:r/>
            <w:r>
              <w:rPr>
                <w:b w:val="0"/>
                <w:sz w:val="17"/>
              </w:rPr>
              <w:t>-3</w:t>
            </w:r>
          </w:p>
        </w:tc>
        <w:tc>
          <w:tcPr>
            <w:tcW w:type="dxa" w:w="1080"/>
            <w:vAlign w:val="center"/>
          </w:tcPr>
          <w:p>
            <w:pPr>
              <w:spacing w:before="0" w:after="40" w:line="252" w:lineRule="auto"/>
              <w:jc w:val="center"/>
            </w:pPr>
            <w:r/>
            <w:r>
              <w:rPr>
                <w:b w:val="0"/>
                <w:sz w:val="17"/>
              </w:rPr>
              <w:t>+1</w:t>
            </w:r>
          </w:p>
        </w:tc>
        <w:tc>
          <w:tcPr>
            <w:tcW w:type="dxa" w:w="1728"/>
            <w:vAlign w:val="center"/>
          </w:tcPr>
          <w:p>
            <w:pPr>
              <w:spacing w:before="0" w:after="40" w:line="252" w:lineRule="auto"/>
              <w:jc w:val="center"/>
            </w:pPr>
            <w:r/>
            <w:r>
              <w:rPr>
                <w:b w:val="0"/>
                <w:sz w:val="17"/>
              </w:rPr>
              <w:t>-0.0059</w:t>
            </w:r>
          </w:p>
        </w:tc>
        <w:tc>
          <w:tcPr>
            <w:tcW w:type="dxa" w:w="1728"/>
            <w:vAlign w:val="center"/>
          </w:tcPr>
          <w:p>
            <w:pPr>
              <w:spacing w:before="0" w:after="40" w:line="252" w:lineRule="auto"/>
              <w:jc w:val="center"/>
            </w:pPr>
            <w:r/>
            <w:r>
              <w:rPr>
                <w:b w:val="0"/>
                <w:sz w:val="17"/>
              </w:rPr>
              <w:t>+0.0500</w:t>
            </w:r>
          </w:p>
        </w:tc>
      </w:tr>
      <w:tr>
        <w:trPr>
          <w:cantSplit/>
        </w:trPr>
        <w:tc>
          <w:tcPr>
            <w:tcW w:type="dxa" w:w="2232"/>
            <w:vAlign w:val="center"/>
          </w:tcPr>
          <w:p>
            <w:pPr>
              <w:spacing w:before="0" w:after="40" w:line="252" w:lineRule="auto"/>
              <w:jc w:val="left"/>
            </w:pPr>
            <w:r/>
            <w:r>
              <w:rPr>
                <w:b w:val="0"/>
                <w:sz w:val="17"/>
              </w:rPr>
              <w:t>Llama-3.3-70B</w:t>
            </w:r>
          </w:p>
        </w:tc>
        <w:tc>
          <w:tcPr>
            <w:tcW w:type="dxa" w:w="1080"/>
            <w:vAlign w:val="center"/>
          </w:tcPr>
          <w:p>
            <w:pPr>
              <w:spacing w:before="0" w:after="40" w:line="252" w:lineRule="auto"/>
              <w:jc w:val="left"/>
            </w:pPr>
            <w:r/>
            <w:r>
              <w:rPr>
                <w:b w:val="0"/>
                <w:sz w:val="17"/>
              </w:rPr>
              <w:t>-1</w:t>
            </w:r>
          </w:p>
        </w:tc>
        <w:tc>
          <w:tcPr>
            <w:tcW w:type="dxa" w:w="1080"/>
            <w:vAlign w:val="center"/>
          </w:tcPr>
          <w:p>
            <w:pPr>
              <w:spacing w:before="0" w:after="40" w:line="252" w:lineRule="auto"/>
              <w:jc w:val="center"/>
            </w:pPr>
            <w:r/>
            <w:r>
              <w:rPr>
                <w:b w:val="0"/>
                <w:sz w:val="17"/>
              </w:rPr>
              <w:t>+1</w:t>
            </w:r>
          </w:p>
        </w:tc>
        <w:tc>
          <w:tcPr>
            <w:tcW w:type="dxa" w:w="1080"/>
            <w:vAlign w:val="center"/>
          </w:tcPr>
          <w:p>
            <w:pPr>
              <w:spacing w:before="0" w:after="40" w:line="252" w:lineRule="auto"/>
              <w:jc w:val="center"/>
            </w:pPr>
            <w:r/>
            <w:r>
              <w:rPr>
                <w:b w:val="0"/>
                <w:sz w:val="17"/>
              </w:rPr>
              <w:t>+9</w:t>
            </w:r>
          </w:p>
        </w:tc>
        <w:tc>
          <w:tcPr>
            <w:tcW w:type="dxa" w:w="1728"/>
            <w:vAlign w:val="center"/>
          </w:tcPr>
          <w:p>
            <w:pPr>
              <w:spacing w:before="0" w:after="40" w:line="252" w:lineRule="auto"/>
              <w:jc w:val="center"/>
            </w:pPr>
            <w:r/>
            <w:r>
              <w:rPr>
                <w:b w:val="0"/>
                <w:sz w:val="17"/>
              </w:rPr>
              <w:t>-0.0437</w:t>
            </w:r>
          </w:p>
        </w:tc>
        <w:tc>
          <w:tcPr>
            <w:tcW w:type="dxa" w:w="1728"/>
            <w:vAlign w:val="center"/>
          </w:tcPr>
          <w:p>
            <w:pPr>
              <w:spacing w:before="0" w:after="40" w:line="252" w:lineRule="auto"/>
              <w:jc w:val="center"/>
            </w:pPr>
            <w:r/>
            <w:r>
              <w:rPr>
                <w:b w:val="0"/>
                <w:sz w:val="17"/>
              </w:rPr>
              <w:t>-0.0167</w:t>
            </w:r>
          </w:p>
        </w:tc>
      </w:tr>
      <w:tr>
        <w:trPr>
          <w:cantSplit/>
        </w:trPr>
        <w:tc>
          <w:tcPr>
            <w:tcW w:type="dxa" w:w="2232"/>
            <w:vAlign w:val="center"/>
          </w:tcPr>
          <w:p>
            <w:pPr>
              <w:spacing w:before="0" w:after="40" w:line="252" w:lineRule="auto"/>
              <w:jc w:val="left"/>
            </w:pPr>
            <w:r/>
            <w:r>
              <w:rPr>
                <w:b w:val="0"/>
                <w:sz w:val="17"/>
              </w:rPr>
              <w:t>Qwen2.5-7B</w:t>
            </w:r>
          </w:p>
        </w:tc>
        <w:tc>
          <w:tcPr>
            <w:tcW w:type="dxa" w:w="1080"/>
            <w:vAlign w:val="center"/>
          </w:tcPr>
          <w:p>
            <w:pPr>
              <w:spacing w:before="0" w:after="40" w:line="252" w:lineRule="auto"/>
              <w:jc w:val="left"/>
            </w:pPr>
            <w:r/>
            <w:r>
              <w:rPr>
                <w:b w:val="0"/>
                <w:sz w:val="17"/>
              </w:rPr>
              <w:t>+3</w:t>
            </w:r>
          </w:p>
        </w:tc>
        <w:tc>
          <w:tcPr>
            <w:tcW w:type="dxa" w:w="1080"/>
            <w:vAlign w:val="center"/>
          </w:tcPr>
          <w:p>
            <w:pPr>
              <w:spacing w:before="0" w:after="40" w:line="252" w:lineRule="auto"/>
              <w:jc w:val="center"/>
            </w:pPr>
            <w:r/>
            <w:r>
              <w:rPr>
                <w:b w:val="0"/>
                <w:sz w:val="17"/>
              </w:rPr>
              <w:t>-3</w:t>
            </w:r>
          </w:p>
        </w:tc>
        <w:tc>
          <w:tcPr>
            <w:tcW w:type="dxa" w:w="1080"/>
            <w:vAlign w:val="center"/>
          </w:tcPr>
          <w:p>
            <w:pPr>
              <w:spacing w:before="0" w:after="40" w:line="252" w:lineRule="auto"/>
              <w:jc w:val="center"/>
            </w:pPr>
            <w:r/>
            <w:r>
              <w:rPr>
                <w:b w:val="0"/>
                <w:sz w:val="17"/>
              </w:rPr>
              <w:t>-6</w:t>
            </w:r>
          </w:p>
        </w:tc>
        <w:tc>
          <w:tcPr>
            <w:tcW w:type="dxa" w:w="1728"/>
            <w:vAlign w:val="center"/>
          </w:tcPr>
          <w:p>
            <w:pPr>
              <w:spacing w:before="0" w:after="40" w:line="252" w:lineRule="auto"/>
              <w:jc w:val="center"/>
            </w:pPr>
            <w:r/>
            <w:r>
              <w:rPr>
                <w:b w:val="0"/>
                <w:sz w:val="17"/>
              </w:rPr>
              <w:t>+0.0456</w:t>
            </w:r>
          </w:p>
        </w:tc>
        <w:tc>
          <w:tcPr>
            <w:tcW w:type="dxa" w:w="1728"/>
            <w:vAlign w:val="center"/>
          </w:tcPr>
          <w:p>
            <w:pPr>
              <w:spacing w:before="0" w:after="40" w:line="252" w:lineRule="auto"/>
              <w:jc w:val="center"/>
            </w:pPr>
            <w:r/>
            <w:r>
              <w:rPr>
                <w:b w:val="0"/>
                <w:sz w:val="17"/>
              </w:rPr>
              <w:t>+0.0500</w:t>
            </w:r>
          </w:p>
        </w:tc>
      </w:tr>
    </w:tbl>
    <w:p/>
    <w:p>
      <w:pPr>
        <w:pStyle w:val="Heading1"/>
        <w:keepNext/>
      </w:pPr>
      <w:r>
        <w:t>4. Electricity Results</w:t>
      </w:r>
    </w:p>
    <w:p>
      <w:r>
        <w:t>The electricity case has six confirmed correct ASs, so each model has a maximum of 180 TP over 30 runs. ODD+game gave DeepSeek-R1 perfect recall and fewer FP than ODD-only. Llama-3.3-70B gained a small precision advantage but lost recall. Qwen2.5-7B achieved perfect recall but produced many extra ASs, lowering precision.</w:t>
      </w:r>
    </w:p>
    <w:p>
      <w:pPr>
        <w:pStyle w:val="Caption"/>
      </w:pPr>
      <w:r>
        <w:rPr>
          <w:b/>
          <w:color w:val="1F4D78"/>
        </w:rPr>
        <w:t>Table 3. Electricity aggregate results</w:t>
      </w:r>
    </w:p>
    <w:tbl>
      <w:tblPr>
        <w:tblW w:type="auto" w:w="0"/>
        <w:jc w:val="center"/>
        <w:tblLayout w:type="fixed"/>
        <w:tblLook w:firstColumn="1" w:firstRow="1" w:lastColumn="0" w:lastRow="0" w:noHBand="0" w:noVBand="1" w:val="04A0"/>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Pr>
      <w:tblGrid>
        <w:gridCol w:w="1337"/>
        <w:gridCol w:w="1337"/>
        <w:gridCol w:w="1337"/>
        <w:gridCol w:w="1337"/>
        <w:gridCol w:w="1337"/>
        <w:gridCol w:w="1337"/>
        <w:gridCol w:w="1337"/>
      </w:tblGrid>
      <w:tr>
        <w:trPr>
          <w:tblHeader w:val="true"/>
          <w:cantSplit/>
        </w:trPr>
        <w:tc>
          <w:tcPr>
            <w:tcW w:type="dxa" w:w="1944"/>
            <w:shd w:fill="F2F4F7"/>
            <w:vAlign w:val="center"/>
          </w:tcPr>
          <w:p>
            <w:pPr>
              <w:spacing w:before="0" w:after="40" w:line="252" w:lineRule="auto"/>
              <w:jc w:val="center"/>
            </w:pPr>
            <w:r/>
            <w:r>
              <w:rPr>
                <w:b/>
                <w:color w:val="0B2545"/>
                <w:sz w:val="17"/>
              </w:rPr>
              <w:t>Model</w:t>
            </w:r>
          </w:p>
        </w:tc>
        <w:tc>
          <w:tcPr>
            <w:tcW w:type="dxa" w:w="1368"/>
            <w:shd w:fill="F2F4F7"/>
            <w:vAlign w:val="center"/>
          </w:tcPr>
          <w:p>
            <w:pPr>
              <w:spacing w:before="0" w:after="40" w:line="252" w:lineRule="auto"/>
              <w:jc w:val="center"/>
            </w:pPr>
            <w:r/>
            <w:r>
              <w:rPr>
                <w:b/>
                <w:color w:val="0B2545"/>
                <w:sz w:val="17"/>
              </w:rPr>
              <w:t>Setting</w:t>
            </w:r>
          </w:p>
        </w:tc>
        <w:tc>
          <w:tcPr>
            <w:tcW w:type="dxa" w:w="648"/>
            <w:shd w:fill="F2F4F7"/>
            <w:vAlign w:val="center"/>
          </w:tcPr>
          <w:p>
            <w:pPr>
              <w:spacing w:before="0" w:after="40" w:line="252" w:lineRule="auto"/>
              <w:jc w:val="center"/>
            </w:pPr>
            <w:r/>
            <w:r>
              <w:rPr>
                <w:b/>
                <w:color w:val="0B2545"/>
                <w:sz w:val="17"/>
              </w:rPr>
              <w:t>TP</w:t>
            </w:r>
          </w:p>
        </w:tc>
        <w:tc>
          <w:tcPr>
            <w:tcW w:type="dxa" w:w="648"/>
            <w:shd w:fill="F2F4F7"/>
            <w:vAlign w:val="center"/>
          </w:tcPr>
          <w:p>
            <w:pPr>
              <w:spacing w:before="0" w:after="40" w:line="252" w:lineRule="auto"/>
              <w:jc w:val="center"/>
            </w:pPr>
            <w:r/>
            <w:r>
              <w:rPr>
                <w:b/>
                <w:color w:val="0B2545"/>
                <w:sz w:val="17"/>
              </w:rPr>
              <w:t>FN</w:t>
            </w:r>
          </w:p>
        </w:tc>
        <w:tc>
          <w:tcPr>
            <w:tcW w:type="dxa" w:w="648"/>
            <w:shd w:fill="F2F4F7"/>
            <w:vAlign w:val="center"/>
          </w:tcPr>
          <w:p>
            <w:pPr>
              <w:spacing w:before="0" w:after="40" w:line="252" w:lineRule="auto"/>
              <w:jc w:val="center"/>
            </w:pPr>
            <w:r/>
            <w:r>
              <w:rPr>
                <w:b/>
                <w:color w:val="0B2545"/>
                <w:sz w:val="17"/>
              </w:rPr>
              <w:t>FP</w:t>
            </w:r>
          </w:p>
        </w:tc>
        <w:tc>
          <w:tcPr>
            <w:tcW w:type="dxa" w:w="1123"/>
            <w:shd w:fill="F2F4F7"/>
            <w:vAlign w:val="center"/>
          </w:tcPr>
          <w:p>
            <w:pPr>
              <w:spacing w:before="0" w:after="40" w:line="252" w:lineRule="auto"/>
              <w:jc w:val="center"/>
            </w:pPr>
            <w:r/>
            <w:r>
              <w:rPr>
                <w:b/>
                <w:color w:val="0B2545"/>
                <w:sz w:val="17"/>
              </w:rPr>
              <w:t>Precision</w:t>
            </w:r>
          </w:p>
        </w:tc>
        <w:tc>
          <w:tcPr>
            <w:tcW w:type="dxa" w:w="1123"/>
            <w:shd w:fill="F2F4F7"/>
            <w:vAlign w:val="center"/>
          </w:tcPr>
          <w:p>
            <w:pPr>
              <w:spacing w:before="0" w:after="40" w:line="252" w:lineRule="auto"/>
              <w:jc w:val="center"/>
            </w:pPr>
            <w:r/>
            <w:r>
              <w:rPr>
                <w:b/>
                <w:color w:val="0B2545"/>
                <w:sz w:val="17"/>
              </w:rPr>
              <w:t>Recall</w:t>
            </w:r>
          </w:p>
        </w:tc>
      </w:tr>
      <w:tr>
        <w:trPr>
          <w:cantSplit/>
        </w:trPr>
        <w:tc>
          <w:tcPr>
            <w:tcW w:type="dxa" w:w="1944"/>
            <w:vAlign w:val="center"/>
          </w:tcPr>
          <w:p>
            <w:pPr>
              <w:spacing w:before="0" w:after="40" w:line="252" w:lineRule="auto"/>
              <w:jc w:val="left"/>
            </w:pPr>
            <w:r/>
            <w:r>
              <w:rPr>
                <w:b w:val="0"/>
                <w:sz w:val="17"/>
              </w:rPr>
              <w:t>DeepSeek-R1</w:t>
            </w:r>
          </w:p>
        </w:tc>
        <w:tc>
          <w:tcPr>
            <w:tcW w:type="dxa" w:w="1368"/>
            <w:vAlign w:val="center"/>
          </w:tcPr>
          <w:p>
            <w:pPr>
              <w:spacing w:before="0" w:after="40" w:line="252" w:lineRule="auto"/>
              <w:jc w:val="left"/>
            </w:pPr>
            <w:r/>
            <w:r>
              <w:rPr>
                <w:b w:val="0"/>
                <w:sz w:val="17"/>
              </w:rPr>
              <w:t>ODD+game</w:t>
            </w:r>
          </w:p>
        </w:tc>
        <w:tc>
          <w:tcPr>
            <w:tcW w:type="dxa" w:w="648"/>
            <w:vAlign w:val="center"/>
          </w:tcPr>
          <w:p>
            <w:pPr>
              <w:spacing w:before="0" w:after="40" w:line="252" w:lineRule="auto"/>
              <w:jc w:val="center"/>
            </w:pPr>
            <w:r/>
            <w:r>
              <w:rPr>
                <w:b w:val="0"/>
                <w:sz w:val="17"/>
              </w:rPr>
              <w:t>180</w:t>
            </w:r>
          </w:p>
        </w:tc>
        <w:tc>
          <w:tcPr>
            <w:tcW w:type="dxa" w:w="648"/>
            <w:vAlign w:val="center"/>
          </w:tcPr>
          <w:p>
            <w:pPr>
              <w:spacing w:before="0" w:after="40" w:line="252" w:lineRule="auto"/>
              <w:jc w:val="center"/>
            </w:pPr>
            <w:r/>
            <w:r>
              <w:rPr>
                <w:b w:val="0"/>
                <w:sz w:val="17"/>
              </w:rPr>
              <w:t>0</w:t>
            </w:r>
          </w:p>
        </w:tc>
        <w:tc>
          <w:tcPr>
            <w:tcW w:type="dxa" w:w="648"/>
            <w:vAlign w:val="center"/>
          </w:tcPr>
          <w:p>
            <w:pPr>
              <w:spacing w:before="0" w:after="40" w:line="252" w:lineRule="auto"/>
              <w:jc w:val="center"/>
            </w:pPr>
            <w:r/>
            <w:r>
              <w:rPr>
                <w:b w:val="0"/>
                <w:sz w:val="17"/>
              </w:rPr>
              <w:t>4</w:t>
            </w:r>
          </w:p>
        </w:tc>
        <w:tc>
          <w:tcPr>
            <w:tcW w:type="dxa" w:w="1123"/>
            <w:vAlign w:val="center"/>
          </w:tcPr>
          <w:p>
            <w:pPr>
              <w:spacing w:before="0" w:after="40" w:line="252" w:lineRule="auto"/>
              <w:jc w:val="center"/>
            </w:pPr>
            <w:r/>
            <w:r>
              <w:rPr>
                <w:b w:val="0"/>
                <w:sz w:val="17"/>
              </w:rPr>
              <w:t>0.9783</w:t>
            </w:r>
          </w:p>
        </w:tc>
        <w:tc>
          <w:tcPr>
            <w:tcW w:type="dxa" w:w="1123"/>
            <w:vAlign w:val="center"/>
          </w:tcPr>
          <w:p>
            <w:pPr>
              <w:spacing w:before="0" w:after="40" w:line="252" w:lineRule="auto"/>
              <w:jc w:val="center"/>
            </w:pPr>
            <w:r/>
            <w:r>
              <w:rPr>
                <w:b w:val="0"/>
                <w:sz w:val="17"/>
              </w:rPr>
              <w:t>1.0000</w:t>
            </w:r>
          </w:p>
        </w:tc>
      </w:tr>
      <w:tr>
        <w:trPr>
          <w:cantSplit/>
        </w:trPr>
        <w:tc>
          <w:tcPr>
            <w:tcW w:type="dxa" w:w="1944"/>
            <w:vAlign w:val="center"/>
          </w:tcPr>
          <w:p>
            <w:pPr>
              <w:spacing w:before="0" w:after="40" w:line="252" w:lineRule="auto"/>
              <w:jc w:val="left"/>
            </w:pPr>
            <w:r/>
            <w:r>
              <w:rPr>
                <w:b w:val="0"/>
                <w:sz w:val="17"/>
              </w:rPr>
              <w:t>DeepSeek-R1</w:t>
            </w:r>
          </w:p>
        </w:tc>
        <w:tc>
          <w:tcPr>
            <w:tcW w:type="dxa" w:w="1368"/>
            <w:vAlign w:val="center"/>
          </w:tcPr>
          <w:p>
            <w:pPr>
              <w:spacing w:before="0" w:after="40" w:line="252" w:lineRule="auto"/>
              <w:jc w:val="left"/>
            </w:pPr>
            <w:r/>
            <w:r>
              <w:rPr>
                <w:b w:val="0"/>
                <w:sz w:val="17"/>
              </w:rPr>
              <w:t>ODD-only</w:t>
            </w:r>
          </w:p>
        </w:tc>
        <w:tc>
          <w:tcPr>
            <w:tcW w:type="dxa" w:w="648"/>
            <w:vAlign w:val="center"/>
          </w:tcPr>
          <w:p>
            <w:pPr>
              <w:spacing w:before="0" w:after="40" w:line="252" w:lineRule="auto"/>
              <w:jc w:val="center"/>
            </w:pPr>
            <w:r/>
            <w:r>
              <w:rPr>
                <w:b w:val="0"/>
                <w:sz w:val="17"/>
              </w:rPr>
              <w:t>164</w:t>
            </w:r>
          </w:p>
        </w:tc>
        <w:tc>
          <w:tcPr>
            <w:tcW w:type="dxa" w:w="648"/>
            <w:vAlign w:val="center"/>
          </w:tcPr>
          <w:p>
            <w:pPr>
              <w:spacing w:before="0" w:after="40" w:line="252" w:lineRule="auto"/>
              <w:jc w:val="center"/>
            </w:pPr>
            <w:r/>
            <w:r>
              <w:rPr>
                <w:b w:val="0"/>
                <w:sz w:val="17"/>
              </w:rPr>
              <w:t>16</w:t>
            </w:r>
          </w:p>
        </w:tc>
        <w:tc>
          <w:tcPr>
            <w:tcW w:type="dxa" w:w="648"/>
            <w:vAlign w:val="center"/>
          </w:tcPr>
          <w:p>
            <w:pPr>
              <w:spacing w:before="0" w:after="40" w:line="252" w:lineRule="auto"/>
              <w:jc w:val="center"/>
            </w:pPr>
            <w:r/>
            <w:r>
              <w:rPr>
                <w:b w:val="0"/>
                <w:sz w:val="17"/>
              </w:rPr>
              <w:t>12</w:t>
            </w:r>
          </w:p>
        </w:tc>
        <w:tc>
          <w:tcPr>
            <w:tcW w:type="dxa" w:w="1123"/>
            <w:vAlign w:val="center"/>
          </w:tcPr>
          <w:p>
            <w:pPr>
              <w:spacing w:before="0" w:after="40" w:line="252" w:lineRule="auto"/>
              <w:jc w:val="center"/>
            </w:pPr>
            <w:r/>
            <w:r>
              <w:rPr>
                <w:b w:val="0"/>
                <w:sz w:val="17"/>
              </w:rPr>
              <w:t>0.9318</w:t>
            </w:r>
          </w:p>
        </w:tc>
        <w:tc>
          <w:tcPr>
            <w:tcW w:type="dxa" w:w="1123"/>
            <w:vAlign w:val="center"/>
          </w:tcPr>
          <w:p>
            <w:pPr>
              <w:spacing w:before="0" w:after="40" w:line="252" w:lineRule="auto"/>
              <w:jc w:val="center"/>
            </w:pPr>
            <w:r/>
            <w:r>
              <w:rPr>
                <w:b w:val="0"/>
                <w:sz w:val="17"/>
              </w:rPr>
              <w:t>0.9111</w:t>
            </w:r>
          </w:p>
        </w:tc>
      </w:tr>
      <w:tr>
        <w:trPr>
          <w:cantSplit/>
        </w:trPr>
        <w:tc>
          <w:tcPr>
            <w:tcW w:type="dxa" w:w="1944"/>
            <w:vAlign w:val="center"/>
          </w:tcPr>
          <w:p>
            <w:pPr>
              <w:spacing w:before="0" w:after="40" w:line="252" w:lineRule="auto"/>
              <w:jc w:val="left"/>
            </w:pPr>
            <w:r/>
            <w:r>
              <w:rPr>
                <w:b w:val="0"/>
                <w:sz w:val="17"/>
              </w:rPr>
              <w:t>Llama-3.3-70B</w:t>
            </w:r>
          </w:p>
        </w:tc>
        <w:tc>
          <w:tcPr>
            <w:tcW w:type="dxa" w:w="1368"/>
            <w:vAlign w:val="center"/>
          </w:tcPr>
          <w:p>
            <w:pPr>
              <w:spacing w:before="0" w:after="40" w:line="252" w:lineRule="auto"/>
              <w:jc w:val="left"/>
            </w:pPr>
            <w:r/>
            <w:r>
              <w:rPr>
                <w:b w:val="0"/>
                <w:sz w:val="17"/>
              </w:rPr>
              <w:t>ODD+game</w:t>
            </w:r>
          </w:p>
        </w:tc>
        <w:tc>
          <w:tcPr>
            <w:tcW w:type="dxa" w:w="648"/>
            <w:vAlign w:val="center"/>
          </w:tcPr>
          <w:p>
            <w:pPr>
              <w:spacing w:before="0" w:after="40" w:line="252" w:lineRule="auto"/>
              <w:jc w:val="center"/>
            </w:pPr>
            <w:r/>
            <w:r>
              <w:rPr>
                <w:b w:val="0"/>
                <w:sz w:val="17"/>
              </w:rPr>
              <w:t>166</w:t>
            </w:r>
          </w:p>
        </w:tc>
        <w:tc>
          <w:tcPr>
            <w:tcW w:type="dxa" w:w="648"/>
            <w:vAlign w:val="center"/>
          </w:tcPr>
          <w:p>
            <w:pPr>
              <w:spacing w:before="0" w:after="40" w:line="252" w:lineRule="auto"/>
              <w:jc w:val="center"/>
            </w:pPr>
            <w:r/>
            <w:r>
              <w:rPr>
                <w:b w:val="0"/>
                <w:sz w:val="17"/>
              </w:rPr>
              <w:t>14</w:t>
            </w:r>
          </w:p>
        </w:tc>
        <w:tc>
          <w:tcPr>
            <w:tcW w:type="dxa" w:w="648"/>
            <w:vAlign w:val="center"/>
          </w:tcPr>
          <w:p>
            <w:pPr>
              <w:spacing w:before="0" w:after="40" w:line="252" w:lineRule="auto"/>
              <w:jc w:val="center"/>
            </w:pPr>
            <w:r/>
            <w:r>
              <w:rPr>
                <w:b w:val="0"/>
                <w:sz w:val="17"/>
              </w:rPr>
              <w:t>3</w:t>
            </w:r>
          </w:p>
        </w:tc>
        <w:tc>
          <w:tcPr>
            <w:tcW w:type="dxa" w:w="1123"/>
            <w:vAlign w:val="center"/>
          </w:tcPr>
          <w:p>
            <w:pPr>
              <w:spacing w:before="0" w:after="40" w:line="252" w:lineRule="auto"/>
              <w:jc w:val="center"/>
            </w:pPr>
            <w:r/>
            <w:r>
              <w:rPr>
                <w:b w:val="0"/>
                <w:sz w:val="17"/>
              </w:rPr>
              <w:t>0.9822</w:t>
            </w:r>
          </w:p>
        </w:tc>
        <w:tc>
          <w:tcPr>
            <w:tcW w:type="dxa" w:w="1123"/>
            <w:vAlign w:val="center"/>
          </w:tcPr>
          <w:p>
            <w:pPr>
              <w:spacing w:before="0" w:after="40" w:line="252" w:lineRule="auto"/>
              <w:jc w:val="center"/>
            </w:pPr>
            <w:r/>
            <w:r>
              <w:rPr>
                <w:b w:val="0"/>
                <w:sz w:val="17"/>
              </w:rPr>
              <w:t>0.9222</w:t>
            </w:r>
          </w:p>
        </w:tc>
      </w:tr>
      <w:tr>
        <w:trPr>
          <w:cantSplit/>
        </w:trPr>
        <w:tc>
          <w:tcPr>
            <w:tcW w:type="dxa" w:w="1944"/>
            <w:vAlign w:val="center"/>
          </w:tcPr>
          <w:p>
            <w:pPr>
              <w:spacing w:before="0" w:after="40" w:line="252" w:lineRule="auto"/>
              <w:jc w:val="left"/>
            </w:pPr>
            <w:r/>
            <w:r>
              <w:rPr>
                <w:b w:val="0"/>
                <w:sz w:val="17"/>
              </w:rPr>
              <w:t>Llama-3.3-70B</w:t>
            </w:r>
          </w:p>
        </w:tc>
        <w:tc>
          <w:tcPr>
            <w:tcW w:type="dxa" w:w="1368"/>
            <w:vAlign w:val="center"/>
          </w:tcPr>
          <w:p>
            <w:pPr>
              <w:spacing w:before="0" w:after="40" w:line="252" w:lineRule="auto"/>
              <w:jc w:val="left"/>
            </w:pPr>
            <w:r/>
            <w:r>
              <w:rPr>
                <w:b w:val="0"/>
                <w:sz w:val="17"/>
              </w:rPr>
              <w:t>ODD-only</w:t>
            </w:r>
          </w:p>
        </w:tc>
        <w:tc>
          <w:tcPr>
            <w:tcW w:type="dxa" w:w="648"/>
            <w:vAlign w:val="center"/>
          </w:tcPr>
          <w:p>
            <w:pPr>
              <w:spacing w:before="0" w:after="40" w:line="252" w:lineRule="auto"/>
              <w:jc w:val="center"/>
            </w:pPr>
            <w:r/>
            <w:r>
              <w:rPr>
                <w:b w:val="0"/>
                <w:sz w:val="17"/>
              </w:rPr>
              <w:t>176</w:t>
            </w:r>
          </w:p>
        </w:tc>
        <w:tc>
          <w:tcPr>
            <w:tcW w:type="dxa" w:w="648"/>
            <w:vAlign w:val="center"/>
          </w:tcPr>
          <w:p>
            <w:pPr>
              <w:spacing w:before="0" w:after="40" w:line="252" w:lineRule="auto"/>
              <w:jc w:val="center"/>
            </w:pPr>
            <w:r/>
            <w:r>
              <w:rPr>
                <w:b w:val="0"/>
                <w:sz w:val="17"/>
              </w:rPr>
              <w:t>4</w:t>
            </w:r>
          </w:p>
        </w:tc>
        <w:tc>
          <w:tcPr>
            <w:tcW w:type="dxa" w:w="648"/>
            <w:vAlign w:val="center"/>
          </w:tcPr>
          <w:p>
            <w:pPr>
              <w:spacing w:before="0" w:after="40" w:line="252" w:lineRule="auto"/>
              <w:jc w:val="center"/>
            </w:pPr>
            <w:r/>
            <w:r>
              <w:rPr>
                <w:b w:val="0"/>
                <w:sz w:val="17"/>
              </w:rPr>
              <w:t>4</w:t>
            </w:r>
          </w:p>
        </w:tc>
        <w:tc>
          <w:tcPr>
            <w:tcW w:type="dxa" w:w="1123"/>
            <w:vAlign w:val="center"/>
          </w:tcPr>
          <w:p>
            <w:pPr>
              <w:spacing w:before="0" w:after="40" w:line="252" w:lineRule="auto"/>
              <w:jc w:val="center"/>
            </w:pPr>
            <w:r/>
            <w:r>
              <w:rPr>
                <w:b w:val="0"/>
                <w:sz w:val="17"/>
              </w:rPr>
              <w:t>0.9778</w:t>
            </w:r>
          </w:p>
        </w:tc>
        <w:tc>
          <w:tcPr>
            <w:tcW w:type="dxa" w:w="1123"/>
            <w:vAlign w:val="center"/>
          </w:tcPr>
          <w:p>
            <w:pPr>
              <w:spacing w:before="0" w:after="40" w:line="252" w:lineRule="auto"/>
              <w:jc w:val="center"/>
            </w:pPr>
            <w:r/>
            <w:r>
              <w:rPr>
                <w:b w:val="0"/>
                <w:sz w:val="17"/>
              </w:rPr>
              <w:t>0.9778</w:t>
            </w:r>
          </w:p>
        </w:tc>
      </w:tr>
      <w:tr>
        <w:trPr>
          <w:cantSplit/>
        </w:trPr>
        <w:tc>
          <w:tcPr>
            <w:tcW w:type="dxa" w:w="1944"/>
            <w:vAlign w:val="center"/>
          </w:tcPr>
          <w:p>
            <w:pPr>
              <w:spacing w:before="0" w:after="40" w:line="252" w:lineRule="auto"/>
              <w:jc w:val="left"/>
            </w:pPr>
            <w:r/>
            <w:r>
              <w:rPr>
                <w:b w:val="0"/>
                <w:sz w:val="17"/>
              </w:rPr>
              <w:t>Qwen2.5-7B</w:t>
            </w:r>
          </w:p>
        </w:tc>
        <w:tc>
          <w:tcPr>
            <w:tcW w:type="dxa" w:w="1368"/>
            <w:vAlign w:val="center"/>
          </w:tcPr>
          <w:p>
            <w:pPr>
              <w:spacing w:before="0" w:after="40" w:line="252" w:lineRule="auto"/>
              <w:jc w:val="left"/>
            </w:pPr>
            <w:r/>
            <w:r>
              <w:rPr>
                <w:b w:val="0"/>
                <w:sz w:val="17"/>
              </w:rPr>
              <w:t>ODD+game</w:t>
            </w:r>
          </w:p>
        </w:tc>
        <w:tc>
          <w:tcPr>
            <w:tcW w:type="dxa" w:w="648"/>
            <w:vAlign w:val="center"/>
          </w:tcPr>
          <w:p>
            <w:pPr>
              <w:spacing w:before="0" w:after="40" w:line="252" w:lineRule="auto"/>
              <w:jc w:val="center"/>
            </w:pPr>
            <w:r/>
            <w:r>
              <w:rPr>
                <w:b w:val="0"/>
                <w:sz w:val="17"/>
              </w:rPr>
              <w:t>180</w:t>
            </w:r>
          </w:p>
        </w:tc>
        <w:tc>
          <w:tcPr>
            <w:tcW w:type="dxa" w:w="648"/>
            <w:vAlign w:val="center"/>
          </w:tcPr>
          <w:p>
            <w:pPr>
              <w:spacing w:before="0" w:after="40" w:line="252" w:lineRule="auto"/>
              <w:jc w:val="center"/>
            </w:pPr>
            <w:r/>
            <w:r>
              <w:rPr>
                <w:b w:val="0"/>
                <w:sz w:val="17"/>
              </w:rPr>
              <w:t>0</w:t>
            </w:r>
          </w:p>
        </w:tc>
        <w:tc>
          <w:tcPr>
            <w:tcW w:type="dxa" w:w="648"/>
            <w:vAlign w:val="center"/>
          </w:tcPr>
          <w:p>
            <w:pPr>
              <w:spacing w:before="0" w:after="40" w:line="252" w:lineRule="auto"/>
              <w:jc w:val="center"/>
            </w:pPr>
            <w:r/>
            <w:r>
              <w:rPr>
                <w:b w:val="0"/>
                <w:sz w:val="17"/>
              </w:rPr>
              <w:t>103</w:t>
            </w:r>
          </w:p>
        </w:tc>
        <w:tc>
          <w:tcPr>
            <w:tcW w:type="dxa" w:w="1123"/>
            <w:vAlign w:val="center"/>
          </w:tcPr>
          <w:p>
            <w:pPr>
              <w:spacing w:before="0" w:after="40" w:line="252" w:lineRule="auto"/>
              <w:jc w:val="center"/>
            </w:pPr>
            <w:r/>
            <w:r>
              <w:rPr>
                <w:b w:val="0"/>
                <w:sz w:val="17"/>
              </w:rPr>
              <w:t>0.6360</w:t>
            </w:r>
          </w:p>
        </w:tc>
        <w:tc>
          <w:tcPr>
            <w:tcW w:type="dxa" w:w="1123"/>
            <w:vAlign w:val="center"/>
          </w:tcPr>
          <w:p>
            <w:pPr>
              <w:spacing w:before="0" w:after="40" w:line="252" w:lineRule="auto"/>
              <w:jc w:val="center"/>
            </w:pPr>
            <w:r/>
            <w:r>
              <w:rPr>
                <w:b w:val="0"/>
                <w:sz w:val="17"/>
              </w:rPr>
              <w:t>1.0000</w:t>
            </w:r>
          </w:p>
        </w:tc>
      </w:tr>
      <w:tr>
        <w:trPr>
          <w:cantSplit/>
        </w:trPr>
        <w:tc>
          <w:tcPr>
            <w:tcW w:type="dxa" w:w="1944"/>
            <w:vAlign w:val="center"/>
          </w:tcPr>
          <w:p>
            <w:pPr>
              <w:spacing w:before="0" w:after="40" w:line="252" w:lineRule="auto"/>
              <w:jc w:val="left"/>
            </w:pPr>
            <w:r/>
            <w:r>
              <w:rPr>
                <w:b w:val="0"/>
                <w:sz w:val="17"/>
              </w:rPr>
              <w:t>Qwen2.5-7B</w:t>
            </w:r>
          </w:p>
        </w:tc>
        <w:tc>
          <w:tcPr>
            <w:tcW w:type="dxa" w:w="1368"/>
            <w:vAlign w:val="center"/>
          </w:tcPr>
          <w:p>
            <w:pPr>
              <w:spacing w:before="0" w:after="40" w:line="252" w:lineRule="auto"/>
              <w:jc w:val="left"/>
            </w:pPr>
            <w:r/>
            <w:r>
              <w:rPr>
                <w:b w:val="0"/>
                <w:sz w:val="17"/>
              </w:rPr>
              <w:t>ODD-only</w:t>
            </w:r>
          </w:p>
        </w:tc>
        <w:tc>
          <w:tcPr>
            <w:tcW w:type="dxa" w:w="648"/>
            <w:vAlign w:val="center"/>
          </w:tcPr>
          <w:p>
            <w:pPr>
              <w:spacing w:before="0" w:after="40" w:line="252" w:lineRule="auto"/>
              <w:jc w:val="center"/>
            </w:pPr>
            <w:r/>
            <w:r>
              <w:rPr>
                <w:b w:val="0"/>
                <w:sz w:val="17"/>
              </w:rPr>
              <w:t>177</w:t>
            </w:r>
          </w:p>
        </w:tc>
        <w:tc>
          <w:tcPr>
            <w:tcW w:type="dxa" w:w="648"/>
            <w:vAlign w:val="center"/>
          </w:tcPr>
          <w:p>
            <w:pPr>
              <w:spacing w:before="0" w:after="40" w:line="252" w:lineRule="auto"/>
              <w:jc w:val="center"/>
            </w:pPr>
            <w:r/>
            <w:r>
              <w:rPr>
                <w:b w:val="0"/>
                <w:sz w:val="17"/>
              </w:rPr>
              <w:t>3</w:t>
            </w:r>
          </w:p>
        </w:tc>
        <w:tc>
          <w:tcPr>
            <w:tcW w:type="dxa" w:w="648"/>
            <w:vAlign w:val="center"/>
          </w:tcPr>
          <w:p>
            <w:pPr>
              <w:spacing w:before="0" w:after="40" w:line="252" w:lineRule="auto"/>
              <w:jc w:val="center"/>
            </w:pPr>
            <w:r/>
            <w:r>
              <w:rPr>
                <w:b w:val="0"/>
                <w:sz w:val="17"/>
              </w:rPr>
              <w:t>52</w:t>
            </w:r>
          </w:p>
        </w:tc>
        <w:tc>
          <w:tcPr>
            <w:tcW w:type="dxa" w:w="1123"/>
            <w:vAlign w:val="center"/>
          </w:tcPr>
          <w:p>
            <w:pPr>
              <w:spacing w:before="0" w:after="40" w:line="252" w:lineRule="auto"/>
              <w:jc w:val="center"/>
            </w:pPr>
            <w:r/>
            <w:r>
              <w:rPr>
                <w:b w:val="0"/>
                <w:sz w:val="17"/>
              </w:rPr>
              <w:t>0.7729</w:t>
            </w:r>
          </w:p>
        </w:tc>
        <w:tc>
          <w:tcPr>
            <w:tcW w:type="dxa" w:w="1123"/>
            <w:vAlign w:val="center"/>
          </w:tcPr>
          <w:p>
            <w:pPr>
              <w:spacing w:before="0" w:after="40" w:line="252" w:lineRule="auto"/>
              <w:jc w:val="center"/>
            </w:pPr>
            <w:r/>
            <w:r>
              <w:rPr>
                <w:b w:val="0"/>
                <w:sz w:val="17"/>
              </w:rPr>
              <w:t>0.9833</w:t>
            </w:r>
          </w:p>
        </w:tc>
      </w:tr>
    </w:tbl>
    <w:p/>
    <w:p>
      <w:pPr>
        <w:pStyle w:val="Caption"/>
      </w:pPr>
      <w:r>
        <w:rPr>
          <w:b/>
          <w:color w:val="1F4D78"/>
        </w:rPr>
        <w:t>Table 4. Electricity deltas: ODD+game minus ODD-only</w:t>
      </w:r>
    </w:p>
    <w:tbl>
      <w:tblPr>
        <w:tblW w:type="auto" w:w="0"/>
        <w:jc w:val="center"/>
        <w:tblLayout w:type="fixed"/>
        <w:tblLook w:firstColumn="1" w:firstRow="1" w:lastColumn="0" w:lastRow="0" w:noHBand="0" w:noVBand="1" w:val="04A0"/>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Pr>
      <w:tblGrid>
        <w:gridCol w:w="1560"/>
        <w:gridCol w:w="1560"/>
        <w:gridCol w:w="1560"/>
        <w:gridCol w:w="1560"/>
        <w:gridCol w:w="1560"/>
        <w:gridCol w:w="1560"/>
      </w:tblGrid>
      <w:tr>
        <w:trPr>
          <w:tblHeader w:val="true"/>
          <w:cantSplit/>
        </w:trPr>
        <w:tc>
          <w:tcPr>
            <w:tcW w:type="dxa" w:w="2232"/>
            <w:shd w:fill="F2F4F7"/>
            <w:vAlign w:val="center"/>
          </w:tcPr>
          <w:p>
            <w:pPr>
              <w:spacing w:before="0" w:after="40" w:line="252" w:lineRule="auto"/>
              <w:jc w:val="center"/>
            </w:pPr>
            <w:r/>
            <w:r>
              <w:rPr>
                <w:b/>
                <w:color w:val="0B2545"/>
                <w:sz w:val="17"/>
              </w:rPr>
              <w:t>Model</w:t>
            </w:r>
          </w:p>
        </w:tc>
        <w:tc>
          <w:tcPr>
            <w:tcW w:type="dxa" w:w="1080"/>
            <w:shd w:fill="F2F4F7"/>
            <w:vAlign w:val="center"/>
          </w:tcPr>
          <w:p>
            <w:pPr>
              <w:spacing w:before="0" w:after="40" w:line="252" w:lineRule="auto"/>
              <w:jc w:val="center"/>
            </w:pPr>
            <w:r/>
            <w:r>
              <w:rPr>
                <w:b/>
                <w:color w:val="0B2545"/>
                <w:sz w:val="17"/>
              </w:rPr>
              <w:t>Delta TP</w:t>
            </w:r>
          </w:p>
        </w:tc>
        <w:tc>
          <w:tcPr>
            <w:tcW w:type="dxa" w:w="1080"/>
            <w:shd w:fill="F2F4F7"/>
            <w:vAlign w:val="center"/>
          </w:tcPr>
          <w:p>
            <w:pPr>
              <w:spacing w:before="0" w:after="40" w:line="252" w:lineRule="auto"/>
              <w:jc w:val="center"/>
            </w:pPr>
            <w:r/>
            <w:r>
              <w:rPr>
                <w:b/>
                <w:color w:val="0B2545"/>
                <w:sz w:val="17"/>
              </w:rPr>
              <w:t>Delta FN</w:t>
            </w:r>
          </w:p>
        </w:tc>
        <w:tc>
          <w:tcPr>
            <w:tcW w:type="dxa" w:w="1080"/>
            <w:shd w:fill="F2F4F7"/>
            <w:vAlign w:val="center"/>
          </w:tcPr>
          <w:p>
            <w:pPr>
              <w:spacing w:before="0" w:after="40" w:line="252" w:lineRule="auto"/>
              <w:jc w:val="center"/>
            </w:pPr>
            <w:r/>
            <w:r>
              <w:rPr>
                <w:b/>
                <w:color w:val="0B2545"/>
                <w:sz w:val="17"/>
              </w:rPr>
              <w:t>Delta FP</w:t>
            </w:r>
          </w:p>
        </w:tc>
        <w:tc>
          <w:tcPr>
            <w:tcW w:type="dxa" w:w="1728"/>
            <w:shd w:fill="F2F4F7"/>
            <w:vAlign w:val="center"/>
          </w:tcPr>
          <w:p>
            <w:pPr>
              <w:spacing w:before="0" w:after="40" w:line="252" w:lineRule="auto"/>
              <w:jc w:val="center"/>
            </w:pPr>
            <w:r/>
            <w:r>
              <w:rPr>
                <w:b/>
                <w:color w:val="0B2545"/>
                <w:sz w:val="17"/>
              </w:rPr>
              <w:t>Delta Precision</w:t>
            </w:r>
          </w:p>
        </w:tc>
        <w:tc>
          <w:tcPr>
            <w:tcW w:type="dxa" w:w="1728"/>
            <w:shd w:fill="F2F4F7"/>
            <w:vAlign w:val="center"/>
          </w:tcPr>
          <w:p>
            <w:pPr>
              <w:spacing w:before="0" w:after="40" w:line="252" w:lineRule="auto"/>
              <w:jc w:val="center"/>
            </w:pPr>
            <w:r/>
            <w:r>
              <w:rPr>
                <w:b/>
                <w:color w:val="0B2545"/>
                <w:sz w:val="17"/>
              </w:rPr>
              <w:t>Delta Recall</w:t>
            </w:r>
          </w:p>
        </w:tc>
      </w:tr>
      <w:tr>
        <w:trPr>
          <w:cantSplit/>
        </w:trPr>
        <w:tc>
          <w:tcPr>
            <w:tcW w:type="dxa" w:w="2232"/>
            <w:vAlign w:val="center"/>
          </w:tcPr>
          <w:p>
            <w:pPr>
              <w:spacing w:before="0" w:after="40" w:line="252" w:lineRule="auto"/>
              <w:jc w:val="left"/>
            </w:pPr>
            <w:r/>
            <w:r>
              <w:rPr>
                <w:b w:val="0"/>
                <w:sz w:val="17"/>
              </w:rPr>
              <w:t>DeepSeek-R1</w:t>
            </w:r>
          </w:p>
        </w:tc>
        <w:tc>
          <w:tcPr>
            <w:tcW w:type="dxa" w:w="1080"/>
            <w:vAlign w:val="center"/>
          </w:tcPr>
          <w:p>
            <w:pPr>
              <w:spacing w:before="0" w:after="40" w:line="252" w:lineRule="auto"/>
              <w:jc w:val="left"/>
            </w:pPr>
            <w:r/>
            <w:r>
              <w:rPr>
                <w:b w:val="0"/>
                <w:sz w:val="17"/>
              </w:rPr>
              <w:t>+16</w:t>
            </w:r>
          </w:p>
        </w:tc>
        <w:tc>
          <w:tcPr>
            <w:tcW w:type="dxa" w:w="1080"/>
            <w:vAlign w:val="center"/>
          </w:tcPr>
          <w:p>
            <w:pPr>
              <w:spacing w:before="0" w:after="40" w:line="252" w:lineRule="auto"/>
              <w:jc w:val="center"/>
            </w:pPr>
            <w:r/>
            <w:r>
              <w:rPr>
                <w:b w:val="0"/>
                <w:sz w:val="17"/>
              </w:rPr>
              <w:t>-16</w:t>
            </w:r>
          </w:p>
        </w:tc>
        <w:tc>
          <w:tcPr>
            <w:tcW w:type="dxa" w:w="1080"/>
            <w:vAlign w:val="center"/>
          </w:tcPr>
          <w:p>
            <w:pPr>
              <w:spacing w:before="0" w:after="40" w:line="252" w:lineRule="auto"/>
              <w:jc w:val="center"/>
            </w:pPr>
            <w:r/>
            <w:r>
              <w:rPr>
                <w:b w:val="0"/>
                <w:sz w:val="17"/>
              </w:rPr>
              <w:t>-8</w:t>
            </w:r>
          </w:p>
        </w:tc>
        <w:tc>
          <w:tcPr>
            <w:tcW w:type="dxa" w:w="1728"/>
            <w:vAlign w:val="center"/>
          </w:tcPr>
          <w:p>
            <w:pPr>
              <w:spacing w:before="0" w:after="40" w:line="252" w:lineRule="auto"/>
              <w:jc w:val="center"/>
            </w:pPr>
            <w:r/>
            <w:r>
              <w:rPr>
                <w:b w:val="0"/>
                <w:sz w:val="17"/>
              </w:rPr>
              <w:t>+0.0464</w:t>
            </w:r>
          </w:p>
        </w:tc>
        <w:tc>
          <w:tcPr>
            <w:tcW w:type="dxa" w:w="1728"/>
            <w:vAlign w:val="center"/>
          </w:tcPr>
          <w:p>
            <w:pPr>
              <w:spacing w:before="0" w:after="40" w:line="252" w:lineRule="auto"/>
              <w:jc w:val="center"/>
            </w:pPr>
            <w:r/>
            <w:r>
              <w:rPr>
                <w:b w:val="0"/>
                <w:sz w:val="17"/>
              </w:rPr>
              <w:t>+0.0889</w:t>
            </w:r>
          </w:p>
        </w:tc>
      </w:tr>
      <w:tr>
        <w:trPr>
          <w:cantSplit/>
        </w:trPr>
        <w:tc>
          <w:tcPr>
            <w:tcW w:type="dxa" w:w="2232"/>
            <w:vAlign w:val="center"/>
          </w:tcPr>
          <w:p>
            <w:pPr>
              <w:spacing w:before="0" w:after="40" w:line="252" w:lineRule="auto"/>
              <w:jc w:val="left"/>
            </w:pPr>
            <w:r/>
            <w:r>
              <w:rPr>
                <w:b w:val="0"/>
                <w:sz w:val="17"/>
              </w:rPr>
              <w:t>Llama-3.3-70B</w:t>
            </w:r>
          </w:p>
        </w:tc>
        <w:tc>
          <w:tcPr>
            <w:tcW w:type="dxa" w:w="1080"/>
            <w:vAlign w:val="center"/>
          </w:tcPr>
          <w:p>
            <w:pPr>
              <w:spacing w:before="0" w:after="40" w:line="252" w:lineRule="auto"/>
              <w:jc w:val="left"/>
            </w:pPr>
            <w:r/>
            <w:r>
              <w:rPr>
                <w:b w:val="0"/>
                <w:sz w:val="17"/>
              </w:rPr>
              <w:t>-10</w:t>
            </w:r>
          </w:p>
        </w:tc>
        <w:tc>
          <w:tcPr>
            <w:tcW w:type="dxa" w:w="1080"/>
            <w:vAlign w:val="center"/>
          </w:tcPr>
          <w:p>
            <w:pPr>
              <w:spacing w:before="0" w:after="40" w:line="252" w:lineRule="auto"/>
              <w:jc w:val="center"/>
            </w:pPr>
            <w:r/>
            <w:r>
              <w:rPr>
                <w:b w:val="0"/>
                <w:sz w:val="17"/>
              </w:rPr>
              <w:t>+10</w:t>
            </w:r>
          </w:p>
        </w:tc>
        <w:tc>
          <w:tcPr>
            <w:tcW w:type="dxa" w:w="1080"/>
            <w:vAlign w:val="center"/>
          </w:tcPr>
          <w:p>
            <w:pPr>
              <w:spacing w:before="0" w:after="40" w:line="252" w:lineRule="auto"/>
              <w:jc w:val="center"/>
            </w:pPr>
            <w:r/>
            <w:r>
              <w:rPr>
                <w:b w:val="0"/>
                <w:sz w:val="17"/>
              </w:rPr>
              <w:t>-1</w:t>
            </w:r>
          </w:p>
        </w:tc>
        <w:tc>
          <w:tcPr>
            <w:tcW w:type="dxa" w:w="1728"/>
            <w:vAlign w:val="center"/>
          </w:tcPr>
          <w:p>
            <w:pPr>
              <w:spacing w:before="0" w:after="40" w:line="252" w:lineRule="auto"/>
              <w:jc w:val="center"/>
            </w:pPr>
            <w:r/>
            <w:r>
              <w:rPr>
                <w:b w:val="0"/>
                <w:sz w:val="17"/>
              </w:rPr>
              <w:t>+0.0045</w:t>
            </w:r>
          </w:p>
        </w:tc>
        <w:tc>
          <w:tcPr>
            <w:tcW w:type="dxa" w:w="1728"/>
            <w:vAlign w:val="center"/>
          </w:tcPr>
          <w:p>
            <w:pPr>
              <w:spacing w:before="0" w:after="40" w:line="252" w:lineRule="auto"/>
              <w:jc w:val="center"/>
            </w:pPr>
            <w:r/>
            <w:r>
              <w:rPr>
                <w:b w:val="0"/>
                <w:sz w:val="17"/>
              </w:rPr>
              <w:t>-0.0556</w:t>
            </w:r>
          </w:p>
        </w:tc>
      </w:tr>
      <w:tr>
        <w:trPr>
          <w:cantSplit/>
        </w:trPr>
        <w:tc>
          <w:tcPr>
            <w:tcW w:type="dxa" w:w="2232"/>
            <w:vAlign w:val="center"/>
          </w:tcPr>
          <w:p>
            <w:pPr>
              <w:spacing w:before="0" w:after="40" w:line="252" w:lineRule="auto"/>
              <w:jc w:val="left"/>
            </w:pPr>
            <w:r/>
            <w:r>
              <w:rPr>
                <w:b w:val="0"/>
                <w:sz w:val="17"/>
              </w:rPr>
              <w:t>Qwen2.5-7B</w:t>
            </w:r>
          </w:p>
        </w:tc>
        <w:tc>
          <w:tcPr>
            <w:tcW w:type="dxa" w:w="1080"/>
            <w:vAlign w:val="center"/>
          </w:tcPr>
          <w:p>
            <w:pPr>
              <w:spacing w:before="0" w:after="40" w:line="252" w:lineRule="auto"/>
              <w:jc w:val="left"/>
            </w:pPr>
            <w:r/>
            <w:r>
              <w:rPr>
                <w:b w:val="0"/>
                <w:sz w:val="17"/>
              </w:rPr>
              <w:t>+3</w:t>
            </w:r>
          </w:p>
        </w:tc>
        <w:tc>
          <w:tcPr>
            <w:tcW w:type="dxa" w:w="1080"/>
            <w:vAlign w:val="center"/>
          </w:tcPr>
          <w:p>
            <w:pPr>
              <w:spacing w:before="0" w:after="40" w:line="252" w:lineRule="auto"/>
              <w:jc w:val="center"/>
            </w:pPr>
            <w:r/>
            <w:r>
              <w:rPr>
                <w:b w:val="0"/>
                <w:sz w:val="17"/>
              </w:rPr>
              <w:t>-3</w:t>
            </w:r>
          </w:p>
        </w:tc>
        <w:tc>
          <w:tcPr>
            <w:tcW w:type="dxa" w:w="1080"/>
            <w:vAlign w:val="center"/>
          </w:tcPr>
          <w:p>
            <w:pPr>
              <w:spacing w:before="0" w:after="40" w:line="252" w:lineRule="auto"/>
              <w:jc w:val="center"/>
            </w:pPr>
            <w:r/>
            <w:r>
              <w:rPr>
                <w:b w:val="0"/>
                <w:sz w:val="17"/>
              </w:rPr>
              <w:t>+51</w:t>
            </w:r>
          </w:p>
        </w:tc>
        <w:tc>
          <w:tcPr>
            <w:tcW w:type="dxa" w:w="1728"/>
            <w:vAlign w:val="center"/>
          </w:tcPr>
          <w:p>
            <w:pPr>
              <w:spacing w:before="0" w:after="40" w:line="252" w:lineRule="auto"/>
              <w:jc w:val="center"/>
            </w:pPr>
            <w:r/>
            <w:r>
              <w:rPr>
                <w:b w:val="0"/>
                <w:sz w:val="17"/>
              </w:rPr>
              <w:t>-0.1369</w:t>
            </w:r>
          </w:p>
        </w:tc>
        <w:tc>
          <w:tcPr>
            <w:tcW w:type="dxa" w:w="1728"/>
            <w:vAlign w:val="center"/>
          </w:tcPr>
          <w:p>
            <w:pPr>
              <w:spacing w:before="0" w:after="40" w:line="252" w:lineRule="auto"/>
              <w:jc w:val="center"/>
            </w:pPr>
            <w:r/>
            <w:r>
              <w:rPr>
                <w:b w:val="0"/>
                <w:sz w:val="17"/>
              </w:rPr>
              <w:t>+0.0167</w:t>
            </w:r>
          </w:p>
        </w:tc>
      </w:tr>
    </w:tbl>
    <w:p/>
    <w:p>
      <w:r>
        <w:br w:type="page"/>
      </w:r>
    </w:p>
    <w:p>
      <w:pPr>
        <w:pStyle w:val="Heading1"/>
        <w:keepNext/>
      </w:pPr>
      <w:r>
        <w:t>5. Why ODD+game Was Not Always Better</w:t>
      </w:r>
    </w:p>
    <w:p>
      <w:r>
        <w:t>The game scenario adds useful institutional context, but it also increases the amount of salient mechanism text available to the model. Some models treat this background as additional ASs rather than as explanatory context. The AS-level audits show three main failure modes: duplicate extraction of a correct AS, over-splitting background mechanisms into standalone ASs, and missing a specific correct AS because the model merges it into a broader mechanism.</w:t>
      </w:r>
    </w:p>
    <w:p>
      <w:pPr>
        <w:pStyle w:val="Caption"/>
      </w:pPr>
      <w:r>
        <w:rPr>
          <w:b/>
          <w:color w:val="1F4D78"/>
        </w:rPr>
        <w:t>Table 5. Main reasons ODD+game was not always better</w:t>
      </w:r>
    </w:p>
    <w:tbl>
      <w:tblPr>
        <w:tblW w:type="auto" w:w="0"/>
        <w:jc w:val="center"/>
        <w:tblLayout w:type="fixed"/>
        <w:tblLook w:firstColumn="1" w:firstRow="1" w:lastColumn="0" w:lastRow="0" w:noHBand="0" w:noVBand="1" w:val="04A0"/>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Pr>
      <w:tblGrid>
        <w:gridCol w:w="2340"/>
        <w:gridCol w:w="2340"/>
        <w:gridCol w:w="2340"/>
        <w:gridCol w:w="2340"/>
      </w:tblGrid>
      <w:tr>
        <w:trPr>
          <w:tblHeader w:val="true"/>
          <w:cantSplit/>
        </w:trPr>
        <w:tc>
          <w:tcPr>
            <w:tcW w:type="dxa" w:w="1152"/>
            <w:shd w:fill="F2F4F7"/>
            <w:vAlign w:val="center"/>
          </w:tcPr>
          <w:p>
            <w:pPr>
              <w:spacing w:before="0" w:after="40" w:line="252" w:lineRule="auto"/>
              <w:jc w:val="center"/>
            </w:pPr>
            <w:r/>
            <w:r>
              <w:rPr>
                <w:b/>
                <w:color w:val="0B2545"/>
                <w:sz w:val="16"/>
              </w:rPr>
              <w:t>Case</w:t>
            </w:r>
          </w:p>
        </w:tc>
        <w:tc>
          <w:tcPr>
            <w:tcW w:type="dxa" w:w="1512"/>
            <w:shd w:fill="F2F4F7"/>
            <w:vAlign w:val="center"/>
          </w:tcPr>
          <w:p>
            <w:pPr>
              <w:spacing w:before="0" w:after="40" w:line="252" w:lineRule="auto"/>
              <w:jc w:val="center"/>
            </w:pPr>
            <w:r/>
            <w:r>
              <w:rPr>
                <w:b/>
                <w:color w:val="0B2545"/>
                <w:sz w:val="16"/>
              </w:rPr>
              <w:t>Model</w:t>
            </w:r>
          </w:p>
        </w:tc>
        <w:tc>
          <w:tcPr>
            <w:tcW w:type="dxa" w:w="1800"/>
            <w:shd w:fill="F2F4F7"/>
            <w:vAlign w:val="center"/>
          </w:tcPr>
          <w:p>
            <w:pPr>
              <w:spacing w:before="0" w:after="40" w:line="252" w:lineRule="auto"/>
              <w:jc w:val="center"/>
            </w:pPr>
            <w:r/>
            <w:r>
              <w:rPr>
                <w:b/>
                <w:color w:val="0B2545"/>
                <w:sz w:val="16"/>
              </w:rPr>
              <w:t>Where ODD+game underperformed</w:t>
            </w:r>
          </w:p>
        </w:tc>
        <w:tc>
          <w:tcPr>
            <w:tcW w:type="dxa" w:w="4608"/>
            <w:shd w:fill="F2F4F7"/>
            <w:vAlign w:val="center"/>
          </w:tcPr>
          <w:p>
            <w:pPr>
              <w:spacing w:before="0" w:after="40" w:line="252" w:lineRule="auto"/>
              <w:jc w:val="center"/>
            </w:pPr>
            <w:r/>
            <w:r>
              <w:rPr>
                <w:b/>
                <w:color w:val="0B2545"/>
                <w:sz w:val="16"/>
              </w:rPr>
              <w:t>Audit-based explanation</w:t>
            </w:r>
          </w:p>
        </w:tc>
      </w:tr>
      <w:tr>
        <w:trPr>
          <w:cantSplit/>
        </w:trPr>
        <w:tc>
          <w:tcPr>
            <w:tcW w:type="dxa" w:w="1152"/>
            <w:vAlign w:val="center"/>
          </w:tcPr>
          <w:p>
            <w:pPr>
              <w:spacing w:before="0" w:after="40" w:line="252" w:lineRule="auto"/>
              <w:jc w:val="left"/>
            </w:pPr>
            <w:r/>
            <w:r>
              <w:rPr>
                <w:b w:val="0"/>
                <w:sz w:val="16"/>
              </w:rPr>
              <w:t>Water-use</w:t>
            </w:r>
          </w:p>
        </w:tc>
        <w:tc>
          <w:tcPr>
            <w:tcW w:type="dxa" w:w="1512"/>
            <w:vAlign w:val="center"/>
          </w:tcPr>
          <w:p>
            <w:pPr>
              <w:spacing w:before="0" w:after="40" w:line="252" w:lineRule="auto"/>
              <w:jc w:val="left"/>
            </w:pPr>
            <w:r/>
            <w:r>
              <w:rPr>
                <w:b w:val="0"/>
                <w:sz w:val="16"/>
              </w:rPr>
              <w:t>DeepSeek-R1</w:t>
            </w:r>
          </w:p>
        </w:tc>
        <w:tc>
          <w:tcPr>
            <w:tcW w:type="dxa" w:w="1800"/>
            <w:vAlign w:val="center"/>
          </w:tcPr>
          <w:p>
            <w:pPr>
              <w:spacing w:before="0" w:after="40" w:line="252" w:lineRule="auto"/>
              <w:jc w:val="center"/>
            </w:pPr>
            <w:r/>
            <w:r>
              <w:rPr>
                <w:b w:val="0"/>
                <w:sz w:val="16"/>
              </w:rPr>
              <w:t>Precision slightly lower</w:t>
            </w:r>
          </w:p>
        </w:tc>
        <w:tc>
          <w:tcPr>
            <w:tcW w:type="dxa" w:w="4608"/>
            <w:vAlign w:val="center"/>
          </w:tcPr>
          <w:p>
            <w:pPr>
              <w:spacing w:before="0" w:after="40" w:line="252" w:lineRule="auto"/>
              <w:jc w:val="center"/>
            </w:pPr>
            <w:r/>
            <w:r>
              <w:rPr>
                <w:b w:val="0"/>
                <w:sz w:val="16"/>
              </w:rPr>
              <w:t>ODD+game improved recall (+0.0500) and TP (+3), but FP increased by 1. Extra outputs included lake-threshold and fishery-sustainability variants.</w:t>
            </w:r>
          </w:p>
        </w:tc>
      </w:tr>
      <w:tr>
        <w:trPr>
          <w:cantSplit/>
        </w:trPr>
        <w:tc>
          <w:tcPr>
            <w:tcW w:type="dxa" w:w="1152"/>
            <w:vAlign w:val="center"/>
          </w:tcPr>
          <w:p>
            <w:pPr>
              <w:spacing w:before="0" w:after="40" w:line="252" w:lineRule="auto"/>
              <w:jc w:val="left"/>
            </w:pPr>
            <w:r/>
            <w:r>
              <w:rPr>
                <w:b w:val="0"/>
                <w:sz w:val="16"/>
              </w:rPr>
              <w:t>Water-use</w:t>
            </w:r>
          </w:p>
        </w:tc>
        <w:tc>
          <w:tcPr>
            <w:tcW w:type="dxa" w:w="1512"/>
            <w:vAlign w:val="center"/>
          </w:tcPr>
          <w:p>
            <w:pPr>
              <w:spacing w:before="0" w:after="40" w:line="252" w:lineRule="auto"/>
              <w:jc w:val="left"/>
            </w:pPr>
            <w:r/>
            <w:r>
              <w:rPr>
                <w:b w:val="0"/>
                <w:sz w:val="16"/>
              </w:rPr>
              <w:t>Llama-3.3-70B</w:t>
            </w:r>
          </w:p>
        </w:tc>
        <w:tc>
          <w:tcPr>
            <w:tcW w:type="dxa" w:w="1800"/>
            <w:vAlign w:val="center"/>
          </w:tcPr>
          <w:p>
            <w:pPr>
              <w:spacing w:before="0" w:after="40" w:line="252" w:lineRule="auto"/>
              <w:jc w:val="center"/>
            </w:pPr>
            <w:r/>
            <w:r>
              <w:rPr>
                <w:b w:val="0"/>
                <w:sz w:val="16"/>
              </w:rPr>
              <w:t>Both precision and recall lower</w:t>
            </w:r>
          </w:p>
        </w:tc>
        <w:tc>
          <w:tcPr>
            <w:tcW w:type="dxa" w:w="4608"/>
            <w:vAlign w:val="center"/>
          </w:tcPr>
          <w:p>
            <w:pPr>
              <w:spacing w:before="0" w:after="40" w:line="252" w:lineRule="auto"/>
              <w:jc w:val="center"/>
            </w:pPr>
            <w:r/>
            <w:r>
              <w:rPr>
                <w:b w:val="0"/>
                <w:sz w:val="16"/>
              </w:rPr>
              <w:t>ODD+game had -1 TP, +1 FN, and +9 FP. It over-generated ecological-threshold, irrigation-investment, field-expansion, and fishing-quota themes, and missed the fish extraction AS six times.</w:t>
            </w:r>
          </w:p>
        </w:tc>
      </w:tr>
      <w:tr>
        <w:trPr>
          <w:cantSplit/>
        </w:trPr>
        <w:tc>
          <w:tcPr>
            <w:tcW w:type="dxa" w:w="1152"/>
            <w:vAlign w:val="center"/>
          </w:tcPr>
          <w:p>
            <w:pPr>
              <w:spacing w:before="0" w:after="40" w:line="252" w:lineRule="auto"/>
              <w:jc w:val="left"/>
            </w:pPr>
            <w:r/>
            <w:r>
              <w:rPr>
                <w:b w:val="0"/>
                <w:sz w:val="16"/>
              </w:rPr>
              <w:t>Electricity</w:t>
            </w:r>
          </w:p>
        </w:tc>
        <w:tc>
          <w:tcPr>
            <w:tcW w:type="dxa" w:w="1512"/>
            <w:vAlign w:val="center"/>
          </w:tcPr>
          <w:p>
            <w:pPr>
              <w:spacing w:before="0" w:after="40" w:line="252" w:lineRule="auto"/>
              <w:jc w:val="left"/>
            </w:pPr>
            <w:r/>
            <w:r>
              <w:rPr>
                <w:b w:val="0"/>
                <w:sz w:val="16"/>
              </w:rPr>
              <w:t>Llama-3.3-70B</w:t>
            </w:r>
          </w:p>
        </w:tc>
        <w:tc>
          <w:tcPr>
            <w:tcW w:type="dxa" w:w="1800"/>
            <w:vAlign w:val="center"/>
          </w:tcPr>
          <w:p>
            <w:pPr>
              <w:spacing w:before="0" w:after="40" w:line="252" w:lineRule="auto"/>
              <w:jc w:val="center"/>
            </w:pPr>
            <w:r/>
            <w:r>
              <w:rPr>
                <w:b w:val="0"/>
                <w:sz w:val="16"/>
              </w:rPr>
              <w:t>Recall lower</w:t>
            </w:r>
          </w:p>
        </w:tc>
        <w:tc>
          <w:tcPr>
            <w:tcW w:type="dxa" w:w="4608"/>
            <w:vAlign w:val="center"/>
          </w:tcPr>
          <w:p>
            <w:pPr>
              <w:spacing w:before="0" w:after="40" w:line="252" w:lineRule="auto"/>
              <w:jc w:val="center"/>
            </w:pPr>
            <w:r/>
            <w:r>
              <w:rPr>
                <w:b w:val="0"/>
                <w:sz w:val="16"/>
              </w:rPr>
              <w:t>ODD+game had -10 TP and +10 FN, mostly because it missed the sequential social-learning capacitor-adoption AS 11 times. The added context likely made the model merge learning into capacitor adoption instead of extracting it separately.</w:t>
            </w:r>
          </w:p>
        </w:tc>
      </w:tr>
      <w:tr>
        <w:trPr>
          <w:cantSplit/>
        </w:trPr>
        <w:tc>
          <w:tcPr>
            <w:tcW w:type="dxa" w:w="1152"/>
            <w:vAlign w:val="center"/>
          </w:tcPr>
          <w:p>
            <w:pPr>
              <w:spacing w:before="0" w:after="40" w:line="252" w:lineRule="auto"/>
              <w:jc w:val="left"/>
            </w:pPr>
            <w:r/>
            <w:r>
              <w:rPr>
                <w:b w:val="0"/>
                <w:sz w:val="16"/>
              </w:rPr>
              <w:t>Electricity</w:t>
            </w:r>
          </w:p>
        </w:tc>
        <w:tc>
          <w:tcPr>
            <w:tcW w:type="dxa" w:w="1512"/>
            <w:vAlign w:val="center"/>
          </w:tcPr>
          <w:p>
            <w:pPr>
              <w:spacing w:before="0" w:after="40" w:line="252" w:lineRule="auto"/>
              <w:jc w:val="left"/>
            </w:pPr>
            <w:r/>
            <w:r>
              <w:rPr>
                <w:b w:val="0"/>
                <w:sz w:val="16"/>
              </w:rPr>
              <w:t>Qwen2.5-7B</w:t>
            </w:r>
          </w:p>
        </w:tc>
        <w:tc>
          <w:tcPr>
            <w:tcW w:type="dxa" w:w="1800"/>
            <w:vAlign w:val="center"/>
          </w:tcPr>
          <w:p>
            <w:pPr>
              <w:spacing w:before="0" w:after="40" w:line="252" w:lineRule="auto"/>
              <w:jc w:val="center"/>
            </w:pPr>
            <w:r/>
            <w:r>
              <w:rPr>
                <w:b w:val="0"/>
                <w:sz w:val="16"/>
              </w:rPr>
              <w:t>Precision lower</w:t>
            </w:r>
          </w:p>
        </w:tc>
        <w:tc>
          <w:tcPr>
            <w:tcW w:type="dxa" w:w="4608"/>
            <w:vAlign w:val="center"/>
          </w:tcPr>
          <w:p>
            <w:pPr>
              <w:spacing w:before="0" w:after="40" w:line="252" w:lineRule="auto"/>
              <w:jc w:val="center"/>
            </w:pPr>
            <w:r/>
            <w:r>
              <w:rPr>
                <w:b w:val="0"/>
                <w:sz w:val="16"/>
              </w:rPr>
              <w:t>ODD+game reached perfect recall but FP increased by 51. Most FP were duplicates, with some wrong AS7-AS10 style outputs such as bounded rationality, grid reliability, and social norms.</w:t>
            </w:r>
          </w:p>
        </w:tc>
      </w:tr>
    </w:tbl>
    <w:p/>
    <w:p>
      <w:pPr>
        <w:pStyle w:val="Heading1"/>
        <w:keepNext/>
      </w:pPr>
      <w:r>
        <w:t>6. Interpretation</w:t>
      </w:r>
    </w:p>
    <w:p>
      <w:pPr>
        <w:pStyle w:val="ListBullet"/>
        <w:spacing w:after="60"/>
      </w:pPr>
      <w:r>
        <w:t>ODD+game is most useful when the added scenario clarifies the correct strategic structure without inviting new standalone AS labels.</w:t>
      </w:r>
    </w:p>
    <w:p>
      <w:pPr>
        <w:pStyle w:val="ListBullet"/>
        <w:spacing w:after="60"/>
      </w:pPr>
      <w:r>
        <w:t>DeepSeek-R1 benefited most clearly in the electricity case: TP increased from 164 to 180, FN dropped from 16 to 0, and FP dropped from 12 to 4.</w:t>
      </w:r>
    </w:p>
    <w:p>
      <w:pPr>
        <w:pStyle w:val="ListBullet"/>
        <w:spacing w:after="60"/>
      </w:pPr>
      <w:r>
        <w:t>For water-use, the hard AS is AS2, the fish extraction common-pool resource game. All models missed it more often than AS1, and many FP-wrong titles drifted into ecological-threshold or fish-reproduction themes.</w:t>
      </w:r>
    </w:p>
    <w:p>
      <w:pPr>
        <w:pStyle w:val="ListBullet"/>
        <w:spacing w:after="60"/>
      </w:pPr>
      <w:r>
        <w:t>For electricity, Qwen2.5-7B showed the classic high-recall, low-precision pattern: it found every correct AS under ODD+game, but it generated many duplicate or extra ASs.</w:t>
      </w:r>
    </w:p>
    <w:p>
      <w:pPr>
        <w:pStyle w:val="ListBullet"/>
        <w:spacing w:after="60"/>
      </w:pPr>
      <w:r>
        <w:t>The most trustworthy quality judgment should therefore use both aggregate metrics and AS-level audit files, not just whether ODD+game has higher recall.</w:t>
      </w:r>
    </w:p>
    <w:p>
      <w:pPr>
        <w:pStyle w:val="Heading1"/>
        <w:keepNext/>
      </w:pPr>
      <w:r>
        <w:t>7. Source Artifacts</w:t>
      </w:r>
    </w:p>
    <w:tbl>
      <w:tblPr>
        <w:tblW w:type="auto" w:w="0"/>
        <w:jc w:val="center"/>
        <w:tblLayout w:type="fixed"/>
        <w:tblLook w:firstColumn="1" w:firstRow="1" w:lastColumn="0" w:lastRow="0" w:noHBand="0" w:noVBand="1" w:val="04A0"/>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Pr>
      <w:tblGrid>
        <w:gridCol w:w="4680"/>
        <w:gridCol w:w="4680"/>
      </w:tblGrid>
      <w:tr>
        <w:trPr>
          <w:tblHeader w:val="true"/>
          <w:cantSplit/>
        </w:trPr>
        <w:tc>
          <w:tcPr>
            <w:tcW w:type="dxa" w:w="1944"/>
            <w:shd w:fill="F2F4F7"/>
            <w:vAlign w:val="center"/>
          </w:tcPr>
          <w:p>
            <w:pPr>
              <w:spacing w:before="0" w:after="40" w:line="252" w:lineRule="auto"/>
              <w:jc w:val="center"/>
            </w:pPr>
            <w:r/>
            <w:r>
              <w:rPr>
                <w:b/>
                <w:color w:val="0B2545"/>
                <w:sz w:val="16"/>
              </w:rPr>
              <w:t>Artifact type</w:t>
            </w:r>
          </w:p>
        </w:tc>
        <w:tc>
          <w:tcPr>
            <w:tcW w:type="dxa" w:w="7128"/>
            <w:shd w:fill="F2F4F7"/>
            <w:vAlign w:val="center"/>
          </w:tcPr>
          <w:p>
            <w:pPr>
              <w:spacing w:before="0" w:after="40" w:line="252" w:lineRule="auto"/>
              <w:jc w:val="center"/>
            </w:pPr>
            <w:r/>
            <w:r>
              <w:rPr>
                <w:b/>
                <w:color w:val="0B2545"/>
                <w:sz w:val="16"/>
              </w:rPr>
              <w:t>Path</w:t>
            </w:r>
          </w:p>
        </w:tc>
      </w:tr>
      <w:tr>
        <w:trPr>
          <w:cantSplit/>
        </w:trPr>
        <w:tc>
          <w:tcPr>
            <w:tcW w:type="dxa" w:w="1944"/>
            <w:vAlign w:val="center"/>
          </w:tcPr>
          <w:p>
            <w:pPr>
              <w:spacing w:before="0" w:after="40" w:line="252" w:lineRule="auto"/>
              <w:jc w:val="center"/>
            </w:pPr>
            <w:r/>
            <w:r>
              <w:rPr>
                <w:b w:val="0"/>
                <w:sz w:val="16"/>
              </w:rPr>
              <w:t>Water comparison report</w:t>
            </w:r>
          </w:p>
        </w:tc>
        <w:tc>
          <w:tcPr>
            <w:tcW w:type="dxa" w:w="7128"/>
            <w:vAlign w:val="center"/>
          </w:tcPr>
          <w:p>
            <w:pPr>
              <w:spacing w:before="0" w:after="40" w:line="252" w:lineRule="auto"/>
              <w:jc w:val="left"/>
            </w:pPr>
            <w:r/>
            <w:r>
              <w:rPr>
                <w:b w:val="0"/>
                <w:sz w:val="16"/>
              </w:rPr>
              <w:t>ODD_water/Water_evaluation_comparison_ODD+game_stuff_vs_ODD-only.txt</w:t>
            </w:r>
          </w:p>
        </w:tc>
      </w:tr>
      <w:tr>
        <w:trPr>
          <w:cantSplit/>
        </w:trPr>
        <w:tc>
          <w:tcPr>
            <w:tcW w:type="dxa" w:w="1944"/>
            <w:vAlign w:val="center"/>
          </w:tcPr>
          <w:p>
            <w:pPr>
              <w:spacing w:before="0" w:after="40" w:line="252" w:lineRule="auto"/>
              <w:jc w:val="center"/>
            </w:pPr>
            <w:r/>
            <w:r>
              <w:rPr>
                <w:b w:val="0"/>
                <w:sz w:val="16"/>
              </w:rPr>
              <w:t>Water AS-level audit, ODD+game</w:t>
            </w:r>
          </w:p>
        </w:tc>
        <w:tc>
          <w:tcPr>
            <w:tcW w:type="dxa" w:w="7128"/>
            <w:vAlign w:val="center"/>
          </w:tcPr>
          <w:p>
            <w:pPr>
              <w:spacing w:before="0" w:after="40" w:line="252" w:lineRule="auto"/>
              <w:jc w:val="left"/>
            </w:pPr>
            <w:r/>
            <w:r>
              <w:rPr>
                <w:b w:val="0"/>
                <w:sz w:val="16"/>
              </w:rPr>
              <w:t>ODD_water/Batch_30Runs/Water_evaluation_as_level_ODD+game_stuff.csv</w:t>
            </w:r>
          </w:p>
        </w:tc>
      </w:tr>
      <w:tr>
        <w:trPr>
          <w:cantSplit/>
        </w:trPr>
        <w:tc>
          <w:tcPr>
            <w:tcW w:type="dxa" w:w="1944"/>
            <w:vAlign w:val="center"/>
          </w:tcPr>
          <w:p>
            <w:pPr>
              <w:spacing w:before="0" w:after="40" w:line="252" w:lineRule="auto"/>
              <w:jc w:val="center"/>
            </w:pPr>
            <w:r/>
            <w:r>
              <w:rPr>
                <w:b w:val="0"/>
                <w:sz w:val="16"/>
              </w:rPr>
              <w:t>Water AS-level audit, ODD-only</w:t>
            </w:r>
          </w:p>
        </w:tc>
        <w:tc>
          <w:tcPr>
            <w:tcW w:type="dxa" w:w="7128"/>
            <w:vAlign w:val="center"/>
          </w:tcPr>
          <w:p>
            <w:pPr>
              <w:spacing w:before="0" w:after="40" w:line="252" w:lineRule="auto"/>
              <w:jc w:val="left"/>
            </w:pPr>
            <w:r/>
            <w:r>
              <w:rPr>
                <w:b w:val="0"/>
                <w:sz w:val="16"/>
              </w:rPr>
              <w:t>ODD_water/Batch_30Runs_ODDOnly/Water_evaluation_as_level_ODD-only.csv</w:t>
            </w:r>
          </w:p>
        </w:tc>
      </w:tr>
      <w:tr>
        <w:trPr>
          <w:cantSplit/>
        </w:trPr>
        <w:tc>
          <w:tcPr>
            <w:tcW w:type="dxa" w:w="1944"/>
            <w:vAlign w:val="center"/>
          </w:tcPr>
          <w:p>
            <w:pPr>
              <w:spacing w:before="0" w:after="40" w:line="252" w:lineRule="auto"/>
              <w:jc w:val="center"/>
            </w:pPr>
            <w:r/>
            <w:r>
              <w:rPr>
                <w:b w:val="0"/>
                <w:sz w:val="16"/>
              </w:rPr>
              <w:t>Electricity comparison report</w:t>
            </w:r>
          </w:p>
        </w:tc>
        <w:tc>
          <w:tcPr>
            <w:tcW w:type="dxa" w:w="7128"/>
            <w:vAlign w:val="center"/>
          </w:tcPr>
          <w:p>
            <w:pPr>
              <w:spacing w:before="0" w:after="40" w:line="252" w:lineRule="auto"/>
              <w:jc w:val="left"/>
            </w:pPr>
            <w:r/>
            <w:r>
              <w:rPr>
                <w:b w:val="0"/>
                <w:sz w:val="16"/>
              </w:rPr>
              <w:t>ODD_electricity/Electricity_evaluation_comparison_ODD+game_stuff_vs_ODD-only.txt</w:t>
            </w:r>
          </w:p>
        </w:tc>
      </w:tr>
      <w:tr>
        <w:trPr>
          <w:cantSplit/>
        </w:trPr>
        <w:tc>
          <w:tcPr>
            <w:tcW w:type="dxa" w:w="1944"/>
            <w:vAlign w:val="center"/>
          </w:tcPr>
          <w:p>
            <w:pPr>
              <w:spacing w:before="0" w:after="40" w:line="252" w:lineRule="auto"/>
              <w:jc w:val="center"/>
            </w:pPr>
            <w:r/>
            <w:r>
              <w:rPr>
                <w:b w:val="0"/>
                <w:sz w:val="16"/>
              </w:rPr>
              <w:t>Electricity AS-level audit, ODD+game</w:t>
            </w:r>
          </w:p>
        </w:tc>
        <w:tc>
          <w:tcPr>
            <w:tcW w:type="dxa" w:w="7128"/>
            <w:vAlign w:val="center"/>
          </w:tcPr>
          <w:p>
            <w:pPr>
              <w:spacing w:before="0" w:after="40" w:line="252" w:lineRule="auto"/>
              <w:jc w:val="left"/>
            </w:pPr>
            <w:r/>
            <w:r>
              <w:rPr>
                <w:b w:val="0"/>
                <w:sz w:val="16"/>
              </w:rPr>
              <w:t>ODD_electricity/Batch_30Runs/Electricity_evaluation_as_level_ODD+game_stuff.csv</w:t>
            </w:r>
          </w:p>
        </w:tc>
      </w:tr>
      <w:tr>
        <w:trPr>
          <w:cantSplit/>
        </w:trPr>
        <w:tc>
          <w:tcPr>
            <w:tcW w:type="dxa" w:w="1944"/>
            <w:vAlign w:val="center"/>
          </w:tcPr>
          <w:p>
            <w:pPr>
              <w:spacing w:before="0" w:after="40" w:line="252" w:lineRule="auto"/>
              <w:jc w:val="center"/>
            </w:pPr>
            <w:r/>
            <w:r>
              <w:rPr>
                <w:b w:val="0"/>
                <w:sz w:val="16"/>
              </w:rPr>
              <w:t>Electricity AS-level audit, ODD-only</w:t>
            </w:r>
          </w:p>
        </w:tc>
        <w:tc>
          <w:tcPr>
            <w:tcW w:type="dxa" w:w="7128"/>
            <w:vAlign w:val="center"/>
          </w:tcPr>
          <w:p>
            <w:pPr>
              <w:spacing w:before="0" w:after="40" w:line="252" w:lineRule="auto"/>
              <w:jc w:val="left"/>
            </w:pPr>
            <w:r/>
            <w:r>
              <w:rPr>
                <w:b w:val="0"/>
                <w:sz w:val="16"/>
              </w:rPr>
              <w:t>ODD_electricity/Batch_30Runs_ODDOnly/Electricity_evaluation_as_level_ODD-only.csv</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7"/>
      </w:rPr>
      <w:t>ODD AS Extraction Evaluation Report | 2026-05-11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Calibri" w:hAnsi="Calibri" w:eastAsia="Calibri"/>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pPr>
    <w:rPr>
      <w:rFonts w:ascii="Calibri" w:hAnsi="Calibri"/>
      <w:b/>
      <w:bCs/>
      <w:color w:val="1F4D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