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57683" w14:textId="77777777" w:rsidR="000802C2" w:rsidRDefault="00000000" w:rsidP="003D391D">
      <w:pPr>
        <w:spacing w:before="680" w:after="160" w:line="252" w:lineRule="auto"/>
        <w:jc w:val="center"/>
        <w:rPr>
          <w:lang w:eastAsia="zh-CN"/>
        </w:rPr>
      </w:pPr>
      <w:r>
        <w:rPr>
          <w:b/>
          <w:color w:val="000000"/>
          <w:sz w:val="44"/>
        </w:rPr>
        <w:t>EV-Parking Shared Charging Case Study</w:t>
      </w:r>
    </w:p>
    <w:p w14:paraId="2BE05D40" w14:textId="77777777" w:rsidR="000802C2" w:rsidRDefault="00000000">
      <w:pPr>
        <w:keepNext/>
        <w:keepLines/>
        <w:spacing w:before="360" w:after="160"/>
      </w:pPr>
      <w:r>
        <w:rPr>
          <w:b/>
          <w:color w:val="2E74B5"/>
          <w:sz w:val="32"/>
        </w:rPr>
        <w:t>Abstract</w:t>
      </w:r>
    </w:p>
    <w:p w14:paraId="59663C09" w14:textId="77777777" w:rsidR="000802C2" w:rsidRDefault="00000000">
      <w:pPr>
        <w:spacing w:after="160" w:line="320" w:lineRule="auto"/>
      </w:pPr>
      <w:r>
        <w:rPr>
          <w:color w:val="000000"/>
        </w:rPr>
        <w:t>This report explains why the EV-parking case is a useful and defensible test case for LLM-based action-situation extraction. The setting is simple on the surface: an apartment garage has a limited number of shared EV chargers. Residents get a discounted per-kWh rate, non-residents pay the regular rate, and everyone has to use the same scarce charging bays. But once we look closer, the real issue is not just charging technology or price. It is how people share access fairly when the queue is crowded, information is imperfect, enforcement is uneven, and users can benefit by bending the rules.</w:t>
      </w:r>
    </w:p>
    <w:p w14:paraId="421A12AA" w14:textId="77777777" w:rsidR="000802C2" w:rsidRDefault="00000000">
      <w:pPr>
        <w:spacing w:after="160" w:line="320" w:lineRule="auto"/>
      </w:pPr>
      <w:r>
        <w:rPr>
          <w:color w:val="000000"/>
        </w:rPr>
        <w:t>The case draws on three layers of prior work. Müller et al. (2013) provide the ODD+D protocol for describing human decisions in agent-based models. Kimmich (2013) shows why infrastructure outcomes often depend on linked action situations rather than one isolated choice. Bekius and Meijer (2020) help us choose the right game concept for a real decision process. EV-charging studies then give the empirical grounding: multi-unit dwelling residents need shared charging access, property managers face real deployment constraints, fair scheduling matters, and overstaying can damage charger availability. From those ingredients, we design six expected action situations: queue compliance, sequential learning, shared capacity contribution, informal priority exchange, complaint/enforcement coordination, and common-pool charger occupancy.</w:t>
      </w:r>
    </w:p>
    <w:p w14:paraId="7D4AE516" w14:textId="77777777" w:rsidR="000802C2" w:rsidRDefault="00000000">
      <w:pPr>
        <w:spacing w:after="160" w:line="320" w:lineRule="auto"/>
      </w:pPr>
      <w:r>
        <w:rPr>
          <w:color w:val="000000"/>
        </w:rPr>
        <w:t>It also adds a prior-knowledge testing step so the main experiment can be interpreted as a black-box evaluation rather than a memory check.</w:t>
      </w:r>
    </w:p>
    <w:p w14:paraId="3D437B52" w14:textId="77777777" w:rsidR="006B4C9C" w:rsidRDefault="00000000">
      <w:pPr>
        <w:spacing w:after="160" w:line="300" w:lineRule="auto"/>
      </w:pPr>
      <w:r>
        <w:rPr>
          <w:color w:val="000000"/>
          <w:sz w:val="21"/>
        </w:rPr>
        <w:t>It also reports the 30-run experimental comparison, showing how ODD+game changes TP, FN, FP, Precision, and Recall relative to ODD-only.</w:t>
      </w:r>
    </w:p>
    <w:p w14:paraId="60DEDC11" w14:textId="12A7B712" w:rsidR="000802C2" w:rsidRDefault="00000000">
      <w:pPr>
        <w:keepNext/>
        <w:keepLines/>
        <w:spacing w:before="360" w:after="160"/>
      </w:pPr>
      <w:r>
        <w:rPr>
          <w:b/>
          <w:color w:val="2E74B5"/>
          <w:sz w:val="32"/>
        </w:rPr>
        <w:t xml:space="preserve">1. </w:t>
      </w:r>
      <w:proofErr w:type="gramStart"/>
      <w:r w:rsidR="00382A08">
        <w:rPr>
          <w:b/>
          <w:color w:val="2E74B5"/>
          <w:sz w:val="32"/>
        </w:rPr>
        <w:t>Background(</w:t>
      </w:r>
      <w:proofErr w:type="gramEnd"/>
      <w:r>
        <w:rPr>
          <w:b/>
          <w:color w:val="2E74B5"/>
          <w:sz w:val="32"/>
        </w:rPr>
        <w:t>Why This Case Study Was Created</w:t>
      </w:r>
      <w:r w:rsidR="00382A08">
        <w:rPr>
          <w:b/>
          <w:color w:val="2E74B5"/>
          <w:sz w:val="32"/>
        </w:rPr>
        <w:t>)</w:t>
      </w:r>
    </w:p>
    <w:p w14:paraId="60AD6BDD" w14:textId="77777777" w:rsidR="000802C2" w:rsidRDefault="00000000">
      <w:pPr>
        <w:spacing w:after="160" w:line="320" w:lineRule="auto"/>
      </w:pPr>
      <w:r>
        <w:rPr>
          <w:color w:val="000000"/>
        </w:rPr>
        <w:t>I chose the EV-parking setting because apartment charging is a practical, familiar example of a shared infrastructure problem. Many residents in multi-unit dwellings cannot simply install a private home charger. If the building has only a few shared chargers, charging becomes a local governance problem: who gets access first, who waits, who moves after charging, and who decides when the rules are broken?</w:t>
      </w:r>
    </w:p>
    <w:p w14:paraId="780FE881" w14:textId="77777777" w:rsidR="000802C2" w:rsidRDefault="00000000">
      <w:pPr>
        <w:spacing w:after="160" w:line="320" w:lineRule="auto"/>
      </w:pPr>
      <w:r>
        <w:rPr>
          <w:color w:val="000000"/>
        </w:rPr>
        <w:lastRenderedPageBreak/>
        <w:t>That makes the case more interesting than a standard EV scheduling problem. Scheduling and pricing still matter, but they do not explain the whole situation. In a real apartment garage, fairness also depends on resident expectations, staff discretion, complaint systems, queue trust, and whether users release the bay when they are done. These are exactly the kinds of institutional details that action-situation analysis is designed to capture.</w:t>
      </w:r>
    </w:p>
    <w:p w14:paraId="15579A4C" w14:textId="77777777" w:rsidR="000802C2" w:rsidRDefault="00000000">
      <w:pPr>
        <w:spacing w:after="160" w:line="320" w:lineRule="auto"/>
      </w:pPr>
      <w:r>
        <w:rPr>
          <w:color w:val="000000"/>
        </w:rPr>
        <w:t>The resident discount is also useful because it creates a realistic tension without turning into a simple priority rule. Residents pay less per kWh, so they may use the chargers more often and may feel a stronger claim to them. Non-residents, meanwhile, pay the regular rate and may expect equal queue treatment once they are allowed into the facility. This lets the model study perceived fairness without making the answer obvious.</w:t>
      </w:r>
    </w:p>
    <w:p w14:paraId="5CC70BA2" w14:textId="77777777" w:rsidR="000802C2" w:rsidRDefault="00000000">
      <w:pPr>
        <w:keepNext/>
        <w:keepLines/>
        <w:spacing w:before="360" w:after="160"/>
      </w:pPr>
      <w:r>
        <w:rPr>
          <w:b/>
          <w:color w:val="2E74B5"/>
          <w:sz w:val="32"/>
        </w:rPr>
        <w:t>2. Evidence Base and Source-to-Design Mapping</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2232"/>
        <w:gridCol w:w="3528"/>
        <w:gridCol w:w="3311"/>
      </w:tblGrid>
      <w:tr w:rsidR="000802C2" w14:paraId="12972E35" w14:textId="77777777">
        <w:trPr>
          <w:jc w:val="center"/>
        </w:trPr>
        <w:tc>
          <w:tcPr>
            <w:tcW w:w="2232" w:type="dxa"/>
            <w:shd w:val="clear" w:color="auto" w:fill="E8EEF5"/>
            <w:tcMar>
              <w:top w:w="80" w:type="dxa"/>
              <w:left w:w="120" w:type="dxa"/>
              <w:bottom w:w="80" w:type="dxa"/>
              <w:right w:w="120" w:type="dxa"/>
            </w:tcMar>
            <w:vAlign w:val="center"/>
          </w:tcPr>
          <w:p w14:paraId="5B161E44" w14:textId="77777777" w:rsidR="000802C2" w:rsidRDefault="00000000">
            <w:pPr>
              <w:spacing w:after="0"/>
            </w:pPr>
            <w:r>
              <w:rPr>
                <w:b/>
                <w:color w:val="1F4D78"/>
                <w:sz w:val="18"/>
              </w:rPr>
              <w:t>Source cluster</w:t>
            </w:r>
          </w:p>
        </w:tc>
        <w:tc>
          <w:tcPr>
            <w:tcW w:w="3528" w:type="dxa"/>
            <w:shd w:val="clear" w:color="auto" w:fill="E8EEF5"/>
            <w:tcMar>
              <w:top w:w="80" w:type="dxa"/>
              <w:left w:w="120" w:type="dxa"/>
              <w:bottom w:w="80" w:type="dxa"/>
              <w:right w:w="120" w:type="dxa"/>
            </w:tcMar>
            <w:vAlign w:val="center"/>
          </w:tcPr>
          <w:p w14:paraId="7A93FD6D" w14:textId="77777777" w:rsidR="000802C2" w:rsidRDefault="00000000">
            <w:pPr>
              <w:spacing w:after="0"/>
            </w:pPr>
            <w:r>
              <w:rPr>
                <w:b/>
                <w:color w:val="1F4D78"/>
                <w:sz w:val="18"/>
              </w:rPr>
              <w:t>What the literature gives us</w:t>
            </w:r>
          </w:p>
        </w:tc>
        <w:tc>
          <w:tcPr>
            <w:tcW w:w="3311" w:type="dxa"/>
            <w:shd w:val="clear" w:color="auto" w:fill="E8EEF5"/>
            <w:tcMar>
              <w:top w:w="80" w:type="dxa"/>
              <w:left w:w="120" w:type="dxa"/>
              <w:bottom w:w="80" w:type="dxa"/>
              <w:right w:w="120" w:type="dxa"/>
            </w:tcMar>
            <w:vAlign w:val="center"/>
          </w:tcPr>
          <w:p w14:paraId="1A6E3FED" w14:textId="77777777" w:rsidR="000802C2" w:rsidRDefault="00000000">
            <w:pPr>
              <w:spacing w:after="0"/>
            </w:pPr>
            <w:r>
              <w:rPr>
                <w:b/>
                <w:color w:val="1F4D78"/>
                <w:sz w:val="18"/>
              </w:rPr>
              <w:t>How we used it in the EV-parking case</w:t>
            </w:r>
          </w:p>
        </w:tc>
      </w:tr>
      <w:tr w:rsidR="000802C2" w14:paraId="45DE9063" w14:textId="77777777">
        <w:trPr>
          <w:jc w:val="center"/>
        </w:trPr>
        <w:tc>
          <w:tcPr>
            <w:tcW w:w="2232" w:type="dxa"/>
            <w:tcMar>
              <w:top w:w="80" w:type="dxa"/>
              <w:left w:w="120" w:type="dxa"/>
              <w:bottom w:w="80" w:type="dxa"/>
              <w:right w:w="120" w:type="dxa"/>
            </w:tcMar>
            <w:vAlign w:val="center"/>
          </w:tcPr>
          <w:p w14:paraId="4CD46931" w14:textId="77777777" w:rsidR="000802C2" w:rsidRDefault="00000000">
            <w:pPr>
              <w:spacing w:after="0"/>
            </w:pPr>
            <w:r>
              <w:rPr>
                <w:color w:val="000000"/>
                <w:sz w:val="16"/>
              </w:rPr>
              <w:t>ODD+D and action-situation method</w:t>
            </w:r>
          </w:p>
        </w:tc>
        <w:tc>
          <w:tcPr>
            <w:tcW w:w="3528" w:type="dxa"/>
            <w:tcMar>
              <w:top w:w="80" w:type="dxa"/>
              <w:left w:w="120" w:type="dxa"/>
              <w:bottom w:w="80" w:type="dxa"/>
              <w:right w:w="120" w:type="dxa"/>
            </w:tcMar>
            <w:vAlign w:val="center"/>
          </w:tcPr>
          <w:p w14:paraId="0BD450A6" w14:textId="77777777" w:rsidR="000802C2" w:rsidRDefault="00000000">
            <w:pPr>
              <w:spacing w:after="0"/>
            </w:pPr>
            <w:r>
              <w:rPr>
                <w:color w:val="000000"/>
                <w:sz w:val="16"/>
              </w:rPr>
              <w:t>Müller et al. (2013) give us the ODD+D language for writing human decisions into an ABM. Kimmich (2013) shows why one focal outcome often depends on several linked action situations.</w:t>
            </w:r>
          </w:p>
        </w:tc>
        <w:tc>
          <w:tcPr>
            <w:tcW w:w="3311" w:type="dxa"/>
            <w:tcMar>
              <w:top w:w="80" w:type="dxa"/>
              <w:left w:w="120" w:type="dxa"/>
              <w:bottom w:w="80" w:type="dxa"/>
              <w:right w:w="120" w:type="dxa"/>
            </w:tcMar>
            <w:vAlign w:val="center"/>
          </w:tcPr>
          <w:p w14:paraId="6B26AD98" w14:textId="77777777" w:rsidR="000802C2" w:rsidRDefault="00000000">
            <w:pPr>
              <w:spacing w:after="0"/>
            </w:pPr>
            <w:r>
              <w:rPr>
                <w:color w:val="000000"/>
                <w:sz w:val="16"/>
              </w:rPr>
              <w:t>We keep the ODD+D file as the stable model description, then use a separate scenario to add behavioural context without giving away the AS labels.</w:t>
            </w:r>
          </w:p>
        </w:tc>
      </w:tr>
      <w:tr w:rsidR="000802C2" w14:paraId="19F9021C" w14:textId="77777777">
        <w:trPr>
          <w:jc w:val="center"/>
        </w:trPr>
        <w:tc>
          <w:tcPr>
            <w:tcW w:w="2232" w:type="dxa"/>
            <w:tcMar>
              <w:top w:w="80" w:type="dxa"/>
              <w:left w:w="120" w:type="dxa"/>
              <w:bottom w:w="80" w:type="dxa"/>
              <w:right w:w="120" w:type="dxa"/>
            </w:tcMar>
            <w:vAlign w:val="center"/>
          </w:tcPr>
          <w:p w14:paraId="0655FCA9" w14:textId="77777777" w:rsidR="000802C2" w:rsidRDefault="00000000">
            <w:pPr>
              <w:spacing w:after="0"/>
            </w:pPr>
            <w:r>
              <w:rPr>
                <w:color w:val="000000"/>
                <w:sz w:val="16"/>
              </w:rPr>
              <w:t>Multi-unit dwelling charging demand</w:t>
            </w:r>
          </w:p>
        </w:tc>
        <w:tc>
          <w:tcPr>
            <w:tcW w:w="3528" w:type="dxa"/>
            <w:tcMar>
              <w:top w:w="80" w:type="dxa"/>
              <w:left w:w="120" w:type="dxa"/>
              <w:bottom w:w="80" w:type="dxa"/>
              <w:right w:w="120" w:type="dxa"/>
            </w:tcMar>
            <w:vAlign w:val="center"/>
          </w:tcPr>
          <w:p w14:paraId="2BCA98F1" w14:textId="77777777" w:rsidR="000802C2" w:rsidRDefault="00000000">
            <w:pPr>
              <w:spacing w:after="0"/>
            </w:pPr>
            <w:r>
              <w:rPr>
                <w:color w:val="000000"/>
                <w:sz w:val="16"/>
              </w:rPr>
              <w:t>Cheng and Kontou (2023) show why MUD residents matter: many cannot rely on private home charging, so shared charging access becomes a real constraint.</w:t>
            </w:r>
          </w:p>
        </w:tc>
        <w:tc>
          <w:tcPr>
            <w:tcW w:w="3311" w:type="dxa"/>
            <w:tcMar>
              <w:top w:w="80" w:type="dxa"/>
              <w:left w:w="120" w:type="dxa"/>
              <w:bottom w:w="80" w:type="dxa"/>
              <w:right w:w="120" w:type="dxa"/>
            </w:tcMar>
            <w:vAlign w:val="center"/>
          </w:tcPr>
          <w:p w14:paraId="165A1C36" w14:textId="77777777" w:rsidR="000802C2" w:rsidRDefault="00000000">
            <w:pPr>
              <w:spacing w:after="0"/>
            </w:pPr>
            <w:r>
              <w:rPr>
                <w:color w:val="000000"/>
                <w:sz w:val="16"/>
              </w:rPr>
              <w:t>That is why the case is set in an apartment garage rather than a generic public charging station.</w:t>
            </w:r>
          </w:p>
        </w:tc>
      </w:tr>
      <w:tr w:rsidR="000802C2" w14:paraId="7D5C6808" w14:textId="77777777">
        <w:trPr>
          <w:jc w:val="center"/>
        </w:trPr>
        <w:tc>
          <w:tcPr>
            <w:tcW w:w="2232" w:type="dxa"/>
            <w:tcMar>
              <w:top w:w="80" w:type="dxa"/>
              <w:left w:w="120" w:type="dxa"/>
              <w:bottom w:w="80" w:type="dxa"/>
              <w:right w:w="120" w:type="dxa"/>
            </w:tcMar>
            <w:vAlign w:val="center"/>
          </w:tcPr>
          <w:p w14:paraId="00D2B262" w14:textId="77777777" w:rsidR="000802C2" w:rsidRDefault="00000000">
            <w:pPr>
              <w:spacing w:after="0"/>
            </w:pPr>
            <w:r>
              <w:rPr>
                <w:color w:val="000000"/>
                <w:sz w:val="16"/>
              </w:rPr>
              <w:t>MURB deployment barriers and property management</w:t>
            </w:r>
          </w:p>
        </w:tc>
        <w:tc>
          <w:tcPr>
            <w:tcW w:w="3528" w:type="dxa"/>
            <w:tcMar>
              <w:top w:w="80" w:type="dxa"/>
              <w:left w:w="120" w:type="dxa"/>
              <w:bottom w:w="80" w:type="dxa"/>
              <w:right w:w="120" w:type="dxa"/>
            </w:tcMar>
            <w:vAlign w:val="center"/>
          </w:tcPr>
          <w:p w14:paraId="2E1214A5" w14:textId="77777777" w:rsidR="000802C2" w:rsidRDefault="00000000">
            <w:pPr>
              <w:spacing w:after="0"/>
            </w:pPr>
            <w:r>
              <w:rPr>
                <w:color w:val="000000"/>
                <w:sz w:val="16"/>
              </w:rPr>
              <w:t>Lopez-Behar et al. and Cordova-Cruzatty et al. point to installation costs, retrofitting limits, and the active role of property managers.</w:t>
            </w:r>
          </w:p>
        </w:tc>
        <w:tc>
          <w:tcPr>
            <w:tcW w:w="3311" w:type="dxa"/>
            <w:tcMar>
              <w:top w:w="80" w:type="dxa"/>
              <w:left w:w="120" w:type="dxa"/>
              <w:bottom w:w="80" w:type="dxa"/>
              <w:right w:w="120" w:type="dxa"/>
            </w:tcMar>
            <w:vAlign w:val="center"/>
          </w:tcPr>
          <w:p w14:paraId="06AEDCE1" w14:textId="77777777" w:rsidR="000802C2" w:rsidRDefault="00000000">
            <w:pPr>
              <w:spacing w:after="0"/>
            </w:pPr>
            <w:r>
              <w:rPr>
                <w:color w:val="000000"/>
                <w:sz w:val="16"/>
              </w:rPr>
              <w:t>Management, staff discretion, complaints, and capacity investment are model mechanisms, not background details.</w:t>
            </w:r>
          </w:p>
        </w:tc>
      </w:tr>
      <w:tr w:rsidR="000802C2" w14:paraId="63184CFE" w14:textId="77777777">
        <w:trPr>
          <w:jc w:val="center"/>
        </w:trPr>
        <w:tc>
          <w:tcPr>
            <w:tcW w:w="2232" w:type="dxa"/>
            <w:tcMar>
              <w:top w:w="80" w:type="dxa"/>
              <w:left w:w="120" w:type="dxa"/>
              <w:bottom w:w="80" w:type="dxa"/>
              <w:right w:w="120" w:type="dxa"/>
            </w:tcMar>
            <w:vAlign w:val="center"/>
          </w:tcPr>
          <w:p w14:paraId="5D0FFD9E" w14:textId="77777777" w:rsidR="000802C2" w:rsidRDefault="00000000">
            <w:pPr>
              <w:spacing w:after="0"/>
            </w:pPr>
            <w:r>
              <w:rPr>
                <w:color w:val="000000"/>
                <w:sz w:val="16"/>
              </w:rPr>
              <w:t>Fair charging and queueing</w:t>
            </w:r>
          </w:p>
        </w:tc>
        <w:tc>
          <w:tcPr>
            <w:tcW w:w="3528" w:type="dxa"/>
            <w:tcMar>
              <w:top w:w="80" w:type="dxa"/>
              <w:left w:w="120" w:type="dxa"/>
              <w:bottom w:w="80" w:type="dxa"/>
              <w:right w:w="120" w:type="dxa"/>
            </w:tcMar>
            <w:vAlign w:val="center"/>
          </w:tcPr>
          <w:p w14:paraId="49817E79" w14:textId="77777777" w:rsidR="000802C2" w:rsidRDefault="00000000">
            <w:pPr>
              <w:spacing w:after="0"/>
            </w:pPr>
            <w:r>
              <w:rPr>
                <w:color w:val="000000"/>
                <w:sz w:val="16"/>
              </w:rPr>
              <w:t>Danner and de Meer (2021) and Monteiro et al. (2025) help frame charging as a fairness and service-allocation problem, not just an energy-delivery problem.</w:t>
            </w:r>
          </w:p>
        </w:tc>
        <w:tc>
          <w:tcPr>
            <w:tcW w:w="3311" w:type="dxa"/>
            <w:tcMar>
              <w:top w:w="80" w:type="dxa"/>
              <w:left w:w="120" w:type="dxa"/>
              <w:bottom w:w="80" w:type="dxa"/>
              <w:right w:w="120" w:type="dxa"/>
            </w:tcMar>
            <w:vAlign w:val="center"/>
          </w:tcPr>
          <w:p w14:paraId="07DDCD44" w14:textId="77777777" w:rsidR="000802C2" w:rsidRDefault="00000000">
            <w:pPr>
              <w:spacing w:after="0"/>
            </w:pPr>
            <w:r>
              <w:rPr>
                <w:color w:val="000000"/>
                <w:sz w:val="16"/>
              </w:rPr>
              <w:t>We evaluate waiting time, queue violations, perceived legitimacy, and user access, not only kWh delivered or station revenue.</w:t>
            </w:r>
          </w:p>
        </w:tc>
      </w:tr>
      <w:tr w:rsidR="000802C2" w14:paraId="49C02B8D" w14:textId="77777777">
        <w:trPr>
          <w:jc w:val="center"/>
        </w:trPr>
        <w:tc>
          <w:tcPr>
            <w:tcW w:w="2232" w:type="dxa"/>
            <w:tcMar>
              <w:top w:w="80" w:type="dxa"/>
              <w:left w:w="120" w:type="dxa"/>
              <w:bottom w:w="80" w:type="dxa"/>
              <w:right w:w="120" w:type="dxa"/>
            </w:tcMar>
            <w:vAlign w:val="center"/>
          </w:tcPr>
          <w:p w14:paraId="364E9B51" w14:textId="77777777" w:rsidR="000802C2" w:rsidRDefault="00000000">
            <w:pPr>
              <w:spacing w:after="0"/>
            </w:pPr>
            <w:r>
              <w:rPr>
                <w:color w:val="000000"/>
                <w:sz w:val="16"/>
              </w:rPr>
              <w:t>Parking-structure scheduling and overstaying</w:t>
            </w:r>
          </w:p>
        </w:tc>
        <w:tc>
          <w:tcPr>
            <w:tcW w:w="3528" w:type="dxa"/>
            <w:tcMar>
              <w:top w:w="80" w:type="dxa"/>
              <w:left w:w="120" w:type="dxa"/>
              <w:bottom w:w="80" w:type="dxa"/>
              <w:right w:w="120" w:type="dxa"/>
            </w:tcMar>
            <w:vAlign w:val="center"/>
          </w:tcPr>
          <w:p w14:paraId="00A9539D" w14:textId="77777777" w:rsidR="000802C2" w:rsidRDefault="00000000">
            <w:pPr>
              <w:spacing w:after="0"/>
            </w:pPr>
            <w:r>
              <w:rPr>
                <w:color w:val="000000"/>
                <w:sz w:val="16"/>
              </w:rPr>
              <w:t>Panayiotou et al. study fair-efficient charging in parking structures; Biswas et al. focus on the practical problem of vehicles staying too long after charging.</w:t>
            </w:r>
          </w:p>
        </w:tc>
        <w:tc>
          <w:tcPr>
            <w:tcW w:w="3311" w:type="dxa"/>
            <w:tcMar>
              <w:top w:w="80" w:type="dxa"/>
              <w:left w:w="120" w:type="dxa"/>
              <w:bottom w:w="80" w:type="dxa"/>
              <w:right w:w="120" w:type="dxa"/>
            </w:tcMar>
            <w:vAlign w:val="center"/>
          </w:tcPr>
          <w:p w14:paraId="7AF951B3" w14:textId="77777777" w:rsidR="000802C2" w:rsidRDefault="00000000">
            <w:pPr>
              <w:spacing w:after="0"/>
            </w:pPr>
            <w:r>
              <w:rPr>
                <w:color w:val="000000"/>
                <w:sz w:val="16"/>
              </w:rPr>
              <w:t>This is where prompt move-out, kWh-only billing, and bay occupation become strategic choices that affect other users.</w:t>
            </w:r>
          </w:p>
        </w:tc>
      </w:tr>
    </w:tbl>
    <w:p w14:paraId="6C539843" w14:textId="77777777" w:rsidR="000802C2" w:rsidRDefault="000802C2">
      <w:pPr>
        <w:spacing w:after="120"/>
      </w:pPr>
    </w:p>
    <w:p w14:paraId="5E052C96" w14:textId="77777777" w:rsidR="000802C2" w:rsidRDefault="00000000">
      <w:pPr>
        <w:keepNext/>
        <w:keepLines/>
        <w:spacing w:before="360" w:after="160"/>
      </w:pPr>
      <w:r>
        <w:rPr>
          <w:b/>
          <w:color w:val="2E74B5"/>
          <w:sz w:val="32"/>
        </w:rPr>
        <w:t>3. Methodological Logic</w:t>
      </w:r>
    </w:p>
    <w:p w14:paraId="078C6610" w14:textId="77777777" w:rsidR="000802C2" w:rsidRDefault="00000000">
      <w:pPr>
        <w:spacing w:after="160" w:line="320" w:lineRule="auto"/>
      </w:pPr>
      <w:r>
        <w:rPr>
          <w:color w:val="000000"/>
        </w:rPr>
        <w:t>Following Müller et al. (2013), the case uses ODD+D because we need more than a list of entities and processes. We need to describe how people decide: what they can observe, what they remember, what they care about, and how they adapt after seeing other users or staff act. ODD+D gives us the structure for writing those human decision elements into the model.</w:t>
      </w:r>
    </w:p>
    <w:p w14:paraId="3034390C" w14:textId="77777777" w:rsidR="000802C2" w:rsidRDefault="00000000">
      <w:pPr>
        <w:spacing w:after="160" w:line="320" w:lineRule="auto"/>
      </w:pPr>
      <w:r>
        <w:rPr>
          <w:color w:val="000000"/>
        </w:rPr>
        <w:lastRenderedPageBreak/>
        <w:t>The ODD file should stay fixed across experiments. It is the formal model description. The game scenario has a different job: it adds the everyday institutional context that makes the strategic tensions visible. It explains things like queue order, resident discounts, overstay, staff discretion, complaints, and off-peak learning. But it should not name the target action situations directly, because then the LLM could simply copy the answer instead of inferring it.</w:t>
      </w:r>
    </w:p>
    <w:p w14:paraId="5E7D54E7" w14:textId="77777777" w:rsidR="000802C2" w:rsidRDefault="00000000">
      <w:pPr>
        <w:spacing w:after="160" w:line="320" w:lineRule="auto"/>
      </w:pPr>
      <w:r>
        <w:rPr>
          <w:color w:val="000000"/>
        </w:rPr>
        <w:t>Kimmich is important here because his paper shows that infrastructure problems often cannot be explained through one focal game alone. In the EV-parking case, queue fairness is shaped by several linked situations: capacity investment, user learning, informal priority, complaint response, and common-pool charger occupation. These linked situations are exactly what we want the LLM to recover.</w:t>
      </w:r>
    </w:p>
    <w:p w14:paraId="092F1011" w14:textId="77777777" w:rsidR="000802C2" w:rsidRDefault="00000000">
      <w:pPr>
        <w:spacing w:after="160" w:line="320" w:lineRule="auto"/>
      </w:pPr>
      <w:r>
        <w:rPr>
          <w:color w:val="000000"/>
        </w:rPr>
        <w:t>Bekius and Meijer add another useful guardrail. They remind us that different real-world interactions need different game concepts. So this case does not force every AS into a single prisoner-dilemma template. Some parts are about compliance, some are about learning, some are about public goods, and some are about common-pool congestion. That mix is what makes the case more realistic.</w:t>
      </w:r>
    </w:p>
    <w:p w14:paraId="6D881019" w14:textId="77777777" w:rsidR="000802C2" w:rsidRDefault="00000000">
      <w:pPr>
        <w:keepNext/>
        <w:keepLines/>
        <w:spacing w:before="360" w:after="160"/>
      </w:pPr>
      <w:r>
        <w:rPr>
          <w:b/>
          <w:color w:val="2E74B5"/>
          <w:sz w:val="32"/>
        </w:rPr>
        <w:t>4. Case Design</w:t>
      </w:r>
    </w:p>
    <w:p w14:paraId="17DE8A91" w14:textId="77777777" w:rsidR="000802C2" w:rsidRDefault="00000000">
      <w:pPr>
        <w:spacing w:after="160" w:line="320" w:lineRule="auto"/>
      </w:pPr>
      <w:r>
        <w:rPr>
          <w:color w:val="000000"/>
        </w:rPr>
        <w:t>The case is set in one apartment parking garage with a small number of chargers and more potential users than available charging bays. Residents and non-residents can both use the chargers. Residents receive a lower per-kWh rate, while non-residents pay the regular price. Everyone is billed by energy consumed, not by the amount of time a vehicle occupies the bay.</w:t>
      </w:r>
    </w:p>
    <w:p w14:paraId="4F769D57" w14:textId="77777777" w:rsidR="000802C2" w:rsidRDefault="00000000">
      <w:pPr>
        <w:spacing w:after="160" w:line="320" w:lineRule="auto"/>
      </w:pPr>
      <w:r>
        <w:rPr>
          <w:color w:val="000000"/>
        </w:rPr>
        <w:t>That last detail matters. If a vehicle is done receiving useful energy but remains plugged in, the owner may pay little or nothing extra while still blocking the next user. This turns overstay and prompt move-out into strategic choices, not just technical events. A driver can gain convenience by staying longer, but that delay is pushed onto everyone waiting behind them.</w:t>
      </w:r>
    </w:p>
    <w:p w14:paraId="147EE315" w14:textId="77777777" w:rsidR="000802C2" w:rsidRDefault="00000000">
      <w:pPr>
        <w:spacing w:after="160" w:line="320" w:lineRule="auto"/>
      </w:pPr>
      <w:r>
        <w:rPr>
          <w:color w:val="000000"/>
        </w:rPr>
        <w:t>The main outputs therefore focus on access and legitimacy: average wait time, wait-time inequality between residents and non-residents, queue violations, overstay duration, charger utilization, kWh delivered by user category, complaint counts, enforcement actions, downtime, and perceived trust in the queue system.</w:t>
      </w:r>
    </w:p>
    <w:p w14:paraId="62DA5340" w14:textId="7B4B3441" w:rsidR="000802C2" w:rsidRDefault="00000000">
      <w:pPr>
        <w:keepNext/>
        <w:keepLines/>
        <w:spacing w:before="360" w:after="160"/>
      </w:pPr>
      <w:r>
        <w:rPr>
          <w:b/>
          <w:color w:val="2E74B5"/>
          <w:sz w:val="32"/>
        </w:rPr>
        <w:t xml:space="preserve">5. Six Game </w:t>
      </w:r>
      <w:r w:rsidR="00382A08">
        <w:rPr>
          <w:b/>
          <w:color w:val="2E74B5"/>
          <w:sz w:val="32"/>
        </w:rPr>
        <w:t>Theories</w:t>
      </w:r>
      <w:r>
        <w:rPr>
          <w:b/>
          <w:color w:val="2E74B5"/>
          <w:sz w:val="32"/>
        </w:rPr>
        <w:t xml:space="preserve"> Implemented in the Case</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1800"/>
        <w:gridCol w:w="2160"/>
        <w:gridCol w:w="2808"/>
        <w:gridCol w:w="2304"/>
      </w:tblGrid>
      <w:tr w:rsidR="000802C2" w14:paraId="50B36CF7" w14:textId="77777777">
        <w:trPr>
          <w:jc w:val="center"/>
        </w:trPr>
        <w:tc>
          <w:tcPr>
            <w:tcW w:w="1800" w:type="dxa"/>
            <w:shd w:val="clear" w:color="auto" w:fill="E8EEF5"/>
            <w:tcMar>
              <w:top w:w="80" w:type="dxa"/>
              <w:left w:w="120" w:type="dxa"/>
              <w:bottom w:w="80" w:type="dxa"/>
              <w:right w:w="120" w:type="dxa"/>
            </w:tcMar>
            <w:vAlign w:val="center"/>
          </w:tcPr>
          <w:p w14:paraId="6CB8A80C" w14:textId="77777777" w:rsidR="000802C2" w:rsidRDefault="00000000">
            <w:pPr>
              <w:spacing w:after="0"/>
            </w:pPr>
            <w:r>
              <w:rPr>
                <w:b/>
                <w:color w:val="1F4D78"/>
                <w:sz w:val="17"/>
              </w:rPr>
              <w:t>AS</w:t>
            </w:r>
          </w:p>
        </w:tc>
        <w:tc>
          <w:tcPr>
            <w:tcW w:w="2160" w:type="dxa"/>
            <w:shd w:val="clear" w:color="auto" w:fill="E8EEF5"/>
            <w:tcMar>
              <w:top w:w="80" w:type="dxa"/>
              <w:left w:w="120" w:type="dxa"/>
              <w:bottom w:w="80" w:type="dxa"/>
              <w:right w:w="120" w:type="dxa"/>
            </w:tcMar>
            <w:vAlign w:val="center"/>
          </w:tcPr>
          <w:p w14:paraId="0313C07C" w14:textId="77777777" w:rsidR="000802C2" w:rsidRDefault="00000000">
            <w:pPr>
              <w:spacing w:after="0"/>
            </w:pPr>
            <w:r>
              <w:rPr>
                <w:b/>
                <w:color w:val="1F4D78"/>
                <w:sz w:val="17"/>
              </w:rPr>
              <w:t>Game idea</w:t>
            </w:r>
          </w:p>
        </w:tc>
        <w:tc>
          <w:tcPr>
            <w:tcW w:w="2808" w:type="dxa"/>
            <w:shd w:val="clear" w:color="auto" w:fill="E8EEF5"/>
            <w:tcMar>
              <w:top w:w="80" w:type="dxa"/>
              <w:left w:w="120" w:type="dxa"/>
              <w:bottom w:w="80" w:type="dxa"/>
              <w:right w:w="120" w:type="dxa"/>
            </w:tcMar>
            <w:vAlign w:val="center"/>
          </w:tcPr>
          <w:p w14:paraId="27CC0CB8" w14:textId="77777777" w:rsidR="000802C2" w:rsidRDefault="00000000">
            <w:pPr>
              <w:spacing w:after="0"/>
            </w:pPr>
            <w:r>
              <w:rPr>
                <w:b/>
                <w:color w:val="1F4D78"/>
                <w:sz w:val="17"/>
              </w:rPr>
              <w:t>What is really happening</w:t>
            </w:r>
          </w:p>
        </w:tc>
        <w:tc>
          <w:tcPr>
            <w:tcW w:w="2304" w:type="dxa"/>
            <w:shd w:val="clear" w:color="auto" w:fill="E8EEF5"/>
            <w:tcMar>
              <w:top w:w="80" w:type="dxa"/>
              <w:left w:w="120" w:type="dxa"/>
              <w:bottom w:w="80" w:type="dxa"/>
              <w:right w:w="120" w:type="dxa"/>
            </w:tcMar>
            <w:vAlign w:val="center"/>
          </w:tcPr>
          <w:p w14:paraId="5A10C71C" w14:textId="77777777" w:rsidR="000802C2" w:rsidRDefault="00000000">
            <w:pPr>
              <w:spacing w:after="0"/>
            </w:pPr>
            <w:r>
              <w:rPr>
                <w:b/>
                <w:color w:val="1F4D78"/>
                <w:sz w:val="17"/>
              </w:rPr>
              <w:t>How it appears in the scenario</w:t>
            </w:r>
          </w:p>
        </w:tc>
      </w:tr>
      <w:tr w:rsidR="000802C2" w14:paraId="0B5E4A5F" w14:textId="77777777">
        <w:trPr>
          <w:jc w:val="center"/>
        </w:trPr>
        <w:tc>
          <w:tcPr>
            <w:tcW w:w="1800" w:type="dxa"/>
            <w:tcMar>
              <w:top w:w="80" w:type="dxa"/>
              <w:left w:w="120" w:type="dxa"/>
              <w:bottom w:w="80" w:type="dxa"/>
              <w:right w:w="120" w:type="dxa"/>
            </w:tcMar>
            <w:vAlign w:val="center"/>
          </w:tcPr>
          <w:p w14:paraId="0E6819DF" w14:textId="77777777" w:rsidR="000802C2" w:rsidRDefault="00000000">
            <w:pPr>
              <w:spacing w:after="0"/>
            </w:pPr>
            <w:r>
              <w:rPr>
                <w:color w:val="000000"/>
                <w:sz w:val="15"/>
              </w:rPr>
              <w:t xml:space="preserve">AS1 Queue-order and prompt move-out </w:t>
            </w:r>
            <w:r>
              <w:rPr>
                <w:color w:val="000000"/>
                <w:sz w:val="15"/>
              </w:rPr>
              <w:lastRenderedPageBreak/>
              <w:t>compliance</w:t>
            </w:r>
          </w:p>
        </w:tc>
        <w:tc>
          <w:tcPr>
            <w:tcW w:w="2160" w:type="dxa"/>
            <w:tcMar>
              <w:top w:w="80" w:type="dxa"/>
              <w:left w:w="120" w:type="dxa"/>
              <w:bottom w:w="80" w:type="dxa"/>
              <w:right w:w="120" w:type="dxa"/>
            </w:tcMar>
            <w:vAlign w:val="center"/>
          </w:tcPr>
          <w:p w14:paraId="4AB54731" w14:textId="77777777" w:rsidR="000802C2" w:rsidRDefault="00000000">
            <w:pPr>
              <w:spacing w:after="0"/>
            </w:pPr>
            <w:r>
              <w:rPr>
                <w:color w:val="000000"/>
                <w:sz w:val="15"/>
              </w:rPr>
              <w:lastRenderedPageBreak/>
              <w:t>Two-player compliance dilemma / queue conflict</w:t>
            </w:r>
          </w:p>
        </w:tc>
        <w:tc>
          <w:tcPr>
            <w:tcW w:w="2808" w:type="dxa"/>
            <w:tcMar>
              <w:top w:w="80" w:type="dxa"/>
              <w:left w:w="120" w:type="dxa"/>
              <w:bottom w:w="80" w:type="dxa"/>
              <w:right w:w="120" w:type="dxa"/>
            </w:tcMar>
            <w:vAlign w:val="center"/>
          </w:tcPr>
          <w:p w14:paraId="27791212" w14:textId="77777777" w:rsidR="000802C2" w:rsidRDefault="00000000">
            <w:pPr>
              <w:spacing w:after="0"/>
            </w:pPr>
            <w:r>
              <w:rPr>
                <w:color w:val="000000"/>
                <w:sz w:val="15"/>
              </w:rPr>
              <w:t xml:space="preserve">Two users want the same scarce charger. Following the queue works well when </w:t>
            </w:r>
            <w:r>
              <w:rPr>
                <w:color w:val="000000"/>
                <w:sz w:val="15"/>
              </w:rPr>
              <w:lastRenderedPageBreak/>
              <w:t>both comply, but one user can gain by jumping ahead or staying longer.</w:t>
            </w:r>
          </w:p>
        </w:tc>
        <w:tc>
          <w:tcPr>
            <w:tcW w:w="2304" w:type="dxa"/>
            <w:tcMar>
              <w:top w:w="80" w:type="dxa"/>
              <w:left w:w="120" w:type="dxa"/>
              <w:bottom w:w="80" w:type="dxa"/>
              <w:right w:w="120" w:type="dxa"/>
            </w:tcMar>
            <w:vAlign w:val="center"/>
          </w:tcPr>
          <w:p w14:paraId="6AB70C43" w14:textId="77777777" w:rsidR="000802C2" w:rsidRDefault="00000000">
            <w:pPr>
              <w:spacing w:after="0"/>
            </w:pPr>
            <w:r>
              <w:rPr>
                <w:color w:val="000000"/>
                <w:sz w:val="15"/>
              </w:rPr>
              <w:lastRenderedPageBreak/>
              <w:t xml:space="preserve">The scenario includes queue status, imperfect observation, </w:t>
            </w:r>
            <w:r>
              <w:rPr>
                <w:color w:val="000000"/>
                <w:sz w:val="15"/>
              </w:rPr>
              <w:lastRenderedPageBreak/>
              <w:t>kWh billing, prompt move-out rules, and staff enforcement.</w:t>
            </w:r>
          </w:p>
        </w:tc>
      </w:tr>
      <w:tr w:rsidR="000802C2" w14:paraId="5E56B2F1" w14:textId="77777777">
        <w:trPr>
          <w:jc w:val="center"/>
        </w:trPr>
        <w:tc>
          <w:tcPr>
            <w:tcW w:w="1800" w:type="dxa"/>
            <w:tcMar>
              <w:top w:w="80" w:type="dxa"/>
              <w:left w:w="120" w:type="dxa"/>
              <w:bottom w:w="80" w:type="dxa"/>
              <w:right w:w="120" w:type="dxa"/>
            </w:tcMar>
            <w:vAlign w:val="center"/>
          </w:tcPr>
          <w:p w14:paraId="3B57E4CC" w14:textId="77777777" w:rsidR="000802C2" w:rsidRDefault="00000000">
            <w:pPr>
              <w:spacing w:after="0"/>
            </w:pPr>
            <w:r>
              <w:rPr>
                <w:color w:val="000000"/>
                <w:sz w:val="15"/>
              </w:rPr>
              <w:lastRenderedPageBreak/>
              <w:t>AS2 Sequential learning in reservation and off-peak behaviour</w:t>
            </w:r>
          </w:p>
        </w:tc>
        <w:tc>
          <w:tcPr>
            <w:tcW w:w="2160" w:type="dxa"/>
            <w:tcMar>
              <w:top w:w="80" w:type="dxa"/>
              <w:left w:w="120" w:type="dxa"/>
              <w:bottom w:w="80" w:type="dxa"/>
              <w:right w:w="120" w:type="dxa"/>
            </w:tcMar>
            <w:vAlign w:val="center"/>
          </w:tcPr>
          <w:p w14:paraId="35F1281F" w14:textId="77777777" w:rsidR="000802C2" w:rsidRDefault="00000000">
            <w:pPr>
              <w:spacing w:after="0"/>
            </w:pPr>
            <w:r>
              <w:rPr>
                <w:color w:val="000000"/>
                <w:sz w:val="15"/>
              </w:rPr>
              <w:t>Sequential / cascade learning game</w:t>
            </w:r>
          </w:p>
        </w:tc>
        <w:tc>
          <w:tcPr>
            <w:tcW w:w="2808" w:type="dxa"/>
            <w:tcMar>
              <w:top w:w="80" w:type="dxa"/>
              <w:left w:w="120" w:type="dxa"/>
              <w:bottom w:w="80" w:type="dxa"/>
              <w:right w:w="120" w:type="dxa"/>
            </w:tcMar>
            <w:vAlign w:val="center"/>
          </w:tcPr>
          <w:p w14:paraId="7F9D0812" w14:textId="77777777" w:rsidR="000802C2" w:rsidRDefault="00000000">
            <w:pPr>
              <w:spacing w:after="0"/>
            </w:pPr>
            <w:r>
              <w:rPr>
                <w:color w:val="000000"/>
                <w:sz w:val="15"/>
              </w:rPr>
              <w:t>Users learn from what they see. If off-peak reservation works, others may copy it. If queue skipping seems tolerated, that can spread too.</w:t>
            </w:r>
          </w:p>
        </w:tc>
        <w:tc>
          <w:tcPr>
            <w:tcW w:w="2304" w:type="dxa"/>
            <w:tcMar>
              <w:top w:w="80" w:type="dxa"/>
              <w:left w:w="120" w:type="dxa"/>
              <w:bottom w:w="80" w:type="dxa"/>
              <w:right w:w="120" w:type="dxa"/>
            </w:tcMar>
            <w:vAlign w:val="center"/>
          </w:tcPr>
          <w:p w14:paraId="464BA070" w14:textId="77777777" w:rsidR="000802C2" w:rsidRDefault="00000000">
            <w:pPr>
              <w:spacing w:after="0"/>
            </w:pPr>
            <w:r>
              <w:rPr>
                <w:color w:val="000000"/>
                <w:sz w:val="15"/>
              </w:rPr>
              <w:t>The model tracks visible outcomes, past waiting experience, and imitation after successful or failed charging attempts.</w:t>
            </w:r>
          </w:p>
        </w:tc>
      </w:tr>
      <w:tr w:rsidR="000802C2" w14:paraId="1634D386" w14:textId="77777777">
        <w:trPr>
          <w:jc w:val="center"/>
        </w:trPr>
        <w:tc>
          <w:tcPr>
            <w:tcW w:w="1800" w:type="dxa"/>
            <w:tcMar>
              <w:top w:w="80" w:type="dxa"/>
              <w:left w:w="120" w:type="dxa"/>
              <w:bottom w:w="80" w:type="dxa"/>
              <w:right w:w="120" w:type="dxa"/>
            </w:tcMar>
            <w:vAlign w:val="center"/>
          </w:tcPr>
          <w:p w14:paraId="3F1BA19D" w14:textId="77777777" w:rsidR="000802C2" w:rsidRDefault="00000000">
            <w:pPr>
              <w:spacing w:after="0"/>
            </w:pPr>
            <w:r>
              <w:rPr>
                <w:color w:val="000000"/>
                <w:sz w:val="15"/>
              </w:rPr>
              <w:t>AS3 Shared charger-capacity contribution dilemma</w:t>
            </w:r>
          </w:p>
        </w:tc>
        <w:tc>
          <w:tcPr>
            <w:tcW w:w="2160" w:type="dxa"/>
            <w:tcMar>
              <w:top w:w="80" w:type="dxa"/>
              <w:left w:w="120" w:type="dxa"/>
              <w:bottom w:w="80" w:type="dxa"/>
              <w:right w:w="120" w:type="dxa"/>
            </w:tcMar>
            <w:vAlign w:val="center"/>
          </w:tcPr>
          <w:p w14:paraId="2213EA9D" w14:textId="77777777" w:rsidR="000802C2" w:rsidRDefault="00000000">
            <w:pPr>
              <w:spacing w:after="0"/>
            </w:pPr>
            <w:r>
              <w:rPr>
                <w:color w:val="000000"/>
                <w:sz w:val="15"/>
              </w:rPr>
              <w:t>Public-goods / volunteer-like contribution game</w:t>
            </w:r>
          </w:p>
        </w:tc>
        <w:tc>
          <w:tcPr>
            <w:tcW w:w="2808" w:type="dxa"/>
            <w:tcMar>
              <w:top w:w="80" w:type="dxa"/>
              <w:left w:w="120" w:type="dxa"/>
              <w:bottom w:w="80" w:type="dxa"/>
              <w:right w:w="120" w:type="dxa"/>
            </w:tcMar>
            <w:vAlign w:val="center"/>
          </w:tcPr>
          <w:p w14:paraId="711C560F" w14:textId="77777777" w:rsidR="000802C2" w:rsidRDefault="00000000">
            <w:pPr>
              <w:spacing w:after="0"/>
            </w:pPr>
            <w:r>
              <w:rPr>
                <w:color w:val="000000"/>
                <w:sz w:val="15"/>
              </w:rPr>
              <w:t>Residents would all benefit from more chargers or better monitoring, but each resident may prefer that someone else pays first.</w:t>
            </w:r>
          </w:p>
        </w:tc>
        <w:tc>
          <w:tcPr>
            <w:tcW w:w="2304" w:type="dxa"/>
            <w:tcMar>
              <w:top w:w="80" w:type="dxa"/>
              <w:left w:w="120" w:type="dxa"/>
              <w:bottom w:w="80" w:type="dxa"/>
              <w:right w:w="120" w:type="dxa"/>
            </w:tcMar>
            <w:vAlign w:val="center"/>
          </w:tcPr>
          <w:p w14:paraId="671E7329" w14:textId="77777777" w:rsidR="000802C2" w:rsidRDefault="00000000">
            <w:pPr>
              <w:spacing w:after="0"/>
            </w:pPr>
            <w:r>
              <w:rPr>
                <w:color w:val="000000"/>
                <w:sz w:val="15"/>
              </w:rPr>
              <w:t>Amenity fees, capacity upgrades, monitoring effort, and resident pressure create the collective investment problem.</w:t>
            </w:r>
          </w:p>
        </w:tc>
      </w:tr>
      <w:tr w:rsidR="000802C2" w14:paraId="58B52AD6" w14:textId="77777777">
        <w:trPr>
          <w:jc w:val="center"/>
        </w:trPr>
        <w:tc>
          <w:tcPr>
            <w:tcW w:w="1800" w:type="dxa"/>
            <w:tcMar>
              <w:top w:w="80" w:type="dxa"/>
              <w:left w:w="120" w:type="dxa"/>
              <w:bottom w:w="80" w:type="dxa"/>
              <w:right w:w="120" w:type="dxa"/>
            </w:tcMar>
            <w:vAlign w:val="center"/>
          </w:tcPr>
          <w:p w14:paraId="03A3772D" w14:textId="77777777" w:rsidR="000802C2" w:rsidRDefault="00000000">
            <w:pPr>
              <w:spacing w:after="0"/>
            </w:pPr>
            <w:r>
              <w:rPr>
                <w:color w:val="000000"/>
                <w:sz w:val="15"/>
              </w:rPr>
              <w:t>AS4 Informal priority exchange between user and staff</w:t>
            </w:r>
          </w:p>
        </w:tc>
        <w:tc>
          <w:tcPr>
            <w:tcW w:w="2160" w:type="dxa"/>
            <w:tcMar>
              <w:top w:w="80" w:type="dxa"/>
              <w:left w:w="120" w:type="dxa"/>
              <w:bottom w:w="80" w:type="dxa"/>
              <w:right w:w="120" w:type="dxa"/>
            </w:tcMar>
            <w:vAlign w:val="center"/>
          </w:tcPr>
          <w:p w14:paraId="311FB55E" w14:textId="77777777" w:rsidR="000802C2" w:rsidRDefault="00000000">
            <w:pPr>
              <w:spacing w:after="0"/>
            </w:pPr>
            <w:r>
              <w:rPr>
                <w:color w:val="000000"/>
                <w:sz w:val="15"/>
              </w:rPr>
              <w:t>Principal-agent / collusion-adjacent exchange</w:t>
            </w:r>
          </w:p>
        </w:tc>
        <w:tc>
          <w:tcPr>
            <w:tcW w:w="2808" w:type="dxa"/>
            <w:tcMar>
              <w:top w:w="80" w:type="dxa"/>
              <w:left w:w="120" w:type="dxa"/>
              <w:bottom w:w="80" w:type="dxa"/>
              <w:right w:w="120" w:type="dxa"/>
            </w:tcMar>
            <w:vAlign w:val="center"/>
          </w:tcPr>
          <w:p w14:paraId="287D9D95" w14:textId="77777777" w:rsidR="000802C2" w:rsidRDefault="00000000">
            <w:pPr>
              <w:spacing w:after="0"/>
            </w:pPr>
            <w:r>
              <w:rPr>
                <w:color w:val="000000"/>
                <w:sz w:val="15"/>
              </w:rPr>
              <w:t>A user and staff member can quietly work around the official queue. That may help one driver, but it makes the queue feel less legitimate for everyone else.</w:t>
            </w:r>
          </w:p>
        </w:tc>
        <w:tc>
          <w:tcPr>
            <w:tcW w:w="2304" w:type="dxa"/>
            <w:tcMar>
              <w:top w:w="80" w:type="dxa"/>
              <w:left w:w="120" w:type="dxa"/>
              <w:bottom w:w="80" w:type="dxa"/>
              <w:right w:w="120" w:type="dxa"/>
            </w:tcMar>
            <w:vAlign w:val="center"/>
          </w:tcPr>
          <w:p w14:paraId="76132D13" w14:textId="77777777" w:rsidR="000802C2" w:rsidRDefault="00000000">
            <w:pPr>
              <w:spacing w:after="0"/>
            </w:pPr>
            <w:r>
              <w:rPr>
                <w:color w:val="000000"/>
                <w:sz w:val="15"/>
              </w:rPr>
              <w:t>Staff discretion, resident ties, informal requests, and verification authority are explicit state variables.</w:t>
            </w:r>
          </w:p>
        </w:tc>
      </w:tr>
      <w:tr w:rsidR="000802C2" w14:paraId="0881D214" w14:textId="77777777">
        <w:trPr>
          <w:jc w:val="center"/>
        </w:trPr>
        <w:tc>
          <w:tcPr>
            <w:tcW w:w="1800" w:type="dxa"/>
            <w:tcMar>
              <w:top w:w="80" w:type="dxa"/>
              <w:left w:w="120" w:type="dxa"/>
              <w:bottom w:w="80" w:type="dxa"/>
              <w:right w:w="120" w:type="dxa"/>
            </w:tcMar>
            <w:vAlign w:val="center"/>
          </w:tcPr>
          <w:p w14:paraId="39393407" w14:textId="77777777" w:rsidR="000802C2" w:rsidRDefault="00000000">
            <w:pPr>
              <w:spacing w:after="0"/>
            </w:pPr>
            <w:r>
              <w:rPr>
                <w:color w:val="000000"/>
                <w:sz w:val="15"/>
              </w:rPr>
              <w:t>AS5 Complaint and enforcement coordination</w:t>
            </w:r>
          </w:p>
        </w:tc>
        <w:tc>
          <w:tcPr>
            <w:tcW w:w="2160" w:type="dxa"/>
            <w:tcMar>
              <w:top w:w="80" w:type="dxa"/>
              <w:left w:w="120" w:type="dxa"/>
              <w:bottom w:w="80" w:type="dxa"/>
              <w:right w:w="120" w:type="dxa"/>
            </w:tcMar>
            <w:vAlign w:val="center"/>
          </w:tcPr>
          <w:p w14:paraId="628DB3AD" w14:textId="77777777" w:rsidR="000802C2" w:rsidRDefault="00000000">
            <w:pPr>
              <w:spacing w:after="0"/>
            </w:pPr>
            <w:r>
              <w:rPr>
                <w:color w:val="000000"/>
                <w:sz w:val="15"/>
              </w:rPr>
              <w:t>Coordination / assurance game</w:t>
            </w:r>
          </w:p>
        </w:tc>
        <w:tc>
          <w:tcPr>
            <w:tcW w:w="2808" w:type="dxa"/>
            <w:tcMar>
              <w:top w:w="80" w:type="dxa"/>
              <w:left w:w="120" w:type="dxa"/>
              <w:bottom w:w="80" w:type="dxa"/>
              <w:right w:w="120" w:type="dxa"/>
            </w:tcMar>
            <w:vAlign w:val="center"/>
          </w:tcPr>
          <w:p w14:paraId="7132EA75" w14:textId="77777777" w:rsidR="000802C2" w:rsidRDefault="00000000">
            <w:pPr>
              <w:spacing w:after="0"/>
            </w:pPr>
            <w:r>
              <w:rPr>
                <w:color w:val="000000"/>
                <w:sz w:val="15"/>
              </w:rPr>
              <w:t>The queue gets fairer when users report problems and management responds. If either side gives up, the rule system loses credibility.</w:t>
            </w:r>
          </w:p>
        </w:tc>
        <w:tc>
          <w:tcPr>
            <w:tcW w:w="2304" w:type="dxa"/>
            <w:tcMar>
              <w:top w:w="80" w:type="dxa"/>
              <w:left w:w="120" w:type="dxa"/>
              <w:bottom w:w="80" w:type="dxa"/>
              <w:right w:w="120" w:type="dxa"/>
            </w:tcMar>
            <w:vAlign w:val="center"/>
          </w:tcPr>
          <w:p w14:paraId="495978F3" w14:textId="77777777" w:rsidR="000802C2" w:rsidRDefault="00000000">
            <w:pPr>
              <w:spacing w:after="0"/>
            </w:pPr>
            <w:r>
              <w:rPr>
                <w:color w:val="000000"/>
                <w:sz w:val="15"/>
              </w:rPr>
              <w:t>The scenario includes complaint channels, response thresholds, enforcement actions, maintenance reports, and delay.</w:t>
            </w:r>
          </w:p>
        </w:tc>
      </w:tr>
      <w:tr w:rsidR="000802C2" w14:paraId="5E610913" w14:textId="77777777">
        <w:trPr>
          <w:jc w:val="center"/>
        </w:trPr>
        <w:tc>
          <w:tcPr>
            <w:tcW w:w="1800" w:type="dxa"/>
            <w:tcMar>
              <w:top w:w="80" w:type="dxa"/>
              <w:left w:w="120" w:type="dxa"/>
              <w:bottom w:w="80" w:type="dxa"/>
              <w:right w:w="120" w:type="dxa"/>
            </w:tcMar>
            <w:vAlign w:val="center"/>
          </w:tcPr>
          <w:p w14:paraId="77650DE6" w14:textId="77777777" w:rsidR="000802C2" w:rsidRDefault="00000000">
            <w:pPr>
              <w:spacing w:after="0"/>
            </w:pPr>
            <w:r>
              <w:rPr>
                <w:color w:val="000000"/>
                <w:sz w:val="15"/>
              </w:rPr>
              <w:t>AS6 Shared charger-occupancy common-pool congestion</w:t>
            </w:r>
          </w:p>
        </w:tc>
        <w:tc>
          <w:tcPr>
            <w:tcW w:w="2160" w:type="dxa"/>
            <w:tcMar>
              <w:top w:w="80" w:type="dxa"/>
              <w:left w:w="120" w:type="dxa"/>
              <w:bottom w:w="80" w:type="dxa"/>
              <w:right w:w="120" w:type="dxa"/>
            </w:tcMar>
            <w:vAlign w:val="center"/>
          </w:tcPr>
          <w:p w14:paraId="7AD31914" w14:textId="77777777" w:rsidR="000802C2" w:rsidRDefault="00000000">
            <w:pPr>
              <w:spacing w:after="0"/>
            </w:pPr>
            <w:r>
              <w:rPr>
                <w:color w:val="000000"/>
                <w:sz w:val="15"/>
              </w:rPr>
              <w:t>Common-pool congestion / tragedy-of-the-commons style game</w:t>
            </w:r>
          </w:p>
        </w:tc>
        <w:tc>
          <w:tcPr>
            <w:tcW w:w="2808" w:type="dxa"/>
            <w:tcMar>
              <w:top w:w="80" w:type="dxa"/>
              <w:left w:w="120" w:type="dxa"/>
              <w:bottom w:w="80" w:type="dxa"/>
              <w:right w:w="120" w:type="dxa"/>
            </w:tcMar>
            <w:vAlign w:val="center"/>
          </w:tcPr>
          <w:p w14:paraId="0F75FD18" w14:textId="77777777" w:rsidR="000802C2" w:rsidRDefault="00000000">
            <w:pPr>
              <w:spacing w:after="0"/>
            </w:pPr>
            <w:r>
              <w:rPr>
                <w:color w:val="000000"/>
                <w:sz w:val="15"/>
              </w:rPr>
              <w:t>A user can take extra convenience by occupying the bay longer than needed. If many users do that, everyone faces worse access.</w:t>
            </w:r>
          </w:p>
        </w:tc>
        <w:tc>
          <w:tcPr>
            <w:tcW w:w="2304" w:type="dxa"/>
            <w:tcMar>
              <w:top w:w="80" w:type="dxa"/>
              <w:left w:w="120" w:type="dxa"/>
              <w:bottom w:w="80" w:type="dxa"/>
              <w:right w:w="120" w:type="dxa"/>
            </w:tcMar>
            <w:vAlign w:val="center"/>
          </w:tcPr>
          <w:p w14:paraId="3C7B39B1" w14:textId="77777777" w:rsidR="000802C2" w:rsidRDefault="00000000">
            <w:pPr>
              <w:spacing w:after="0"/>
            </w:pPr>
            <w:r>
              <w:rPr>
                <w:color w:val="000000"/>
                <w:sz w:val="15"/>
              </w:rPr>
              <w:t>kWh-only billing, useful-charge completion, bay occupation, and overstay duration produce congestion.</w:t>
            </w:r>
          </w:p>
        </w:tc>
      </w:tr>
    </w:tbl>
    <w:p w14:paraId="4BA60C92" w14:textId="77777777" w:rsidR="000802C2" w:rsidRDefault="000802C2">
      <w:pPr>
        <w:spacing w:after="120"/>
      </w:pPr>
    </w:p>
    <w:p w14:paraId="3C3D21BE" w14:textId="77777777" w:rsidR="000802C2" w:rsidRDefault="00000000">
      <w:pPr>
        <w:keepNext/>
        <w:keepLines/>
        <w:spacing w:before="360" w:after="160"/>
      </w:pPr>
      <w:r>
        <w:rPr>
          <w:b/>
          <w:color w:val="2E74B5"/>
          <w:sz w:val="32"/>
        </w:rPr>
        <w:t>6. Why Resident Discount and kWh-Only Billing Matter</w:t>
      </w:r>
    </w:p>
    <w:p w14:paraId="104454A9" w14:textId="77777777" w:rsidR="000802C2" w:rsidRDefault="00000000">
      <w:pPr>
        <w:spacing w:after="160" w:line="320" w:lineRule="auto"/>
      </w:pPr>
      <w:r>
        <w:rPr>
          <w:color w:val="000000"/>
        </w:rPr>
        <w:t>The resident discount is not meant to be a hidden priority rule. It is there because discounts change behaviour and interpretation. Residents may use the chargers more often because the price is better, and they may also feel that a building amenity should serve them first. Non-residents may see the same situation differently: if they are admitted to the garage and pay the regular rate, they may expect the posted queue to treat them fairly.</w:t>
      </w:r>
    </w:p>
    <w:p w14:paraId="28709AAF" w14:textId="77777777" w:rsidR="000802C2" w:rsidRDefault="00000000">
      <w:pPr>
        <w:spacing w:after="160" w:line="320" w:lineRule="auto"/>
      </w:pPr>
      <w:r>
        <w:rPr>
          <w:color w:val="000000"/>
        </w:rPr>
        <w:t>The kWh-only billing rule creates a second tension. Paying by energy makes sense, but it does not directly price the time a vehicle occupies the bay after useful charging is over. That is why overstay becomes a common-pool issue. Each user can rationally take a little extra convenience, but if many users do the same thing, the whole system becomes slower and less trusted.</w:t>
      </w:r>
    </w:p>
    <w:p w14:paraId="02EAE366" w14:textId="77777777" w:rsidR="000802C2" w:rsidRDefault="00000000">
      <w:pPr>
        <w:spacing w:after="160" w:line="320" w:lineRule="auto"/>
      </w:pPr>
      <w:r>
        <w:rPr>
          <w:color w:val="000000"/>
        </w:rPr>
        <w:t>Together, these two design choices give the case its research value. The problem is not simply whether residents pay less. It is how a shared queue remains legitimate when price, access, timing, staff action, and user expectations all interact.</w:t>
      </w:r>
    </w:p>
    <w:p w14:paraId="08227FE6" w14:textId="77777777" w:rsidR="000802C2" w:rsidRDefault="00000000">
      <w:pPr>
        <w:keepNext/>
        <w:keepLines/>
        <w:spacing w:before="360" w:after="160"/>
      </w:pPr>
      <w:r>
        <w:rPr>
          <w:b/>
          <w:color w:val="2E74B5"/>
          <w:sz w:val="32"/>
        </w:rPr>
        <w:lastRenderedPageBreak/>
        <w:t>7. How the Game Scenario Should Be Used in LLM Experiments</w:t>
      </w:r>
    </w:p>
    <w:p w14:paraId="2E9144BE" w14:textId="77777777" w:rsidR="000802C2" w:rsidRDefault="00000000">
      <w:pPr>
        <w:spacing w:after="160" w:line="320" w:lineRule="auto"/>
      </w:pPr>
      <w:r>
        <w:rPr>
          <w:color w:val="000000"/>
        </w:rPr>
        <w:t>The experiment should compare two conditions. In the ODD-only condition, the model sees only the formal ODD+D description and has to infer the strategic units from that structure. In the ODD+game scenario condition, the model also receives contextual information about incentives and everyday behaviour. If the scenario is written well, it should help the model reason more clearly without giving away the labels.</w:t>
      </w:r>
    </w:p>
    <w:p w14:paraId="1607019C" w14:textId="77777777" w:rsidR="000802C2" w:rsidRDefault="00000000">
      <w:pPr>
        <w:spacing w:after="100" w:line="290" w:lineRule="auto"/>
        <w:ind w:left="540" w:hanging="279"/>
      </w:pPr>
      <w:r>
        <w:rPr>
          <w:color w:val="000000"/>
          <w:sz w:val="21"/>
        </w:rPr>
        <w:t>• The ODD-only condition tests whether the model can infer action situations from the formal model description alone.</w:t>
      </w:r>
    </w:p>
    <w:p w14:paraId="25D58B0A" w14:textId="77777777" w:rsidR="000802C2" w:rsidRDefault="00000000">
      <w:pPr>
        <w:spacing w:after="100" w:line="290" w:lineRule="auto"/>
        <w:ind w:left="540" w:hanging="279"/>
      </w:pPr>
      <w:r>
        <w:rPr>
          <w:color w:val="000000"/>
          <w:sz w:val="21"/>
        </w:rPr>
        <w:t>• The ODD+game scenario condition tests whether extra context improves AS extraction.</w:t>
      </w:r>
    </w:p>
    <w:p w14:paraId="0C43B3CC" w14:textId="77777777" w:rsidR="000802C2" w:rsidRDefault="00000000">
      <w:pPr>
        <w:spacing w:after="100" w:line="290" w:lineRule="auto"/>
        <w:ind w:left="540" w:hanging="279"/>
      </w:pPr>
      <w:r>
        <w:rPr>
          <w:color w:val="000000"/>
          <w:sz w:val="21"/>
        </w:rPr>
        <w:t>• The hidden evaluation reference should contain the six correct ASs, not the full scenario text.</w:t>
      </w:r>
    </w:p>
    <w:p w14:paraId="1C555AF0" w14:textId="77777777" w:rsidR="000802C2" w:rsidRDefault="00000000">
      <w:pPr>
        <w:spacing w:after="100" w:line="290" w:lineRule="auto"/>
        <w:ind w:left="540" w:hanging="279"/>
      </w:pPr>
      <w:r>
        <w:rPr>
          <w:color w:val="000000"/>
          <w:sz w:val="21"/>
        </w:rPr>
        <w:t>• The evaluator should judge semantic matches. A model does not need to use the exact same title, but it must identify the same strategic interaction.</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9144"/>
      </w:tblGrid>
      <w:tr w:rsidR="000802C2" w14:paraId="1DEEA2B6" w14:textId="77777777">
        <w:trPr>
          <w:jc w:val="center"/>
        </w:trPr>
        <w:tc>
          <w:tcPr>
            <w:tcW w:w="9144" w:type="dxa"/>
            <w:shd w:val="clear" w:color="auto" w:fill="F4F6F9"/>
            <w:tcMar>
              <w:top w:w="120" w:type="dxa"/>
              <w:left w:w="160" w:type="dxa"/>
              <w:bottom w:w="120" w:type="dxa"/>
              <w:right w:w="160" w:type="dxa"/>
            </w:tcMar>
          </w:tcPr>
          <w:p w14:paraId="118E5F67" w14:textId="77777777" w:rsidR="000802C2" w:rsidRDefault="00000000">
            <w:pPr>
              <w:spacing w:after="0" w:line="288" w:lineRule="auto"/>
            </w:pPr>
            <w:r>
              <w:rPr>
                <w:b/>
                <w:color w:val="1F4D78"/>
                <w:sz w:val="21"/>
              </w:rPr>
              <w:t xml:space="preserve">Evaluation rule: </w:t>
            </w:r>
            <w:r>
              <w:rPr>
                <w:color w:val="000000"/>
                <w:sz w:val="21"/>
              </w:rPr>
              <w:t>A generated AS is correct only when it maps to one of the six expected strategic situations. A broad theme such as “charging scheduling,” “pricing,” or “maintenance” is not enough unless the model also identifies the actual interdependent decision situation.</w:t>
            </w:r>
          </w:p>
        </w:tc>
      </w:tr>
    </w:tbl>
    <w:p w14:paraId="66E4E95C" w14:textId="77777777" w:rsidR="000802C2" w:rsidRDefault="000802C2">
      <w:pPr>
        <w:spacing w:after="80"/>
      </w:pPr>
    </w:p>
    <w:p w14:paraId="76D94A52" w14:textId="77777777" w:rsidR="000802C2" w:rsidRDefault="00000000">
      <w:pPr>
        <w:keepNext/>
        <w:keepLines/>
        <w:pageBreakBefore/>
        <w:spacing w:before="360" w:after="160"/>
      </w:pPr>
      <w:r>
        <w:rPr>
          <w:b/>
          <w:color w:val="2E74B5"/>
          <w:sz w:val="32"/>
        </w:rPr>
        <w:lastRenderedPageBreak/>
        <w:t>8. LLM Case Study Prior-Knowledge Testing Method</w:t>
      </w:r>
    </w:p>
    <w:p w14:paraId="0905107F" w14:textId="77777777" w:rsidR="000802C2" w:rsidRDefault="00000000">
      <w:pPr>
        <w:spacing w:after="160" w:line="320" w:lineRule="auto"/>
      </w:pPr>
      <w:r>
        <w:rPr>
          <w:color w:val="000000"/>
        </w:rPr>
        <w:t>Before running the ODD-only and ODD+game scenario prompts, I would add a separate prior-knowledge control. The purpose is not to evaluate AS extraction directly. It is to check whether the model already recognizes the EV-parking case, or a very similar published case, before it sees the experimental materials.</w:t>
      </w:r>
    </w:p>
    <w:p w14:paraId="22569069" w14:textId="77777777" w:rsidR="000802C2" w:rsidRDefault="00000000">
      <w:pPr>
        <w:spacing w:after="160" w:line="320" w:lineRule="auto"/>
      </w:pPr>
      <w:r>
        <w:rPr>
          <w:color w:val="000000"/>
        </w:rPr>
        <w:t>This creates a black-box condition for the main experiment. In a clean conversation, the model should first receive only a minimal description of the domain, such as: an apartment parking garage has shared EV chargers, residents receive a discount, everyone pays by kWh, and the research focus is fair queue access. It should not receive the ODD file, the game scenario, the hidden AS list, or the source mapping. The prompt should ask whether the model knows an existing case study with this exact structure, what source it comes from, and what strategic interactions it would expect.</w:t>
      </w:r>
    </w:p>
    <w:p w14:paraId="6DEECF6D" w14:textId="77777777" w:rsidR="000802C2" w:rsidRDefault="00000000">
      <w:pPr>
        <w:spacing w:after="160" w:line="320" w:lineRule="auto"/>
      </w:pPr>
      <w:r>
        <w:rPr>
          <w:color w:val="000000"/>
        </w:rPr>
        <w:t>The result should be interpreted conservatively. If the model can reproduce the same specific case design, the same six ASs, or a concrete source that already contains this configuration, then the case is not a clean black-box test for that model. If the model gives only generic EV-charging ideas, generic fairness concerns, or unrelated parking examples, that is not enough to count as prior knowledge. In that situation, the main AS extraction results can be treated as coming from the supplied ODD and game context rather than from memorized exposure to a known case.</w:t>
      </w:r>
    </w:p>
    <w:p w14:paraId="7D988D24" w14:textId="77777777" w:rsidR="000802C2" w:rsidRDefault="00000000">
      <w:pPr>
        <w:spacing w:after="160" w:line="320" w:lineRule="auto"/>
      </w:pPr>
      <w:r>
        <w:rPr>
          <w:color w:val="000000"/>
        </w:rPr>
        <w:t>This step protects the evaluation from a simple but serious failure mode: a model may look strong because it has seen a similar case before, not because it can infer action situations from a new institutional design. The prior-knowledge test therefore belongs before the 30-run comparison and should be saved as its own control result.</w:t>
      </w:r>
    </w:p>
    <w:p w14:paraId="606BAAB8" w14:textId="77777777" w:rsidR="006B4C9C" w:rsidRDefault="00000000">
      <w:pPr>
        <w:keepNext/>
        <w:keepLines/>
        <w:spacing w:before="360" w:after="160"/>
      </w:pPr>
      <w:r>
        <w:rPr>
          <w:b/>
          <w:color w:val="2E74B5"/>
          <w:sz w:val="32"/>
        </w:rPr>
        <w:t>9. Experimental Results from the Analysis Report</w:t>
      </w:r>
    </w:p>
    <w:p w14:paraId="1D812C70" w14:textId="77777777" w:rsidR="006B4C9C" w:rsidRDefault="00000000">
      <w:pPr>
        <w:spacing w:after="160" w:line="300" w:lineRule="auto"/>
      </w:pPr>
      <w:r>
        <w:rPr>
          <w:color w:val="000000"/>
          <w:sz w:val="21"/>
        </w:rPr>
        <w:t>The analysis report adds the empirical comparison layer for this case. Each model was run 30 times under two conditions: ODD-only and ODD+game. The hidden reference set contains six correct EV-parking action situations, so each model-condition pair has 180 possible correct AS recoveries across 30 runs. The evaluation uses only TP, FN, FP, Precision, and Recall; generated AS titles are judged together with the body and matrix text, not ignored.</w:t>
      </w:r>
    </w:p>
    <w:p w14:paraId="7F92851F" w14:textId="77777777" w:rsidR="006B4C9C" w:rsidRDefault="00000000">
      <w:pPr>
        <w:spacing w:after="160"/>
      </w:pPr>
      <w:r>
        <w:rPr>
          <w:b/>
          <w:color w:val="1F4E79"/>
          <w:sz w:val="20"/>
        </w:rPr>
        <w:t xml:space="preserve">Run completeness: </w:t>
      </w:r>
      <w:r>
        <w:rPr>
          <w:color w:val="000000"/>
          <w:sz w:val="20"/>
        </w:rPr>
        <w:t>For EV-parking, all three models completed 30/30 runs in both prompt conditions, with no duplicate runs reported in the analysis report.</w:t>
      </w:r>
    </w:p>
    <w:p w14:paraId="3309FE8F" w14:textId="77777777" w:rsidR="006B4C9C" w:rsidRDefault="00000000">
      <w:pPr>
        <w:spacing w:after="160"/>
      </w:pPr>
      <w:r>
        <w:rPr>
          <w:b/>
          <w:color w:val="1F4E79"/>
          <w:sz w:val="20"/>
        </w:rPr>
        <w:t xml:space="preserve">Source basis: </w:t>
      </w:r>
      <w:r>
        <w:rPr>
          <w:color w:val="000000"/>
          <w:sz w:val="20"/>
        </w:rPr>
        <w:t>EVParking_evaluation_comparison_ODD+game_stuff_vs_ODD-only.txt and the 2026-06-06 analysis report tables: overall_metrics_by_case_model_condition.csv, prompt_effect_by_case_model.csv, and aggregate_metrics_available_cases.csv.</w:t>
      </w:r>
    </w:p>
    <w:p w14:paraId="21777703" w14:textId="77777777" w:rsidR="006B4C9C" w:rsidRDefault="00000000">
      <w:pPr>
        <w:spacing w:after="80" w:line="300" w:lineRule="auto"/>
      </w:pPr>
      <w:r>
        <w:rPr>
          <w:b/>
          <w:color w:val="1F4E79"/>
          <w:sz w:val="21"/>
        </w:rPr>
        <w:lastRenderedPageBreak/>
        <w:t>EV-parking results by model and prompt condition</w:t>
      </w:r>
    </w:p>
    <w:tbl>
      <w:tblPr>
        <w:tblW w:w="8136" w:type="dxa"/>
        <w:jc w:val="center"/>
        <w:tblBorders>
          <w:top w:val="single" w:sz="6" w:space="0" w:color="C7D6EA"/>
          <w:left w:val="single" w:sz="6" w:space="0" w:color="C7D6EA"/>
          <w:bottom w:val="single" w:sz="6" w:space="0" w:color="C7D6EA"/>
          <w:right w:val="single" w:sz="6" w:space="0" w:color="C7D6EA"/>
          <w:insideH w:val="single" w:sz="6" w:space="0" w:color="C7D6EA"/>
          <w:insideV w:val="single" w:sz="6" w:space="0" w:color="C7D6EA"/>
        </w:tblBorders>
        <w:tblLayout w:type="fixed"/>
        <w:tblLook w:val="04A0" w:firstRow="1" w:lastRow="0" w:firstColumn="1" w:lastColumn="0" w:noHBand="0" w:noVBand="1"/>
      </w:tblPr>
      <w:tblGrid>
        <w:gridCol w:w="2088"/>
        <w:gridCol w:w="1440"/>
        <w:gridCol w:w="720"/>
        <w:gridCol w:w="720"/>
        <w:gridCol w:w="720"/>
        <w:gridCol w:w="1224"/>
        <w:gridCol w:w="1224"/>
      </w:tblGrid>
      <w:tr w:rsidR="006B4C9C" w14:paraId="752CC0D4" w14:textId="77777777">
        <w:trPr>
          <w:jc w:val="center"/>
        </w:trPr>
        <w:tc>
          <w:tcPr>
            <w:tcW w:w="2088" w:type="dxa"/>
            <w:shd w:val="clear" w:color="auto" w:fill="DCE6F1"/>
            <w:tcMar>
              <w:top w:w="80" w:type="dxa"/>
              <w:left w:w="80" w:type="dxa"/>
              <w:bottom w:w="80" w:type="dxa"/>
              <w:right w:w="80" w:type="dxa"/>
            </w:tcMar>
            <w:vAlign w:val="center"/>
          </w:tcPr>
          <w:p w14:paraId="7F1D775E" w14:textId="77777777" w:rsidR="006B4C9C" w:rsidRDefault="00000000">
            <w:pPr>
              <w:spacing w:after="0"/>
              <w:jc w:val="center"/>
            </w:pPr>
            <w:r>
              <w:rPr>
                <w:b/>
                <w:color w:val="1F4E79"/>
                <w:sz w:val="17"/>
              </w:rPr>
              <w:t>Model</w:t>
            </w:r>
          </w:p>
        </w:tc>
        <w:tc>
          <w:tcPr>
            <w:tcW w:w="1440" w:type="dxa"/>
            <w:shd w:val="clear" w:color="auto" w:fill="DCE6F1"/>
            <w:tcMar>
              <w:top w:w="80" w:type="dxa"/>
              <w:left w:w="80" w:type="dxa"/>
              <w:bottom w:w="80" w:type="dxa"/>
              <w:right w:w="80" w:type="dxa"/>
            </w:tcMar>
            <w:vAlign w:val="center"/>
          </w:tcPr>
          <w:p w14:paraId="287943B7" w14:textId="77777777" w:rsidR="006B4C9C" w:rsidRDefault="00000000">
            <w:pPr>
              <w:spacing w:after="0"/>
              <w:jc w:val="center"/>
            </w:pPr>
            <w:r>
              <w:rPr>
                <w:b/>
                <w:color w:val="1F4E79"/>
                <w:sz w:val="17"/>
              </w:rPr>
              <w:t>Condition</w:t>
            </w:r>
          </w:p>
        </w:tc>
        <w:tc>
          <w:tcPr>
            <w:tcW w:w="720" w:type="dxa"/>
            <w:shd w:val="clear" w:color="auto" w:fill="DCE6F1"/>
            <w:tcMar>
              <w:top w:w="80" w:type="dxa"/>
              <w:left w:w="80" w:type="dxa"/>
              <w:bottom w:w="80" w:type="dxa"/>
              <w:right w:w="80" w:type="dxa"/>
            </w:tcMar>
            <w:vAlign w:val="center"/>
          </w:tcPr>
          <w:p w14:paraId="4F2792FB" w14:textId="77777777" w:rsidR="006B4C9C" w:rsidRDefault="00000000">
            <w:pPr>
              <w:spacing w:after="0"/>
              <w:jc w:val="center"/>
            </w:pPr>
            <w:r>
              <w:rPr>
                <w:b/>
                <w:color w:val="1F4E79"/>
                <w:sz w:val="17"/>
              </w:rPr>
              <w:t>TP</w:t>
            </w:r>
          </w:p>
        </w:tc>
        <w:tc>
          <w:tcPr>
            <w:tcW w:w="720" w:type="dxa"/>
            <w:shd w:val="clear" w:color="auto" w:fill="DCE6F1"/>
            <w:tcMar>
              <w:top w:w="80" w:type="dxa"/>
              <w:left w:w="80" w:type="dxa"/>
              <w:bottom w:w="80" w:type="dxa"/>
              <w:right w:w="80" w:type="dxa"/>
            </w:tcMar>
            <w:vAlign w:val="center"/>
          </w:tcPr>
          <w:p w14:paraId="3C3E764F" w14:textId="77777777" w:rsidR="006B4C9C" w:rsidRDefault="00000000">
            <w:pPr>
              <w:spacing w:after="0"/>
              <w:jc w:val="center"/>
            </w:pPr>
            <w:r>
              <w:rPr>
                <w:b/>
                <w:color w:val="1F4E79"/>
                <w:sz w:val="17"/>
              </w:rPr>
              <w:t>FN</w:t>
            </w:r>
          </w:p>
        </w:tc>
        <w:tc>
          <w:tcPr>
            <w:tcW w:w="720" w:type="dxa"/>
            <w:shd w:val="clear" w:color="auto" w:fill="DCE6F1"/>
            <w:tcMar>
              <w:top w:w="80" w:type="dxa"/>
              <w:left w:w="80" w:type="dxa"/>
              <w:bottom w:w="80" w:type="dxa"/>
              <w:right w:w="80" w:type="dxa"/>
            </w:tcMar>
            <w:vAlign w:val="center"/>
          </w:tcPr>
          <w:p w14:paraId="434D8758" w14:textId="77777777" w:rsidR="006B4C9C" w:rsidRDefault="00000000">
            <w:pPr>
              <w:spacing w:after="0"/>
              <w:jc w:val="center"/>
            </w:pPr>
            <w:r>
              <w:rPr>
                <w:b/>
                <w:color w:val="1F4E79"/>
                <w:sz w:val="17"/>
              </w:rPr>
              <w:t>FP</w:t>
            </w:r>
          </w:p>
        </w:tc>
        <w:tc>
          <w:tcPr>
            <w:tcW w:w="1224" w:type="dxa"/>
            <w:shd w:val="clear" w:color="auto" w:fill="DCE6F1"/>
            <w:tcMar>
              <w:top w:w="80" w:type="dxa"/>
              <w:left w:w="80" w:type="dxa"/>
              <w:bottom w:w="80" w:type="dxa"/>
              <w:right w:w="80" w:type="dxa"/>
            </w:tcMar>
            <w:vAlign w:val="center"/>
          </w:tcPr>
          <w:p w14:paraId="104E2239" w14:textId="77777777" w:rsidR="006B4C9C" w:rsidRDefault="00000000">
            <w:pPr>
              <w:spacing w:after="0"/>
              <w:jc w:val="center"/>
            </w:pPr>
            <w:r>
              <w:rPr>
                <w:b/>
                <w:color w:val="1F4E79"/>
                <w:sz w:val="17"/>
              </w:rPr>
              <w:t>Precision</w:t>
            </w:r>
          </w:p>
        </w:tc>
        <w:tc>
          <w:tcPr>
            <w:tcW w:w="1224" w:type="dxa"/>
            <w:shd w:val="clear" w:color="auto" w:fill="DCE6F1"/>
            <w:tcMar>
              <w:top w:w="80" w:type="dxa"/>
              <w:left w:w="80" w:type="dxa"/>
              <w:bottom w:w="80" w:type="dxa"/>
              <w:right w:w="80" w:type="dxa"/>
            </w:tcMar>
            <w:vAlign w:val="center"/>
          </w:tcPr>
          <w:p w14:paraId="2083A3B9" w14:textId="77777777" w:rsidR="006B4C9C" w:rsidRDefault="00000000">
            <w:pPr>
              <w:spacing w:after="0"/>
              <w:jc w:val="center"/>
            </w:pPr>
            <w:r>
              <w:rPr>
                <w:b/>
                <w:color w:val="1F4E79"/>
                <w:sz w:val="17"/>
              </w:rPr>
              <w:t>Recall</w:t>
            </w:r>
          </w:p>
        </w:tc>
      </w:tr>
      <w:tr w:rsidR="006B4C9C" w14:paraId="624E4CFE" w14:textId="77777777">
        <w:trPr>
          <w:jc w:val="center"/>
        </w:trPr>
        <w:tc>
          <w:tcPr>
            <w:tcW w:w="2088" w:type="dxa"/>
            <w:tcMar>
              <w:top w:w="80" w:type="dxa"/>
              <w:left w:w="80" w:type="dxa"/>
              <w:bottom w:w="80" w:type="dxa"/>
              <w:right w:w="80" w:type="dxa"/>
            </w:tcMar>
            <w:vAlign w:val="center"/>
          </w:tcPr>
          <w:p w14:paraId="50EE6FF0" w14:textId="77777777" w:rsidR="006B4C9C" w:rsidRDefault="00000000">
            <w:pPr>
              <w:spacing w:after="0" w:line="252" w:lineRule="auto"/>
            </w:pPr>
            <w:r>
              <w:rPr>
                <w:color w:val="000000"/>
                <w:sz w:val="17"/>
              </w:rPr>
              <w:t>DeepSeek-V4-Pro</w:t>
            </w:r>
          </w:p>
        </w:tc>
        <w:tc>
          <w:tcPr>
            <w:tcW w:w="1440" w:type="dxa"/>
            <w:tcMar>
              <w:top w:w="80" w:type="dxa"/>
              <w:left w:w="80" w:type="dxa"/>
              <w:bottom w:w="80" w:type="dxa"/>
              <w:right w:w="80" w:type="dxa"/>
            </w:tcMar>
            <w:vAlign w:val="center"/>
          </w:tcPr>
          <w:p w14:paraId="66492BD1" w14:textId="77777777" w:rsidR="006B4C9C" w:rsidRDefault="00000000">
            <w:pPr>
              <w:spacing w:after="0" w:line="252" w:lineRule="auto"/>
              <w:jc w:val="center"/>
            </w:pPr>
            <w:r>
              <w:rPr>
                <w:color w:val="000000"/>
                <w:sz w:val="17"/>
              </w:rPr>
              <w:t>ODD+game</w:t>
            </w:r>
          </w:p>
        </w:tc>
        <w:tc>
          <w:tcPr>
            <w:tcW w:w="720" w:type="dxa"/>
            <w:tcMar>
              <w:top w:w="80" w:type="dxa"/>
              <w:left w:w="80" w:type="dxa"/>
              <w:bottom w:w="80" w:type="dxa"/>
              <w:right w:w="80" w:type="dxa"/>
            </w:tcMar>
            <w:vAlign w:val="center"/>
          </w:tcPr>
          <w:p w14:paraId="2022E4C4" w14:textId="77777777" w:rsidR="006B4C9C" w:rsidRDefault="00000000">
            <w:pPr>
              <w:spacing w:after="0" w:line="252" w:lineRule="auto"/>
              <w:jc w:val="center"/>
            </w:pPr>
            <w:r>
              <w:rPr>
                <w:color w:val="000000"/>
                <w:sz w:val="17"/>
              </w:rPr>
              <w:t>90</w:t>
            </w:r>
          </w:p>
        </w:tc>
        <w:tc>
          <w:tcPr>
            <w:tcW w:w="720" w:type="dxa"/>
            <w:tcMar>
              <w:top w:w="80" w:type="dxa"/>
              <w:left w:w="80" w:type="dxa"/>
              <w:bottom w:w="80" w:type="dxa"/>
              <w:right w:w="80" w:type="dxa"/>
            </w:tcMar>
            <w:vAlign w:val="center"/>
          </w:tcPr>
          <w:p w14:paraId="75AF05FF" w14:textId="77777777" w:rsidR="006B4C9C" w:rsidRDefault="00000000">
            <w:pPr>
              <w:spacing w:after="0" w:line="252" w:lineRule="auto"/>
              <w:jc w:val="center"/>
            </w:pPr>
            <w:r>
              <w:rPr>
                <w:color w:val="000000"/>
                <w:sz w:val="17"/>
              </w:rPr>
              <w:t>90</w:t>
            </w:r>
          </w:p>
        </w:tc>
        <w:tc>
          <w:tcPr>
            <w:tcW w:w="720" w:type="dxa"/>
            <w:tcMar>
              <w:top w:w="80" w:type="dxa"/>
              <w:left w:w="80" w:type="dxa"/>
              <w:bottom w:w="80" w:type="dxa"/>
              <w:right w:w="80" w:type="dxa"/>
            </w:tcMar>
            <w:vAlign w:val="center"/>
          </w:tcPr>
          <w:p w14:paraId="5685FCD3" w14:textId="77777777" w:rsidR="006B4C9C" w:rsidRDefault="00000000">
            <w:pPr>
              <w:spacing w:after="0" w:line="252" w:lineRule="auto"/>
              <w:jc w:val="center"/>
            </w:pPr>
            <w:r>
              <w:rPr>
                <w:color w:val="000000"/>
                <w:sz w:val="17"/>
              </w:rPr>
              <w:t>156</w:t>
            </w:r>
          </w:p>
        </w:tc>
        <w:tc>
          <w:tcPr>
            <w:tcW w:w="1224" w:type="dxa"/>
            <w:tcMar>
              <w:top w:w="80" w:type="dxa"/>
              <w:left w:w="80" w:type="dxa"/>
              <w:bottom w:w="80" w:type="dxa"/>
              <w:right w:w="80" w:type="dxa"/>
            </w:tcMar>
            <w:vAlign w:val="center"/>
          </w:tcPr>
          <w:p w14:paraId="6D4107C9" w14:textId="77777777" w:rsidR="006B4C9C" w:rsidRDefault="00000000">
            <w:pPr>
              <w:spacing w:after="0" w:line="252" w:lineRule="auto"/>
              <w:jc w:val="center"/>
            </w:pPr>
            <w:r>
              <w:rPr>
                <w:color w:val="000000"/>
                <w:sz w:val="17"/>
              </w:rPr>
              <w:t>0.3659</w:t>
            </w:r>
          </w:p>
        </w:tc>
        <w:tc>
          <w:tcPr>
            <w:tcW w:w="1224" w:type="dxa"/>
            <w:tcMar>
              <w:top w:w="80" w:type="dxa"/>
              <w:left w:w="80" w:type="dxa"/>
              <w:bottom w:w="80" w:type="dxa"/>
              <w:right w:w="80" w:type="dxa"/>
            </w:tcMar>
            <w:vAlign w:val="center"/>
          </w:tcPr>
          <w:p w14:paraId="72D4A1C1" w14:textId="77777777" w:rsidR="006B4C9C" w:rsidRDefault="00000000">
            <w:pPr>
              <w:spacing w:after="0" w:line="252" w:lineRule="auto"/>
              <w:jc w:val="center"/>
            </w:pPr>
            <w:r>
              <w:rPr>
                <w:color w:val="000000"/>
                <w:sz w:val="17"/>
              </w:rPr>
              <w:t>0.5000</w:t>
            </w:r>
          </w:p>
        </w:tc>
      </w:tr>
      <w:tr w:rsidR="006B4C9C" w14:paraId="2844B5B6" w14:textId="77777777">
        <w:trPr>
          <w:jc w:val="center"/>
        </w:trPr>
        <w:tc>
          <w:tcPr>
            <w:tcW w:w="2088" w:type="dxa"/>
            <w:shd w:val="clear" w:color="auto" w:fill="F5F8FC"/>
            <w:tcMar>
              <w:top w:w="80" w:type="dxa"/>
              <w:left w:w="80" w:type="dxa"/>
              <w:bottom w:w="80" w:type="dxa"/>
              <w:right w:w="80" w:type="dxa"/>
            </w:tcMar>
            <w:vAlign w:val="center"/>
          </w:tcPr>
          <w:p w14:paraId="70EC8B0E" w14:textId="77777777" w:rsidR="006B4C9C" w:rsidRDefault="00000000">
            <w:pPr>
              <w:spacing w:after="0" w:line="252" w:lineRule="auto"/>
            </w:pPr>
            <w:r>
              <w:rPr>
                <w:color w:val="000000"/>
                <w:sz w:val="17"/>
              </w:rPr>
              <w:t>DeepSeek-V4-Pro</w:t>
            </w:r>
          </w:p>
        </w:tc>
        <w:tc>
          <w:tcPr>
            <w:tcW w:w="1440" w:type="dxa"/>
            <w:shd w:val="clear" w:color="auto" w:fill="F5F8FC"/>
            <w:tcMar>
              <w:top w:w="80" w:type="dxa"/>
              <w:left w:w="80" w:type="dxa"/>
              <w:bottom w:w="80" w:type="dxa"/>
              <w:right w:w="80" w:type="dxa"/>
            </w:tcMar>
            <w:vAlign w:val="center"/>
          </w:tcPr>
          <w:p w14:paraId="3D9F8FAC" w14:textId="77777777" w:rsidR="006B4C9C" w:rsidRDefault="00000000">
            <w:pPr>
              <w:spacing w:after="0" w:line="252" w:lineRule="auto"/>
              <w:jc w:val="center"/>
            </w:pPr>
            <w:r>
              <w:rPr>
                <w:color w:val="000000"/>
                <w:sz w:val="17"/>
              </w:rPr>
              <w:t>ODD-only</w:t>
            </w:r>
          </w:p>
        </w:tc>
        <w:tc>
          <w:tcPr>
            <w:tcW w:w="720" w:type="dxa"/>
            <w:shd w:val="clear" w:color="auto" w:fill="F5F8FC"/>
            <w:tcMar>
              <w:top w:w="80" w:type="dxa"/>
              <w:left w:w="80" w:type="dxa"/>
              <w:bottom w:w="80" w:type="dxa"/>
              <w:right w:w="80" w:type="dxa"/>
            </w:tcMar>
            <w:vAlign w:val="center"/>
          </w:tcPr>
          <w:p w14:paraId="2D578F6E" w14:textId="77777777" w:rsidR="006B4C9C" w:rsidRDefault="00000000">
            <w:pPr>
              <w:spacing w:after="0" w:line="252" w:lineRule="auto"/>
              <w:jc w:val="center"/>
            </w:pPr>
            <w:r>
              <w:rPr>
                <w:color w:val="000000"/>
                <w:sz w:val="17"/>
              </w:rPr>
              <w:t>66</w:t>
            </w:r>
          </w:p>
        </w:tc>
        <w:tc>
          <w:tcPr>
            <w:tcW w:w="720" w:type="dxa"/>
            <w:shd w:val="clear" w:color="auto" w:fill="F5F8FC"/>
            <w:tcMar>
              <w:top w:w="80" w:type="dxa"/>
              <w:left w:w="80" w:type="dxa"/>
              <w:bottom w:w="80" w:type="dxa"/>
              <w:right w:w="80" w:type="dxa"/>
            </w:tcMar>
            <w:vAlign w:val="center"/>
          </w:tcPr>
          <w:p w14:paraId="13262F8D" w14:textId="77777777" w:rsidR="006B4C9C" w:rsidRDefault="00000000">
            <w:pPr>
              <w:spacing w:after="0" w:line="252" w:lineRule="auto"/>
              <w:jc w:val="center"/>
            </w:pPr>
            <w:r>
              <w:rPr>
                <w:color w:val="000000"/>
                <w:sz w:val="17"/>
              </w:rPr>
              <w:t>114</w:t>
            </w:r>
          </w:p>
        </w:tc>
        <w:tc>
          <w:tcPr>
            <w:tcW w:w="720" w:type="dxa"/>
            <w:shd w:val="clear" w:color="auto" w:fill="F5F8FC"/>
            <w:tcMar>
              <w:top w:w="80" w:type="dxa"/>
              <w:left w:w="80" w:type="dxa"/>
              <w:bottom w:w="80" w:type="dxa"/>
              <w:right w:w="80" w:type="dxa"/>
            </w:tcMar>
            <w:vAlign w:val="center"/>
          </w:tcPr>
          <w:p w14:paraId="3AFAFDBA" w14:textId="77777777" w:rsidR="006B4C9C" w:rsidRDefault="00000000">
            <w:pPr>
              <w:spacing w:after="0" w:line="252" w:lineRule="auto"/>
              <w:jc w:val="center"/>
            </w:pPr>
            <w:r>
              <w:rPr>
                <w:color w:val="000000"/>
                <w:sz w:val="17"/>
              </w:rPr>
              <w:t>143</w:t>
            </w:r>
          </w:p>
        </w:tc>
        <w:tc>
          <w:tcPr>
            <w:tcW w:w="1224" w:type="dxa"/>
            <w:shd w:val="clear" w:color="auto" w:fill="F5F8FC"/>
            <w:tcMar>
              <w:top w:w="80" w:type="dxa"/>
              <w:left w:w="80" w:type="dxa"/>
              <w:bottom w:w="80" w:type="dxa"/>
              <w:right w:w="80" w:type="dxa"/>
            </w:tcMar>
            <w:vAlign w:val="center"/>
          </w:tcPr>
          <w:p w14:paraId="49E4A9AD" w14:textId="77777777" w:rsidR="006B4C9C" w:rsidRDefault="00000000">
            <w:pPr>
              <w:spacing w:after="0" w:line="252" w:lineRule="auto"/>
              <w:jc w:val="center"/>
            </w:pPr>
            <w:r>
              <w:rPr>
                <w:color w:val="000000"/>
                <w:sz w:val="17"/>
              </w:rPr>
              <w:t>0.3158</w:t>
            </w:r>
          </w:p>
        </w:tc>
        <w:tc>
          <w:tcPr>
            <w:tcW w:w="1224" w:type="dxa"/>
            <w:shd w:val="clear" w:color="auto" w:fill="F5F8FC"/>
            <w:tcMar>
              <w:top w:w="80" w:type="dxa"/>
              <w:left w:w="80" w:type="dxa"/>
              <w:bottom w:w="80" w:type="dxa"/>
              <w:right w:w="80" w:type="dxa"/>
            </w:tcMar>
            <w:vAlign w:val="center"/>
          </w:tcPr>
          <w:p w14:paraId="644E3B45" w14:textId="77777777" w:rsidR="006B4C9C" w:rsidRDefault="00000000">
            <w:pPr>
              <w:spacing w:after="0" w:line="252" w:lineRule="auto"/>
              <w:jc w:val="center"/>
            </w:pPr>
            <w:r>
              <w:rPr>
                <w:color w:val="000000"/>
                <w:sz w:val="17"/>
              </w:rPr>
              <w:t>0.3667</w:t>
            </w:r>
          </w:p>
        </w:tc>
      </w:tr>
      <w:tr w:rsidR="006B4C9C" w14:paraId="09604C81" w14:textId="77777777">
        <w:trPr>
          <w:jc w:val="center"/>
        </w:trPr>
        <w:tc>
          <w:tcPr>
            <w:tcW w:w="2088" w:type="dxa"/>
            <w:tcMar>
              <w:top w:w="80" w:type="dxa"/>
              <w:left w:w="80" w:type="dxa"/>
              <w:bottom w:w="80" w:type="dxa"/>
              <w:right w:w="80" w:type="dxa"/>
            </w:tcMar>
            <w:vAlign w:val="center"/>
          </w:tcPr>
          <w:p w14:paraId="6EFBD351" w14:textId="77777777" w:rsidR="006B4C9C" w:rsidRDefault="00000000">
            <w:pPr>
              <w:spacing w:after="0" w:line="252" w:lineRule="auto"/>
            </w:pPr>
            <w:r>
              <w:rPr>
                <w:color w:val="000000"/>
                <w:sz w:val="17"/>
              </w:rPr>
              <w:t>Llama-3.3-70B</w:t>
            </w:r>
          </w:p>
        </w:tc>
        <w:tc>
          <w:tcPr>
            <w:tcW w:w="1440" w:type="dxa"/>
            <w:tcMar>
              <w:top w:w="80" w:type="dxa"/>
              <w:left w:w="80" w:type="dxa"/>
              <w:bottom w:w="80" w:type="dxa"/>
              <w:right w:w="80" w:type="dxa"/>
            </w:tcMar>
            <w:vAlign w:val="center"/>
          </w:tcPr>
          <w:p w14:paraId="4DE6C036" w14:textId="77777777" w:rsidR="006B4C9C" w:rsidRDefault="00000000">
            <w:pPr>
              <w:spacing w:after="0" w:line="252" w:lineRule="auto"/>
              <w:jc w:val="center"/>
            </w:pPr>
            <w:r>
              <w:rPr>
                <w:color w:val="000000"/>
                <w:sz w:val="17"/>
              </w:rPr>
              <w:t>ODD+game</w:t>
            </w:r>
          </w:p>
        </w:tc>
        <w:tc>
          <w:tcPr>
            <w:tcW w:w="720" w:type="dxa"/>
            <w:tcMar>
              <w:top w:w="80" w:type="dxa"/>
              <w:left w:w="80" w:type="dxa"/>
              <w:bottom w:w="80" w:type="dxa"/>
              <w:right w:w="80" w:type="dxa"/>
            </w:tcMar>
            <w:vAlign w:val="center"/>
          </w:tcPr>
          <w:p w14:paraId="2868C623" w14:textId="77777777" w:rsidR="006B4C9C" w:rsidRDefault="00000000">
            <w:pPr>
              <w:spacing w:after="0" w:line="252" w:lineRule="auto"/>
              <w:jc w:val="center"/>
            </w:pPr>
            <w:r>
              <w:rPr>
                <w:color w:val="000000"/>
                <w:sz w:val="17"/>
              </w:rPr>
              <w:t>57</w:t>
            </w:r>
          </w:p>
        </w:tc>
        <w:tc>
          <w:tcPr>
            <w:tcW w:w="720" w:type="dxa"/>
            <w:tcMar>
              <w:top w:w="80" w:type="dxa"/>
              <w:left w:w="80" w:type="dxa"/>
              <w:bottom w:w="80" w:type="dxa"/>
              <w:right w:w="80" w:type="dxa"/>
            </w:tcMar>
            <w:vAlign w:val="center"/>
          </w:tcPr>
          <w:p w14:paraId="5686037B" w14:textId="77777777" w:rsidR="006B4C9C" w:rsidRDefault="00000000">
            <w:pPr>
              <w:spacing w:after="0" w:line="252" w:lineRule="auto"/>
              <w:jc w:val="center"/>
            </w:pPr>
            <w:r>
              <w:rPr>
                <w:color w:val="000000"/>
                <w:sz w:val="17"/>
              </w:rPr>
              <w:t>123</w:t>
            </w:r>
          </w:p>
        </w:tc>
        <w:tc>
          <w:tcPr>
            <w:tcW w:w="720" w:type="dxa"/>
            <w:tcMar>
              <w:top w:w="80" w:type="dxa"/>
              <w:left w:w="80" w:type="dxa"/>
              <w:bottom w:w="80" w:type="dxa"/>
              <w:right w:w="80" w:type="dxa"/>
            </w:tcMar>
            <w:vAlign w:val="center"/>
          </w:tcPr>
          <w:p w14:paraId="6E406C8F" w14:textId="77777777" w:rsidR="006B4C9C" w:rsidRDefault="00000000">
            <w:pPr>
              <w:spacing w:after="0" w:line="252" w:lineRule="auto"/>
              <w:jc w:val="center"/>
            </w:pPr>
            <w:r>
              <w:rPr>
                <w:color w:val="000000"/>
                <w:sz w:val="17"/>
              </w:rPr>
              <w:t>31</w:t>
            </w:r>
          </w:p>
        </w:tc>
        <w:tc>
          <w:tcPr>
            <w:tcW w:w="1224" w:type="dxa"/>
            <w:tcMar>
              <w:top w:w="80" w:type="dxa"/>
              <w:left w:w="80" w:type="dxa"/>
              <w:bottom w:w="80" w:type="dxa"/>
              <w:right w:w="80" w:type="dxa"/>
            </w:tcMar>
            <w:vAlign w:val="center"/>
          </w:tcPr>
          <w:p w14:paraId="389192D9" w14:textId="77777777" w:rsidR="006B4C9C" w:rsidRDefault="00000000">
            <w:pPr>
              <w:spacing w:after="0" w:line="252" w:lineRule="auto"/>
              <w:jc w:val="center"/>
            </w:pPr>
            <w:r>
              <w:rPr>
                <w:color w:val="000000"/>
                <w:sz w:val="17"/>
              </w:rPr>
              <w:t>0.6477</w:t>
            </w:r>
          </w:p>
        </w:tc>
        <w:tc>
          <w:tcPr>
            <w:tcW w:w="1224" w:type="dxa"/>
            <w:tcMar>
              <w:top w:w="80" w:type="dxa"/>
              <w:left w:w="80" w:type="dxa"/>
              <w:bottom w:w="80" w:type="dxa"/>
              <w:right w:w="80" w:type="dxa"/>
            </w:tcMar>
            <w:vAlign w:val="center"/>
          </w:tcPr>
          <w:p w14:paraId="43BB740F" w14:textId="77777777" w:rsidR="006B4C9C" w:rsidRDefault="00000000">
            <w:pPr>
              <w:spacing w:after="0" w:line="252" w:lineRule="auto"/>
              <w:jc w:val="center"/>
            </w:pPr>
            <w:r>
              <w:rPr>
                <w:color w:val="000000"/>
                <w:sz w:val="17"/>
              </w:rPr>
              <w:t>0.3167</w:t>
            </w:r>
          </w:p>
        </w:tc>
      </w:tr>
      <w:tr w:rsidR="006B4C9C" w14:paraId="1FD32825" w14:textId="77777777">
        <w:trPr>
          <w:jc w:val="center"/>
        </w:trPr>
        <w:tc>
          <w:tcPr>
            <w:tcW w:w="2088" w:type="dxa"/>
            <w:shd w:val="clear" w:color="auto" w:fill="F5F8FC"/>
            <w:tcMar>
              <w:top w:w="80" w:type="dxa"/>
              <w:left w:w="80" w:type="dxa"/>
              <w:bottom w:w="80" w:type="dxa"/>
              <w:right w:w="80" w:type="dxa"/>
            </w:tcMar>
            <w:vAlign w:val="center"/>
          </w:tcPr>
          <w:p w14:paraId="4E63974D" w14:textId="77777777" w:rsidR="006B4C9C" w:rsidRDefault="00000000">
            <w:pPr>
              <w:spacing w:after="0" w:line="252" w:lineRule="auto"/>
            </w:pPr>
            <w:r>
              <w:rPr>
                <w:color w:val="000000"/>
                <w:sz w:val="17"/>
              </w:rPr>
              <w:t>Llama-3.3-70B</w:t>
            </w:r>
          </w:p>
        </w:tc>
        <w:tc>
          <w:tcPr>
            <w:tcW w:w="1440" w:type="dxa"/>
            <w:shd w:val="clear" w:color="auto" w:fill="F5F8FC"/>
            <w:tcMar>
              <w:top w:w="80" w:type="dxa"/>
              <w:left w:w="80" w:type="dxa"/>
              <w:bottom w:w="80" w:type="dxa"/>
              <w:right w:w="80" w:type="dxa"/>
            </w:tcMar>
            <w:vAlign w:val="center"/>
          </w:tcPr>
          <w:p w14:paraId="5DB045C7" w14:textId="77777777" w:rsidR="006B4C9C" w:rsidRDefault="00000000">
            <w:pPr>
              <w:spacing w:after="0" w:line="252" w:lineRule="auto"/>
              <w:jc w:val="center"/>
            </w:pPr>
            <w:r>
              <w:rPr>
                <w:color w:val="000000"/>
                <w:sz w:val="17"/>
              </w:rPr>
              <w:t>ODD-only</w:t>
            </w:r>
          </w:p>
        </w:tc>
        <w:tc>
          <w:tcPr>
            <w:tcW w:w="720" w:type="dxa"/>
            <w:shd w:val="clear" w:color="auto" w:fill="F5F8FC"/>
            <w:tcMar>
              <w:top w:w="80" w:type="dxa"/>
              <w:left w:w="80" w:type="dxa"/>
              <w:bottom w:w="80" w:type="dxa"/>
              <w:right w:w="80" w:type="dxa"/>
            </w:tcMar>
            <w:vAlign w:val="center"/>
          </w:tcPr>
          <w:p w14:paraId="4E71D735" w14:textId="77777777" w:rsidR="006B4C9C" w:rsidRDefault="00000000">
            <w:pPr>
              <w:spacing w:after="0" w:line="252" w:lineRule="auto"/>
              <w:jc w:val="center"/>
            </w:pPr>
            <w:r>
              <w:rPr>
                <w:color w:val="000000"/>
                <w:sz w:val="17"/>
              </w:rPr>
              <w:t>39</w:t>
            </w:r>
          </w:p>
        </w:tc>
        <w:tc>
          <w:tcPr>
            <w:tcW w:w="720" w:type="dxa"/>
            <w:shd w:val="clear" w:color="auto" w:fill="F5F8FC"/>
            <w:tcMar>
              <w:top w:w="80" w:type="dxa"/>
              <w:left w:w="80" w:type="dxa"/>
              <w:bottom w:w="80" w:type="dxa"/>
              <w:right w:w="80" w:type="dxa"/>
            </w:tcMar>
            <w:vAlign w:val="center"/>
          </w:tcPr>
          <w:p w14:paraId="0059E606" w14:textId="77777777" w:rsidR="006B4C9C" w:rsidRDefault="00000000">
            <w:pPr>
              <w:spacing w:after="0" w:line="252" w:lineRule="auto"/>
              <w:jc w:val="center"/>
            </w:pPr>
            <w:r>
              <w:rPr>
                <w:color w:val="000000"/>
                <w:sz w:val="17"/>
              </w:rPr>
              <w:t>141</w:t>
            </w:r>
          </w:p>
        </w:tc>
        <w:tc>
          <w:tcPr>
            <w:tcW w:w="720" w:type="dxa"/>
            <w:shd w:val="clear" w:color="auto" w:fill="F5F8FC"/>
            <w:tcMar>
              <w:top w:w="80" w:type="dxa"/>
              <w:left w:w="80" w:type="dxa"/>
              <w:bottom w:w="80" w:type="dxa"/>
              <w:right w:w="80" w:type="dxa"/>
            </w:tcMar>
            <w:vAlign w:val="center"/>
          </w:tcPr>
          <w:p w14:paraId="13DA1886" w14:textId="77777777" w:rsidR="006B4C9C" w:rsidRDefault="00000000">
            <w:pPr>
              <w:spacing w:after="0" w:line="252" w:lineRule="auto"/>
              <w:jc w:val="center"/>
            </w:pPr>
            <w:r>
              <w:rPr>
                <w:color w:val="000000"/>
                <w:sz w:val="17"/>
              </w:rPr>
              <w:t>24</w:t>
            </w:r>
          </w:p>
        </w:tc>
        <w:tc>
          <w:tcPr>
            <w:tcW w:w="1224" w:type="dxa"/>
            <w:shd w:val="clear" w:color="auto" w:fill="F5F8FC"/>
            <w:tcMar>
              <w:top w:w="80" w:type="dxa"/>
              <w:left w:w="80" w:type="dxa"/>
              <w:bottom w:w="80" w:type="dxa"/>
              <w:right w:w="80" w:type="dxa"/>
            </w:tcMar>
            <w:vAlign w:val="center"/>
          </w:tcPr>
          <w:p w14:paraId="30EB83D4" w14:textId="77777777" w:rsidR="006B4C9C" w:rsidRDefault="00000000">
            <w:pPr>
              <w:spacing w:after="0" w:line="252" w:lineRule="auto"/>
              <w:jc w:val="center"/>
            </w:pPr>
            <w:r>
              <w:rPr>
                <w:color w:val="000000"/>
                <w:sz w:val="17"/>
              </w:rPr>
              <w:t>0.6190</w:t>
            </w:r>
          </w:p>
        </w:tc>
        <w:tc>
          <w:tcPr>
            <w:tcW w:w="1224" w:type="dxa"/>
            <w:shd w:val="clear" w:color="auto" w:fill="F5F8FC"/>
            <w:tcMar>
              <w:top w:w="80" w:type="dxa"/>
              <w:left w:w="80" w:type="dxa"/>
              <w:bottom w:w="80" w:type="dxa"/>
              <w:right w:w="80" w:type="dxa"/>
            </w:tcMar>
            <w:vAlign w:val="center"/>
          </w:tcPr>
          <w:p w14:paraId="562D383C" w14:textId="77777777" w:rsidR="006B4C9C" w:rsidRDefault="00000000">
            <w:pPr>
              <w:spacing w:after="0" w:line="252" w:lineRule="auto"/>
              <w:jc w:val="center"/>
            </w:pPr>
            <w:r>
              <w:rPr>
                <w:color w:val="000000"/>
                <w:sz w:val="17"/>
              </w:rPr>
              <w:t>0.2167</w:t>
            </w:r>
          </w:p>
        </w:tc>
      </w:tr>
      <w:tr w:rsidR="006B4C9C" w14:paraId="5D50C46F" w14:textId="77777777">
        <w:trPr>
          <w:jc w:val="center"/>
        </w:trPr>
        <w:tc>
          <w:tcPr>
            <w:tcW w:w="2088" w:type="dxa"/>
            <w:tcMar>
              <w:top w:w="80" w:type="dxa"/>
              <w:left w:w="80" w:type="dxa"/>
              <w:bottom w:w="80" w:type="dxa"/>
              <w:right w:w="80" w:type="dxa"/>
            </w:tcMar>
            <w:vAlign w:val="center"/>
          </w:tcPr>
          <w:p w14:paraId="02B7DED3" w14:textId="77777777" w:rsidR="006B4C9C" w:rsidRDefault="00000000">
            <w:pPr>
              <w:spacing w:after="0" w:line="252" w:lineRule="auto"/>
            </w:pPr>
            <w:r>
              <w:rPr>
                <w:color w:val="000000"/>
                <w:sz w:val="17"/>
              </w:rPr>
              <w:t>Qwen2.5-7B</w:t>
            </w:r>
          </w:p>
        </w:tc>
        <w:tc>
          <w:tcPr>
            <w:tcW w:w="1440" w:type="dxa"/>
            <w:tcMar>
              <w:top w:w="80" w:type="dxa"/>
              <w:left w:w="80" w:type="dxa"/>
              <w:bottom w:w="80" w:type="dxa"/>
              <w:right w:w="80" w:type="dxa"/>
            </w:tcMar>
            <w:vAlign w:val="center"/>
          </w:tcPr>
          <w:p w14:paraId="62EBEDC9" w14:textId="77777777" w:rsidR="006B4C9C" w:rsidRDefault="00000000">
            <w:pPr>
              <w:spacing w:after="0" w:line="252" w:lineRule="auto"/>
              <w:jc w:val="center"/>
            </w:pPr>
            <w:r>
              <w:rPr>
                <w:color w:val="000000"/>
                <w:sz w:val="17"/>
              </w:rPr>
              <w:t>ODD+game</w:t>
            </w:r>
          </w:p>
        </w:tc>
        <w:tc>
          <w:tcPr>
            <w:tcW w:w="720" w:type="dxa"/>
            <w:tcMar>
              <w:top w:w="80" w:type="dxa"/>
              <w:left w:w="80" w:type="dxa"/>
              <w:bottom w:w="80" w:type="dxa"/>
              <w:right w:w="80" w:type="dxa"/>
            </w:tcMar>
            <w:vAlign w:val="center"/>
          </w:tcPr>
          <w:p w14:paraId="100E2D83" w14:textId="77777777" w:rsidR="006B4C9C" w:rsidRDefault="00000000">
            <w:pPr>
              <w:spacing w:after="0" w:line="252" w:lineRule="auto"/>
              <w:jc w:val="center"/>
            </w:pPr>
            <w:r>
              <w:rPr>
                <w:color w:val="000000"/>
                <w:sz w:val="17"/>
              </w:rPr>
              <w:t>81</w:t>
            </w:r>
          </w:p>
        </w:tc>
        <w:tc>
          <w:tcPr>
            <w:tcW w:w="720" w:type="dxa"/>
            <w:tcMar>
              <w:top w:w="80" w:type="dxa"/>
              <w:left w:w="80" w:type="dxa"/>
              <w:bottom w:w="80" w:type="dxa"/>
              <w:right w:w="80" w:type="dxa"/>
            </w:tcMar>
            <w:vAlign w:val="center"/>
          </w:tcPr>
          <w:p w14:paraId="0AF4BDE1" w14:textId="77777777" w:rsidR="006B4C9C" w:rsidRDefault="00000000">
            <w:pPr>
              <w:spacing w:after="0" w:line="252" w:lineRule="auto"/>
              <w:jc w:val="center"/>
            </w:pPr>
            <w:r>
              <w:rPr>
                <w:color w:val="000000"/>
                <w:sz w:val="17"/>
              </w:rPr>
              <w:t>99</w:t>
            </w:r>
          </w:p>
        </w:tc>
        <w:tc>
          <w:tcPr>
            <w:tcW w:w="720" w:type="dxa"/>
            <w:tcMar>
              <w:top w:w="80" w:type="dxa"/>
              <w:left w:w="80" w:type="dxa"/>
              <w:bottom w:w="80" w:type="dxa"/>
              <w:right w:w="80" w:type="dxa"/>
            </w:tcMar>
            <w:vAlign w:val="center"/>
          </w:tcPr>
          <w:p w14:paraId="6A25188F" w14:textId="77777777" w:rsidR="006B4C9C" w:rsidRDefault="00000000">
            <w:pPr>
              <w:spacing w:after="0" w:line="252" w:lineRule="auto"/>
              <w:jc w:val="center"/>
            </w:pPr>
            <w:r>
              <w:rPr>
                <w:color w:val="000000"/>
                <w:sz w:val="17"/>
              </w:rPr>
              <w:t>101</w:t>
            </w:r>
          </w:p>
        </w:tc>
        <w:tc>
          <w:tcPr>
            <w:tcW w:w="1224" w:type="dxa"/>
            <w:tcMar>
              <w:top w:w="80" w:type="dxa"/>
              <w:left w:w="80" w:type="dxa"/>
              <w:bottom w:w="80" w:type="dxa"/>
              <w:right w:w="80" w:type="dxa"/>
            </w:tcMar>
            <w:vAlign w:val="center"/>
          </w:tcPr>
          <w:p w14:paraId="2C2C0C27" w14:textId="77777777" w:rsidR="006B4C9C" w:rsidRDefault="00000000">
            <w:pPr>
              <w:spacing w:after="0" w:line="252" w:lineRule="auto"/>
              <w:jc w:val="center"/>
            </w:pPr>
            <w:r>
              <w:rPr>
                <w:color w:val="000000"/>
                <w:sz w:val="17"/>
              </w:rPr>
              <w:t>0.4451</w:t>
            </w:r>
          </w:p>
        </w:tc>
        <w:tc>
          <w:tcPr>
            <w:tcW w:w="1224" w:type="dxa"/>
            <w:tcMar>
              <w:top w:w="80" w:type="dxa"/>
              <w:left w:w="80" w:type="dxa"/>
              <w:bottom w:w="80" w:type="dxa"/>
              <w:right w:w="80" w:type="dxa"/>
            </w:tcMar>
            <w:vAlign w:val="center"/>
          </w:tcPr>
          <w:p w14:paraId="30DB04B8" w14:textId="77777777" w:rsidR="006B4C9C" w:rsidRDefault="00000000">
            <w:pPr>
              <w:spacing w:after="0" w:line="252" w:lineRule="auto"/>
              <w:jc w:val="center"/>
            </w:pPr>
            <w:r>
              <w:rPr>
                <w:color w:val="000000"/>
                <w:sz w:val="17"/>
              </w:rPr>
              <w:t>0.4500</w:t>
            </w:r>
          </w:p>
        </w:tc>
      </w:tr>
      <w:tr w:rsidR="006B4C9C" w14:paraId="4F252812" w14:textId="77777777">
        <w:trPr>
          <w:jc w:val="center"/>
        </w:trPr>
        <w:tc>
          <w:tcPr>
            <w:tcW w:w="2088" w:type="dxa"/>
            <w:shd w:val="clear" w:color="auto" w:fill="F5F8FC"/>
            <w:tcMar>
              <w:top w:w="80" w:type="dxa"/>
              <w:left w:w="80" w:type="dxa"/>
              <w:bottom w:w="80" w:type="dxa"/>
              <w:right w:w="80" w:type="dxa"/>
            </w:tcMar>
            <w:vAlign w:val="center"/>
          </w:tcPr>
          <w:p w14:paraId="7E8CBC00" w14:textId="77777777" w:rsidR="006B4C9C" w:rsidRDefault="00000000">
            <w:pPr>
              <w:spacing w:after="0" w:line="252" w:lineRule="auto"/>
            </w:pPr>
            <w:r>
              <w:rPr>
                <w:color w:val="000000"/>
                <w:sz w:val="17"/>
              </w:rPr>
              <w:t>Qwen2.5-7B</w:t>
            </w:r>
          </w:p>
        </w:tc>
        <w:tc>
          <w:tcPr>
            <w:tcW w:w="1440" w:type="dxa"/>
            <w:shd w:val="clear" w:color="auto" w:fill="F5F8FC"/>
            <w:tcMar>
              <w:top w:w="80" w:type="dxa"/>
              <w:left w:w="80" w:type="dxa"/>
              <w:bottom w:w="80" w:type="dxa"/>
              <w:right w:w="80" w:type="dxa"/>
            </w:tcMar>
            <w:vAlign w:val="center"/>
          </w:tcPr>
          <w:p w14:paraId="7815387E" w14:textId="77777777" w:rsidR="006B4C9C" w:rsidRDefault="00000000">
            <w:pPr>
              <w:spacing w:after="0" w:line="252" w:lineRule="auto"/>
              <w:jc w:val="center"/>
            </w:pPr>
            <w:r>
              <w:rPr>
                <w:color w:val="000000"/>
                <w:sz w:val="17"/>
              </w:rPr>
              <w:t>ODD-only</w:t>
            </w:r>
          </w:p>
        </w:tc>
        <w:tc>
          <w:tcPr>
            <w:tcW w:w="720" w:type="dxa"/>
            <w:shd w:val="clear" w:color="auto" w:fill="F5F8FC"/>
            <w:tcMar>
              <w:top w:w="80" w:type="dxa"/>
              <w:left w:w="80" w:type="dxa"/>
              <w:bottom w:w="80" w:type="dxa"/>
              <w:right w:w="80" w:type="dxa"/>
            </w:tcMar>
            <w:vAlign w:val="center"/>
          </w:tcPr>
          <w:p w14:paraId="61253A93" w14:textId="77777777" w:rsidR="006B4C9C" w:rsidRDefault="00000000">
            <w:pPr>
              <w:spacing w:after="0" w:line="252" w:lineRule="auto"/>
              <w:jc w:val="center"/>
            </w:pPr>
            <w:r>
              <w:rPr>
                <w:color w:val="000000"/>
                <w:sz w:val="17"/>
              </w:rPr>
              <w:t>42</w:t>
            </w:r>
          </w:p>
        </w:tc>
        <w:tc>
          <w:tcPr>
            <w:tcW w:w="720" w:type="dxa"/>
            <w:shd w:val="clear" w:color="auto" w:fill="F5F8FC"/>
            <w:tcMar>
              <w:top w:w="80" w:type="dxa"/>
              <w:left w:w="80" w:type="dxa"/>
              <w:bottom w:w="80" w:type="dxa"/>
              <w:right w:w="80" w:type="dxa"/>
            </w:tcMar>
            <w:vAlign w:val="center"/>
          </w:tcPr>
          <w:p w14:paraId="6C44FC88" w14:textId="77777777" w:rsidR="006B4C9C" w:rsidRDefault="00000000">
            <w:pPr>
              <w:spacing w:after="0" w:line="252" w:lineRule="auto"/>
              <w:jc w:val="center"/>
            </w:pPr>
            <w:r>
              <w:rPr>
                <w:color w:val="000000"/>
                <w:sz w:val="17"/>
              </w:rPr>
              <w:t>138</w:t>
            </w:r>
          </w:p>
        </w:tc>
        <w:tc>
          <w:tcPr>
            <w:tcW w:w="720" w:type="dxa"/>
            <w:shd w:val="clear" w:color="auto" w:fill="F5F8FC"/>
            <w:tcMar>
              <w:top w:w="80" w:type="dxa"/>
              <w:left w:w="80" w:type="dxa"/>
              <w:bottom w:w="80" w:type="dxa"/>
              <w:right w:w="80" w:type="dxa"/>
            </w:tcMar>
            <w:vAlign w:val="center"/>
          </w:tcPr>
          <w:p w14:paraId="2D98D329" w14:textId="77777777" w:rsidR="006B4C9C" w:rsidRDefault="00000000">
            <w:pPr>
              <w:spacing w:after="0" w:line="252" w:lineRule="auto"/>
              <w:jc w:val="center"/>
            </w:pPr>
            <w:r>
              <w:rPr>
                <w:color w:val="000000"/>
                <w:sz w:val="17"/>
              </w:rPr>
              <w:t>149</w:t>
            </w:r>
          </w:p>
        </w:tc>
        <w:tc>
          <w:tcPr>
            <w:tcW w:w="1224" w:type="dxa"/>
            <w:shd w:val="clear" w:color="auto" w:fill="F5F8FC"/>
            <w:tcMar>
              <w:top w:w="80" w:type="dxa"/>
              <w:left w:w="80" w:type="dxa"/>
              <w:bottom w:w="80" w:type="dxa"/>
              <w:right w:w="80" w:type="dxa"/>
            </w:tcMar>
            <w:vAlign w:val="center"/>
          </w:tcPr>
          <w:p w14:paraId="5AE998FF" w14:textId="77777777" w:rsidR="006B4C9C" w:rsidRDefault="00000000">
            <w:pPr>
              <w:spacing w:after="0" w:line="252" w:lineRule="auto"/>
              <w:jc w:val="center"/>
            </w:pPr>
            <w:r>
              <w:rPr>
                <w:color w:val="000000"/>
                <w:sz w:val="17"/>
              </w:rPr>
              <w:t>0.2199</w:t>
            </w:r>
          </w:p>
        </w:tc>
        <w:tc>
          <w:tcPr>
            <w:tcW w:w="1224" w:type="dxa"/>
            <w:shd w:val="clear" w:color="auto" w:fill="F5F8FC"/>
            <w:tcMar>
              <w:top w:w="80" w:type="dxa"/>
              <w:left w:w="80" w:type="dxa"/>
              <w:bottom w:w="80" w:type="dxa"/>
              <w:right w:w="80" w:type="dxa"/>
            </w:tcMar>
            <w:vAlign w:val="center"/>
          </w:tcPr>
          <w:p w14:paraId="4E9F44F4" w14:textId="77777777" w:rsidR="006B4C9C" w:rsidRDefault="00000000">
            <w:pPr>
              <w:spacing w:after="0" w:line="252" w:lineRule="auto"/>
              <w:jc w:val="center"/>
            </w:pPr>
            <w:r>
              <w:rPr>
                <w:color w:val="000000"/>
                <w:sz w:val="17"/>
              </w:rPr>
              <w:t>0.2333</w:t>
            </w:r>
          </w:p>
        </w:tc>
      </w:tr>
    </w:tbl>
    <w:p w14:paraId="5F7F15CD" w14:textId="77777777" w:rsidR="006B4C9C" w:rsidRDefault="00000000">
      <w:pPr>
        <w:spacing w:after="80" w:line="300" w:lineRule="auto"/>
      </w:pPr>
      <w:r>
        <w:rPr>
          <w:b/>
          <w:color w:val="1F4E79"/>
          <w:sz w:val="21"/>
        </w:rPr>
        <w:t>ODD+game minus ODD-only for EV-parking</w:t>
      </w:r>
    </w:p>
    <w:tbl>
      <w:tblPr>
        <w:tblW w:w="8064" w:type="dxa"/>
        <w:jc w:val="center"/>
        <w:tblBorders>
          <w:top w:val="single" w:sz="6" w:space="0" w:color="C7D6EA"/>
          <w:left w:val="single" w:sz="6" w:space="0" w:color="C7D6EA"/>
          <w:bottom w:val="single" w:sz="6" w:space="0" w:color="C7D6EA"/>
          <w:right w:val="single" w:sz="6" w:space="0" w:color="C7D6EA"/>
          <w:insideH w:val="single" w:sz="6" w:space="0" w:color="C7D6EA"/>
          <w:insideV w:val="single" w:sz="6" w:space="0" w:color="C7D6EA"/>
        </w:tblBorders>
        <w:tblLayout w:type="fixed"/>
        <w:tblLook w:val="04A0" w:firstRow="1" w:lastRow="0" w:firstColumn="1" w:lastColumn="0" w:noHBand="0" w:noVBand="1"/>
      </w:tblPr>
      <w:tblGrid>
        <w:gridCol w:w="2232"/>
        <w:gridCol w:w="936"/>
        <w:gridCol w:w="936"/>
        <w:gridCol w:w="936"/>
        <w:gridCol w:w="1512"/>
        <w:gridCol w:w="1512"/>
      </w:tblGrid>
      <w:tr w:rsidR="006B4C9C" w14:paraId="359CEE2E" w14:textId="77777777">
        <w:trPr>
          <w:jc w:val="center"/>
        </w:trPr>
        <w:tc>
          <w:tcPr>
            <w:tcW w:w="2232" w:type="dxa"/>
            <w:shd w:val="clear" w:color="auto" w:fill="DCE6F1"/>
            <w:tcMar>
              <w:top w:w="80" w:type="dxa"/>
              <w:left w:w="80" w:type="dxa"/>
              <w:bottom w:w="80" w:type="dxa"/>
              <w:right w:w="80" w:type="dxa"/>
            </w:tcMar>
            <w:vAlign w:val="center"/>
          </w:tcPr>
          <w:p w14:paraId="29743C74" w14:textId="77777777" w:rsidR="006B4C9C" w:rsidRDefault="00000000">
            <w:pPr>
              <w:spacing w:after="0"/>
              <w:jc w:val="center"/>
            </w:pPr>
            <w:r>
              <w:rPr>
                <w:b/>
                <w:color w:val="1F4E79"/>
                <w:sz w:val="17"/>
              </w:rPr>
              <w:t>Model</w:t>
            </w:r>
          </w:p>
        </w:tc>
        <w:tc>
          <w:tcPr>
            <w:tcW w:w="936" w:type="dxa"/>
            <w:shd w:val="clear" w:color="auto" w:fill="DCE6F1"/>
            <w:tcMar>
              <w:top w:w="80" w:type="dxa"/>
              <w:left w:w="80" w:type="dxa"/>
              <w:bottom w:w="80" w:type="dxa"/>
              <w:right w:w="80" w:type="dxa"/>
            </w:tcMar>
            <w:vAlign w:val="center"/>
          </w:tcPr>
          <w:p w14:paraId="6B4005F4" w14:textId="77777777" w:rsidR="006B4C9C" w:rsidRDefault="00000000">
            <w:pPr>
              <w:spacing w:after="0"/>
              <w:jc w:val="center"/>
            </w:pPr>
            <w:r>
              <w:rPr>
                <w:b/>
                <w:color w:val="1F4E79"/>
                <w:sz w:val="17"/>
              </w:rPr>
              <w:t>Delta TP</w:t>
            </w:r>
          </w:p>
        </w:tc>
        <w:tc>
          <w:tcPr>
            <w:tcW w:w="936" w:type="dxa"/>
            <w:shd w:val="clear" w:color="auto" w:fill="DCE6F1"/>
            <w:tcMar>
              <w:top w:w="80" w:type="dxa"/>
              <w:left w:w="80" w:type="dxa"/>
              <w:bottom w:w="80" w:type="dxa"/>
              <w:right w:w="80" w:type="dxa"/>
            </w:tcMar>
            <w:vAlign w:val="center"/>
          </w:tcPr>
          <w:p w14:paraId="12315D5A" w14:textId="77777777" w:rsidR="006B4C9C" w:rsidRDefault="00000000">
            <w:pPr>
              <w:spacing w:after="0"/>
              <w:jc w:val="center"/>
            </w:pPr>
            <w:r>
              <w:rPr>
                <w:b/>
                <w:color w:val="1F4E79"/>
                <w:sz w:val="17"/>
              </w:rPr>
              <w:t>Delta FN</w:t>
            </w:r>
          </w:p>
        </w:tc>
        <w:tc>
          <w:tcPr>
            <w:tcW w:w="936" w:type="dxa"/>
            <w:shd w:val="clear" w:color="auto" w:fill="DCE6F1"/>
            <w:tcMar>
              <w:top w:w="80" w:type="dxa"/>
              <w:left w:w="80" w:type="dxa"/>
              <w:bottom w:w="80" w:type="dxa"/>
              <w:right w:w="80" w:type="dxa"/>
            </w:tcMar>
            <w:vAlign w:val="center"/>
          </w:tcPr>
          <w:p w14:paraId="0AD6F4FB" w14:textId="77777777" w:rsidR="006B4C9C" w:rsidRDefault="00000000">
            <w:pPr>
              <w:spacing w:after="0"/>
              <w:jc w:val="center"/>
            </w:pPr>
            <w:r>
              <w:rPr>
                <w:b/>
                <w:color w:val="1F4E79"/>
                <w:sz w:val="17"/>
              </w:rPr>
              <w:t>Delta FP</w:t>
            </w:r>
          </w:p>
        </w:tc>
        <w:tc>
          <w:tcPr>
            <w:tcW w:w="1512" w:type="dxa"/>
            <w:shd w:val="clear" w:color="auto" w:fill="DCE6F1"/>
            <w:tcMar>
              <w:top w:w="80" w:type="dxa"/>
              <w:left w:w="80" w:type="dxa"/>
              <w:bottom w:w="80" w:type="dxa"/>
              <w:right w:w="80" w:type="dxa"/>
            </w:tcMar>
            <w:vAlign w:val="center"/>
          </w:tcPr>
          <w:p w14:paraId="7380E5E5" w14:textId="77777777" w:rsidR="006B4C9C" w:rsidRDefault="00000000">
            <w:pPr>
              <w:spacing w:after="0"/>
              <w:jc w:val="center"/>
            </w:pPr>
            <w:r>
              <w:rPr>
                <w:b/>
                <w:color w:val="1F4E79"/>
                <w:sz w:val="17"/>
              </w:rPr>
              <w:t>Delta Precision</w:t>
            </w:r>
          </w:p>
        </w:tc>
        <w:tc>
          <w:tcPr>
            <w:tcW w:w="1512" w:type="dxa"/>
            <w:shd w:val="clear" w:color="auto" w:fill="DCE6F1"/>
            <w:tcMar>
              <w:top w:w="80" w:type="dxa"/>
              <w:left w:w="80" w:type="dxa"/>
              <w:bottom w:w="80" w:type="dxa"/>
              <w:right w:w="80" w:type="dxa"/>
            </w:tcMar>
            <w:vAlign w:val="center"/>
          </w:tcPr>
          <w:p w14:paraId="3300828B" w14:textId="77777777" w:rsidR="006B4C9C" w:rsidRDefault="00000000">
            <w:pPr>
              <w:spacing w:after="0"/>
              <w:jc w:val="center"/>
            </w:pPr>
            <w:r>
              <w:rPr>
                <w:b/>
                <w:color w:val="1F4E79"/>
                <w:sz w:val="17"/>
              </w:rPr>
              <w:t>Delta Recall</w:t>
            </w:r>
          </w:p>
        </w:tc>
      </w:tr>
      <w:tr w:rsidR="006B4C9C" w14:paraId="698EE05A" w14:textId="77777777">
        <w:trPr>
          <w:jc w:val="center"/>
        </w:trPr>
        <w:tc>
          <w:tcPr>
            <w:tcW w:w="2232" w:type="dxa"/>
            <w:tcMar>
              <w:top w:w="80" w:type="dxa"/>
              <w:left w:w="80" w:type="dxa"/>
              <w:bottom w:w="80" w:type="dxa"/>
              <w:right w:w="80" w:type="dxa"/>
            </w:tcMar>
            <w:vAlign w:val="center"/>
          </w:tcPr>
          <w:p w14:paraId="606A32D3" w14:textId="77777777" w:rsidR="006B4C9C" w:rsidRDefault="00000000">
            <w:pPr>
              <w:spacing w:after="0" w:line="252" w:lineRule="auto"/>
            </w:pPr>
            <w:r>
              <w:rPr>
                <w:color w:val="000000"/>
                <w:sz w:val="17"/>
              </w:rPr>
              <w:t>DeepSeek-V4-Pro</w:t>
            </w:r>
          </w:p>
        </w:tc>
        <w:tc>
          <w:tcPr>
            <w:tcW w:w="936" w:type="dxa"/>
            <w:tcMar>
              <w:top w:w="80" w:type="dxa"/>
              <w:left w:w="80" w:type="dxa"/>
              <w:bottom w:w="80" w:type="dxa"/>
              <w:right w:w="80" w:type="dxa"/>
            </w:tcMar>
            <w:vAlign w:val="center"/>
          </w:tcPr>
          <w:p w14:paraId="652CB9DE" w14:textId="77777777" w:rsidR="006B4C9C" w:rsidRDefault="00000000">
            <w:pPr>
              <w:spacing w:after="0" w:line="252" w:lineRule="auto"/>
            </w:pPr>
            <w:r>
              <w:rPr>
                <w:color w:val="000000"/>
                <w:sz w:val="17"/>
              </w:rPr>
              <w:t>+24</w:t>
            </w:r>
          </w:p>
        </w:tc>
        <w:tc>
          <w:tcPr>
            <w:tcW w:w="936" w:type="dxa"/>
            <w:tcMar>
              <w:top w:w="80" w:type="dxa"/>
              <w:left w:w="80" w:type="dxa"/>
              <w:bottom w:w="80" w:type="dxa"/>
              <w:right w:w="80" w:type="dxa"/>
            </w:tcMar>
            <w:vAlign w:val="center"/>
          </w:tcPr>
          <w:p w14:paraId="7FE36518" w14:textId="77777777" w:rsidR="006B4C9C" w:rsidRDefault="00000000">
            <w:pPr>
              <w:spacing w:after="0" w:line="252" w:lineRule="auto"/>
              <w:jc w:val="center"/>
            </w:pPr>
            <w:r>
              <w:rPr>
                <w:color w:val="000000"/>
                <w:sz w:val="17"/>
              </w:rPr>
              <w:t>-24</w:t>
            </w:r>
          </w:p>
        </w:tc>
        <w:tc>
          <w:tcPr>
            <w:tcW w:w="936" w:type="dxa"/>
            <w:tcMar>
              <w:top w:w="80" w:type="dxa"/>
              <w:left w:w="80" w:type="dxa"/>
              <w:bottom w:w="80" w:type="dxa"/>
              <w:right w:w="80" w:type="dxa"/>
            </w:tcMar>
            <w:vAlign w:val="center"/>
          </w:tcPr>
          <w:p w14:paraId="51AA35B1" w14:textId="77777777" w:rsidR="006B4C9C" w:rsidRDefault="00000000">
            <w:pPr>
              <w:spacing w:after="0" w:line="252" w:lineRule="auto"/>
              <w:jc w:val="center"/>
            </w:pPr>
            <w:r>
              <w:rPr>
                <w:color w:val="000000"/>
                <w:sz w:val="17"/>
              </w:rPr>
              <w:t>+13</w:t>
            </w:r>
          </w:p>
        </w:tc>
        <w:tc>
          <w:tcPr>
            <w:tcW w:w="1512" w:type="dxa"/>
            <w:tcMar>
              <w:top w:w="80" w:type="dxa"/>
              <w:left w:w="80" w:type="dxa"/>
              <w:bottom w:w="80" w:type="dxa"/>
              <w:right w:w="80" w:type="dxa"/>
            </w:tcMar>
            <w:vAlign w:val="center"/>
          </w:tcPr>
          <w:p w14:paraId="09DA9767" w14:textId="77777777" w:rsidR="006B4C9C" w:rsidRDefault="00000000">
            <w:pPr>
              <w:spacing w:after="0" w:line="252" w:lineRule="auto"/>
              <w:jc w:val="center"/>
            </w:pPr>
            <w:r>
              <w:rPr>
                <w:color w:val="000000"/>
                <w:sz w:val="17"/>
              </w:rPr>
              <w:t>+0.0501</w:t>
            </w:r>
          </w:p>
        </w:tc>
        <w:tc>
          <w:tcPr>
            <w:tcW w:w="1512" w:type="dxa"/>
            <w:tcMar>
              <w:top w:w="80" w:type="dxa"/>
              <w:left w:w="80" w:type="dxa"/>
              <w:bottom w:w="80" w:type="dxa"/>
              <w:right w:w="80" w:type="dxa"/>
            </w:tcMar>
            <w:vAlign w:val="center"/>
          </w:tcPr>
          <w:p w14:paraId="21EF0491" w14:textId="77777777" w:rsidR="006B4C9C" w:rsidRDefault="00000000">
            <w:pPr>
              <w:spacing w:after="0" w:line="252" w:lineRule="auto"/>
              <w:jc w:val="center"/>
            </w:pPr>
            <w:r>
              <w:rPr>
                <w:color w:val="000000"/>
                <w:sz w:val="17"/>
              </w:rPr>
              <w:t>+0.1333</w:t>
            </w:r>
          </w:p>
        </w:tc>
      </w:tr>
      <w:tr w:rsidR="006B4C9C" w14:paraId="51C0F757" w14:textId="77777777">
        <w:trPr>
          <w:jc w:val="center"/>
        </w:trPr>
        <w:tc>
          <w:tcPr>
            <w:tcW w:w="2232" w:type="dxa"/>
            <w:shd w:val="clear" w:color="auto" w:fill="F5F8FC"/>
            <w:tcMar>
              <w:top w:w="80" w:type="dxa"/>
              <w:left w:w="80" w:type="dxa"/>
              <w:bottom w:w="80" w:type="dxa"/>
              <w:right w:w="80" w:type="dxa"/>
            </w:tcMar>
            <w:vAlign w:val="center"/>
          </w:tcPr>
          <w:p w14:paraId="2941C6F2" w14:textId="77777777" w:rsidR="006B4C9C" w:rsidRDefault="00000000">
            <w:pPr>
              <w:spacing w:after="0" w:line="252" w:lineRule="auto"/>
            </w:pPr>
            <w:r>
              <w:rPr>
                <w:color w:val="000000"/>
                <w:sz w:val="17"/>
              </w:rPr>
              <w:t>Llama-3.3-70B</w:t>
            </w:r>
          </w:p>
        </w:tc>
        <w:tc>
          <w:tcPr>
            <w:tcW w:w="936" w:type="dxa"/>
            <w:shd w:val="clear" w:color="auto" w:fill="F5F8FC"/>
            <w:tcMar>
              <w:top w:w="80" w:type="dxa"/>
              <w:left w:w="80" w:type="dxa"/>
              <w:bottom w:w="80" w:type="dxa"/>
              <w:right w:w="80" w:type="dxa"/>
            </w:tcMar>
            <w:vAlign w:val="center"/>
          </w:tcPr>
          <w:p w14:paraId="5B79FB1E" w14:textId="77777777" w:rsidR="006B4C9C" w:rsidRDefault="00000000">
            <w:pPr>
              <w:spacing w:after="0" w:line="252" w:lineRule="auto"/>
            </w:pPr>
            <w:r>
              <w:rPr>
                <w:color w:val="000000"/>
                <w:sz w:val="17"/>
              </w:rPr>
              <w:t>+18</w:t>
            </w:r>
          </w:p>
        </w:tc>
        <w:tc>
          <w:tcPr>
            <w:tcW w:w="936" w:type="dxa"/>
            <w:shd w:val="clear" w:color="auto" w:fill="F5F8FC"/>
            <w:tcMar>
              <w:top w:w="80" w:type="dxa"/>
              <w:left w:w="80" w:type="dxa"/>
              <w:bottom w:w="80" w:type="dxa"/>
              <w:right w:w="80" w:type="dxa"/>
            </w:tcMar>
            <w:vAlign w:val="center"/>
          </w:tcPr>
          <w:p w14:paraId="71A3997E" w14:textId="77777777" w:rsidR="006B4C9C" w:rsidRDefault="00000000">
            <w:pPr>
              <w:spacing w:after="0" w:line="252" w:lineRule="auto"/>
              <w:jc w:val="center"/>
            </w:pPr>
            <w:r>
              <w:rPr>
                <w:color w:val="000000"/>
                <w:sz w:val="17"/>
              </w:rPr>
              <w:t>-18</w:t>
            </w:r>
          </w:p>
        </w:tc>
        <w:tc>
          <w:tcPr>
            <w:tcW w:w="936" w:type="dxa"/>
            <w:shd w:val="clear" w:color="auto" w:fill="F5F8FC"/>
            <w:tcMar>
              <w:top w:w="80" w:type="dxa"/>
              <w:left w:w="80" w:type="dxa"/>
              <w:bottom w:w="80" w:type="dxa"/>
              <w:right w:w="80" w:type="dxa"/>
            </w:tcMar>
            <w:vAlign w:val="center"/>
          </w:tcPr>
          <w:p w14:paraId="2C4470AF" w14:textId="77777777" w:rsidR="006B4C9C" w:rsidRDefault="00000000">
            <w:pPr>
              <w:spacing w:after="0" w:line="252" w:lineRule="auto"/>
              <w:jc w:val="center"/>
            </w:pPr>
            <w:r>
              <w:rPr>
                <w:color w:val="000000"/>
                <w:sz w:val="17"/>
              </w:rPr>
              <w:t>+7</w:t>
            </w:r>
          </w:p>
        </w:tc>
        <w:tc>
          <w:tcPr>
            <w:tcW w:w="1512" w:type="dxa"/>
            <w:shd w:val="clear" w:color="auto" w:fill="F5F8FC"/>
            <w:tcMar>
              <w:top w:w="80" w:type="dxa"/>
              <w:left w:w="80" w:type="dxa"/>
              <w:bottom w:w="80" w:type="dxa"/>
              <w:right w:w="80" w:type="dxa"/>
            </w:tcMar>
            <w:vAlign w:val="center"/>
          </w:tcPr>
          <w:p w14:paraId="58A3B16E" w14:textId="77777777" w:rsidR="006B4C9C" w:rsidRDefault="00000000">
            <w:pPr>
              <w:spacing w:after="0" w:line="252" w:lineRule="auto"/>
              <w:jc w:val="center"/>
            </w:pPr>
            <w:r>
              <w:rPr>
                <w:color w:val="000000"/>
                <w:sz w:val="17"/>
              </w:rPr>
              <w:t>+0.0287</w:t>
            </w:r>
          </w:p>
        </w:tc>
        <w:tc>
          <w:tcPr>
            <w:tcW w:w="1512" w:type="dxa"/>
            <w:shd w:val="clear" w:color="auto" w:fill="F5F8FC"/>
            <w:tcMar>
              <w:top w:w="80" w:type="dxa"/>
              <w:left w:w="80" w:type="dxa"/>
              <w:bottom w:w="80" w:type="dxa"/>
              <w:right w:w="80" w:type="dxa"/>
            </w:tcMar>
            <w:vAlign w:val="center"/>
          </w:tcPr>
          <w:p w14:paraId="1ADAAA38" w14:textId="77777777" w:rsidR="006B4C9C" w:rsidRDefault="00000000">
            <w:pPr>
              <w:spacing w:after="0" w:line="252" w:lineRule="auto"/>
              <w:jc w:val="center"/>
            </w:pPr>
            <w:r>
              <w:rPr>
                <w:color w:val="000000"/>
                <w:sz w:val="17"/>
              </w:rPr>
              <w:t>+0.1000</w:t>
            </w:r>
          </w:p>
        </w:tc>
      </w:tr>
      <w:tr w:rsidR="006B4C9C" w14:paraId="29BDB494" w14:textId="77777777">
        <w:trPr>
          <w:jc w:val="center"/>
        </w:trPr>
        <w:tc>
          <w:tcPr>
            <w:tcW w:w="2232" w:type="dxa"/>
            <w:tcMar>
              <w:top w:w="80" w:type="dxa"/>
              <w:left w:w="80" w:type="dxa"/>
              <w:bottom w:w="80" w:type="dxa"/>
              <w:right w:w="80" w:type="dxa"/>
            </w:tcMar>
            <w:vAlign w:val="center"/>
          </w:tcPr>
          <w:p w14:paraId="72DDAC01" w14:textId="77777777" w:rsidR="006B4C9C" w:rsidRDefault="00000000">
            <w:pPr>
              <w:spacing w:after="0" w:line="252" w:lineRule="auto"/>
            </w:pPr>
            <w:r>
              <w:rPr>
                <w:color w:val="000000"/>
                <w:sz w:val="17"/>
              </w:rPr>
              <w:t>Qwen2.5-7B</w:t>
            </w:r>
          </w:p>
        </w:tc>
        <w:tc>
          <w:tcPr>
            <w:tcW w:w="936" w:type="dxa"/>
            <w:tcMar>
              <w:top w:w="80" w:type="dxa"/>
              <w:left w:w="80" w:type="dxa"/>
              <w:bottom w:w="80" w:type="dxa"/>
              <w:right w:w="80" w:type="dxa"/>
            </w:tcMar>
            <w:vAlign w:val="center"/>
          </w:tcPr>
          <w:p w14:paraId="3D1C95AE" w14:textId="77777777" w:rsidR="006B4C9C" w:rsidRDefault="00000000">
            <w:pPr>
              <w:spacing w:after="0" w:line="252" w:lineRule="auto"/>
            </w:pPr>
            <w:r>
              <w:rPr>
                <w:color w:val="000000"/>
                <w:sz w:val="17"/>
              </w:rPr>
              <w:t>+39</w:t>
            </w:r>
          </w:p>
        </w:tc>
        <w:tc>
          <w:tcPr>
            <w:tcW w:w="936" w:type="dxa"/>
            <w:tcMar>
              <w:top w:w="80" w:type="dxa"/>
              <w:left w:w="80" w:type="dxa"/>
              <w:bottom w:w="80" w:type="dxa"/>
              <w:right w:w="80" w:type="dxa"/>
            </w:tcMar>
            <w:vAlign w:val="center"/>
          </w:tcPr>
          <w:p w14:paraId="0CA6FCAC" w14:textId="77777777" w:rsidR="006B4C9C" w:rsidRDefault="00000000">
            <w:pPr>
              <w:spacing w:after="0" w:line="252" w:lineRule="auto"/>
              <w:jc w:val="center"/>
            </w:pPr>
            <w:r>
              <w:rPr>
                <w:color w:val="000000"/>
                <w:sz w:val="17"/>
              </w:rPr>
              <w:t>-39</w:t>
            </w:r>
          </w:p>
        </w:tc>
        <w:tc>
          <w:tcPr>
            <w:tcW w:w="936" w:type="dxa"/>
            <w:tcMar>
              <w:top w:w="80" w:type="dxa"/>
              <w:left w:w="80" w:type="dxa"/>
              <w:bottom w:w="80" w:type="dxa"/>
              <w:right w:w="80" w:type="dxa"/>
            </w:tcMar>
            <w:vAlign w:val="center"/>
          </w:tcPr>
          <w:p w14:paraId="7D37F865" w14:textId="77777777" w:rsidR="006B4C9C" w:rsidRDefault="00000000">
            <w:pPr>
              <w:spacing w:after="0" w:line="252" w:lineRule="auto"/>
              <w:jc w:val="center"/>
            </w:pPr>
            <w:r>
              <w:rPr>
                <w:color w:val="000000"/>
                <w:sz w:val="17"/>
              </w:rPr>
              <w:t>-48</w:t>
            </w:r>
          </w:p>
        </w:tc>
        <w:tc>
          <w:tcPr>
            <w:tcW w:w="1512" w:type="dxa"/>
            <w:tcMar>
              <w:top w:w="80" w:type="dxa"/>
              <w:left w:w="80" w:type="dxa"/>
              <w:bottom w:w="80" w:type="dxa"/>
              <w:right w:w="80" w:type="dxa"/>
            </w:tcMar>
            <w:vAlign w:val="center"/>
          </w:tcPr>
          <w:p w14:paraId="67413772" w14:textId="77777777" w:rsidR="006B4C9C" w:rsidRDefault="00000000">
            <w:pPr>
              <w:spacing w:after="0" w:line="252" w:lineRule="auto"/>
              <w:jc w:val="center"/>
            </w:pPr>
            <w:r>
              <w:rPr>
                <w:color w:val="000000"/>
                <w:sz w:val="17"/>
              </w:rPr>
              <w:t>+0.2252</w:t>
            </w:r>
          </w:p>
        </w:tc>
        <w:tc>
          <w:tcPr>
            <w:tcW w:w="1512" w:type="dxa"/>
            <w:tcMar>
              <w:top w:w="80" w:type="dxa"/>
              <w:left w:w="80" w:type="dxa"/>
              <w:bottom w:w="80" w:type="dxa"/>
              <w:right w:w="80" w:type="dxa"/>
            </w:tcMar>
            <w:vAlign w:val="center"/>
          </w:tcPr>
          <w:p w14:paraId="4BF8FAE3" w14:textId="77777777" w:rsidR="006B4C9C" w:rsidRDefault="00000000">
            <w:pPr>
              <w:spacing w:after="0" w:line="252" w:lineRule="auto"/>
              <w:jc w:val="center"/>
            </w:pPr>
            <w:r>
              <w:rPr>
                <w:color w:val="000000"/>
                <w:sz w:val="17"/>
              </w:rPr>
              <w:t>+0.2167</w:t>
            </w:r>
          </w:p>
        </w:tc>
      </w:tr>
    </w:tbl>
    <w:p w14:paraId="6DC54AA2" w14:textId="77777777" w:rsidR="006B4C9C" w:rsidRDefault="00000000">
      <w:pPr>
        <w:spacing w:after="80" w:line="300" w:lineRule="auto"/>
      </w:pPr>
      <w:r>
        <w:rPr>
          <w:b/>
          <w:color w:val="1F4E79"/>
          <w:sz w:val="21"/>
        </w:rPr>
        <w:t>Interpretation of the EV-parking comparison</w:t>
      </w:r>
    </w:p>
    <w:p w14:paraId="44CD23E2" w14:textId="77777777" w:rsidR="006B4C9C" w:rsidRDefault="00000000">
      <w:pPr>
        <w:spacing w:after="100"/>
        <w:ind w:left="360" w:hanging="216"/>
      </w:pPr>
      <w:r>
        <w:rPr>
          <w:color w:val="000000"/>
          <w:sz w:val="20"/>
        </w:rPr>
        <w:t>• ODD+game improves recall for all three models. This supports the design assumption that the game scenario helps models recover more of the six intended strategic interactions.</w:t>
      </w:r>
    </w:p>
    <w:p w14:paraId="0CE678AF" w14:textId="77777777" w:rsidR="006B4C9C" w:rsidRDefault="00000000">
      <w:pPr>
        <w:spacing w:after="100"/>
        <w:ind w:left="360" w:hanging="216"/>
      </w:pPr>
      <w:r>
        <w:rPr>
          <w:color w:val="000000"/>
          <w:sz w:val="20"/>
        </w:rPr>
        <w:t>• Qwen2.5-7B benefits the most in EV-parking: it gains 39 TP, reduces FN by 39, reduces FP by 48, and improves both Precision and Recall. In this case, the game scenario makes the model both broader and cleaner.</w:t>
      </w:r>
    </w:p>
    <w:p w14:paraId="00B0946A" w14:textId="77777777" w:rsidR="006B4C9C" w:rsidRDefault="00000000">
      <w:pPr>
        <w:spacing w:after="100"/>
        <w:ind w:left="360" w:hanging="216"/>
      </w:pPr>
      <w:r>
        <w:rPr>
          <w:color w:val="000000"/>
          <w:sz w:val="20"/>
        </w:rPr>
        <w:t>• DeepSeek-V4-Pro and Llama-3.3-70B also recover more correct ASs under ODD+game, but their FP counts increase. The likely reason is that richer context encourages them to name extra plausible interactions, such as resident entitlement or generic scheduling, that are not part of the six ground-truth ASs.</w:t>
      </w:r>
    </w:p>
    <w:p w14:paraId="113A5AE3" w14:textId="77777777" w:rsidR="006B4C9C" w:rsidRDefault="00000000">
      <w:pPr>
        <w:spacing w:after="100"/>
        <w:ind w:left="360" w:hanging="216"/>
      </w:pPr>
      <w:r>
        <w:rPr>
          <w:color w:val="000000"/>
          <w:sz w:val="20"/>
        </w:rPr>
        <w:t>• Llama-3.3-70B remains the most precise EV-parking model, but its recall is lower than DeepSeek-V4-Pro and Qwen2.5-7B under ODD+game. It tends to be conservative: fewer wrong ASs, but more missed correct ASs.</w:t>
      </w:r>
    </w:p>
    <w:p w14:paraId="06BD68AC" w14:textId="77777777" w:rsidR="006B4C9C" w:rsidRDefault="00000000">
      <w:pPr>
        <w:spacing w:after="80" w:line="300" w:lineRule="auto"/>
      </w:pPr>
      <w:r>
        <w:rPr>
          <w:b/>
          <w:color w:val="1F4E79"/>
          <w:sz w:val="21"/>
        </w:rPr>
        <w:t>Broader analysis-report comparison across available cases</w:t>
      </w:r>
    </w:p>
    <w:tbl>
      <w:tblPr>
        <w:tblW w:w="9000" w:type="dxa"/>
        <w:jc w:val="center"/>
        <w:tblBorders>
          <w:top w:val="single" w:sz="6" w:space="0" w:color="C7D6EA"/>
          <w:left w:val="single" w:sz="6" w:space="0" w:color="C7D6EA"/>
          <w:bottom w:val="single" w:sz="6" w:space="0" w:color="C7D6EA"/>
          <w:right w:val="single" w:sz="6" w:space="0" w:color="C7D6EA"/>
          <w:insideH w:val="single" w:sz="6" w:space="0" w:color="C7D6EA"/>
          <w:insideV w:val="single" w:sz="6" w:space="0" w:color="C7D6EA"/>
        </w:tblBorders>
        <w:tblLayout w:type="fixed"/>
        <w:tblLook w:val="04A0" w:firstRow="1" w:lastRow="0" w:firstColumn="1" w:lastColumn="0" w:noHBand="0" w:noVBand="1"/>
      </w:tblPr>
      <w:tblGrid>
        <w:gridCol w:w="1656"/>
        <w:gridCol w:w="2376"/>
        <w:gridCol w:w="1152"/>
        <w:gridCol w:w="1152"/>
        <w:gridCol w:w="2664"/>
      </w:tblGrid>
      <w:tr w:rsidR="006B4C9C" w14:paraId="44AEC150" w14:textId="77777777">
        <w:trPr>
          <w:jc w:val="center"/>
        </w:trPr>
        <w:tc>
          <w:tcPr>
            <w:tcW w:w="1655" w:type="dxa"/>
            <w:shd w:val="clear" w:color="auto" w:fill="DCE6F1"/>
            <w:tcMar>
              <w:top w:w="80" w:type="dxa"/>
              <w:left w:w="80" w:type="dxa"/>
              <w:bottom w:w="80" w:type="dxa"/>
              <w:right w:w="80" w:type="dxa"/>
            </w:tcMar>
            <w:vAlign w:val="center"/>
          </w:tcPr>
          <w:p w14:paraId="2B6541ED" w14:textId="77777777" w:rsidR="006B4C9C" w:rsidRDefault="00000000">
            <w:pPr>
              <w:spacing w:after="0"/>
              <w:jc w:val="center"/>
            </w:pPr>
            <w:r>
              <w:rPr>
                <w:b/>
                <w:color w:val="1F4E79"/>
                <w:sz w:val="16"/>
              </w:rPr>
              <w:t>Model</w:t>
            </w:r>
          </w:p>
        </w:tc>
        <w:tc>
          <w:tcPr>
            <w:tcW w:w="2376" w:type="dxa"/>
            <w:shd w:val="clear" w:color="auto" w:fill="DCE6F1"/>
            <w:tcMar>
              <w:top w:w="80" w:type="dxa"/>
              <w:left w:w="80" w:type="dxa"/>
              <w:bottom w:w="80" w:type="dxa"/>
              <w:right w:w="80" w:type="dxa"/>
            </w:tcMar>
            <w:vAlign w:val="center"/>
          </w:tcPr>
          <w:p w14:paraId="669EDC1A" w14:textId="77777777" w:rsidR="006B4C9C" w:rsidRDefault="00000000">
            <w:pPr>
              <w:spacing w:after="0"/>
              <w:jc w:val="center"/>
            </w:pPr>
            <w:r>
              <w:rPr>
                <w:b/>
                <w:color w:val="1F4E79"/>
                <w:sz w:val="16"/>
              </w:rPr>
              <w:t>Case coverage</w:t>
            </w:r>
          </w:p>
        </w:tc>
        <w:tc>
          <w:tcPr>
            <w:tcW w:w="1152" w:type="dxa"/>
            <w:shd w:val="clear" w:color="auto" w:fill="DCE6F1"/>
            <w:tcMar>
              <w:top w:w="80" w:type="dxa"/>
              <w:left w:w="80" w:type="dxa"/>
              <w:bottom w:w="80" w:type="dxa"/>
              <w:right w:w="80" w:type="dxa"/>
            </w:tcMar>
            <w:vAlign w:val="center"/>
          </w:tcPr>
          <w:p w14:paraId="776EC013" w14:textId="77777777" w:rsidR="006B4C9C" w:rsidRDefault="00000000">
            <w:pPr>
              <w:spacing w:after="0"/>
              <w:jc w:val="center"/>
            </w:pPr>
            <w:r>
              <w:rPr>
                <w:b/>
                <w:color w:val="1F4E79"/>
                <w:sz w:val="16"/>
              </w:rPr>
              <w:t>Delta Precision</w:t>
            </w:r>
          </w:p>
        </w:tc>
        <w:tc>
          <w:tcPr>
            <w:tcW w:w="1152" w:type="dxa"/>
            <w:shd w:val="clear" w:color="auto" w:fill="DCE6F1"/>
            <w:tcMar>
              <w:top w:w="80" w:type="dxa"/>
              <w:left w:w="80" w:type="dxa"/>
              <w:bottom w:w="80" w:type="dxa"/>
              <w:right w:w="80" w:type="dxa"/>
            </w:tcMar>
            <w:vAlign w:val="center"/>
          </w:tcPr>
          <w:p w14:paraId="6ECB8D57" w14:textId="77777777" w:rsidR="006B4C9C" w:rsidRDefault="00000000">
            <w:pPr>
              <w:spacing w:after="0"/>
              <w:jc w:val="center"/>
            </w:pPr>
            <w:r>
              <w:rPr>
                <w:b/>
                <w:color w:val="1F4E79"/>
                <w:sz w:val="16"/>
              </w:rPr>
              <w:t>Delta Recall</w:t>
            </w:r>
          </w:p>
        </w:tc>
        <w:tc>
          <w:tcPr>
            <w:tcW w:w="2664" w:type="dxa"/>
            <w:shd w:val="clear" w:color="auto" w:fill="DCE6F1"/>
            <w:tcMar>
              <w:top w:w="80" w:type="dxa"/>
              <w:left w:w="80" w:type="dxa"/>
              <w:bottom w:w="80" w:type="dxa"/>
              <w:right w:w="80" w:type="dxa"/>
            </w:tcMar>
            <w:vAlign w:val="center"/>
          </w:tcPr>
          <w:p w14:paraId="11FA26CA" w14:textId="77777777" w:rsidR="006B4C9C" w:rsidRDefault="00000000">
            <w:pPr>
              <w:spacing w:after="0"/>
              <w:jc w:val="center"/>
            </w:pPr>
            <w:r>
              <w:rPr>
                <w:b/>
                <w:color w:val="1F4E79"/>
                <w:sz w:val="16"/>
              </w:rPr>
              <w:t>Reading</w:t>
            </w:r>
          </w:p>
        </w:tc>
      </w:tr>
      <w:tr w:rsidR="006B4C9C" w14:paraId="720FF880" w14:textId="77777777">
        <w:trPr>
          <w:jc w:val="center"/>
        </w:trPr>
        <w:tc>
          <w:tcPr>
            <w:tcW w:w="1655" w:type="dxa"/>
            <w:tcMar>
              <w:top w:w="80" w:type="dxa"/>
              <w:left w:w="80" w:type="dxa"/>
              <w:bottom w:w="80" w:type="dxa"/>
              <w:right w:w="80" w:type="dxa"/>
            </w:tcMar>
            <w:vAlign w:val="center"/>
          </w:tcPr>
          <w:p w14:paraId="7F3B0129" w14:textId="77777777" w:rsidR="006B4C9C" w:rsidRDefault="00000000">
            <w:pPr>
              <w:spacing w:after="0" w:line="252" w:lineRule="auto"/>
            </w:pPr>
            <w:r>
              <w:rPr>
                <w:color w:val="000000"/>
                <w:sz w:val="16"/>
              </w:rPr>
              <w:t>DeepSeek-R1</w:t>
            </w:r>
          </w:p>
        </w:tc>
        <w:tc>
          <w:tcPr>
            <w:tcW w:w="2376" w:type="dxa"/>
            <w:tcMar>
              <w:top w:w="80" w:type="dxa"/>
              <w:left w:w="80" w:type="dxa"/>
              <w:bottom w:w="80" w:type="dxa"/>
              <w:right w:w="80" w:type="dxa"/>
            </w:tcMar>
            <w:vAlign w:val="center"/>
          </w:tcPr>
          <w:p w14:paraId="15A87FB4" w14:textId="77777777" w:rsidR="006B4C9C" w:rsidRDefault="00000000">
            <w:pPr>
              <w:spacing w:after="0" w:line="252" w:lineRule="auto"/>
            </w:pPr>
            <w:r>
              <w:rPr>
                <w:color w:val="000000"/>
                <w:sz w:val="16"/>
              </w:rPr>
              <w:t>Electricity + Water-use</w:t>
            </w:r>
          </w:p>
        </w:tc>
        <w:tc>
          <w:tcPr>
            <w:tcW w:w="1152" w:type="dxa"/>
            <w:tcMar>
              <w:top w:w="80" w:type="dxa"/>
              <w:left w:w="80" w:type="dxa"/>
              <w:bottom w:w="80" w:type="dxa"/>
              <w:right w:w="80" w:type="dxa"/>
            </w:tcMar>
            <w:vAlign w:val="center"/>
          </w:tcPr>
          <w:p w14:paraId="7C37CEF7" w14:textId="77777777" w:rsidR="006B4C9C" w:rsidRDefault="00000000">
            <w:pPr>
              <w:spacing w:after="0" w:line="252" w:lineRule="auto"/>
              <w:jc w:val="center"/>
            </w:pPr>
            <w:r>
              <w:rPr>
                <w:color w:val="000000"/>
                <w:sz w:val="16"/>
              </w:rPr>
              <w:t>+0.0333</w:t>
            </w:r>
          </w:p>
        </w:tc>
        <w:tc>
          <w:tcPr>
            <w:tcW w:w="1152" w:type="dxa"/>
            <w:tcMar>
              <w:top w:w="80" w:type="dxa"/>
              <w:left w:w="80" w:type="dxa"/>
              <w:bottom w:w="80" w:type="dxa"/>
              <w:right w:w="80" w:type="dxa"/>
            </w:tcMar>
            <w:vAlign w:val="center"/>
          </w:tcPr>
          <w:p w14:paraId="040BCAE0" w14:textId="77777777" w:rsidR="006B4C9C" w:rsidRDefault="00000000">
            <w:pPr>
              <w:spacing w:after="0" w:line="252" w:lineRule="auto"/>
              <w:jc w:val="center"/>
            </w:pPr>
            <w:r>
              <w:rPr>
                <w:color w:val="000000"/>
                <w:sz w:val="16"/>
              </w:rPr>
              <w:t>+0.0792</w:t>
            </w:r>
          </w:p>
        </w:tc>
        <w:tc>
          <w:tcPr>
            <w:tcW w:w="2664" w:type="dxa"/>
            <w:tcMar>
              <w:top w:w="80" w:type="dxa"/>
              <w:left w:w="80" w:type="dxa"/>
              <w:bottom w:w="80" w:type="dxa"/>
              <w:right w:w="80" w:type="dxa"/>
            </w:tcMar>
            <w:vAlign w:val="center"/>
          </w:tcPr>
          <w:p w14:paraId="5372B17D" w14:textId="77777777" w:rsidR="006B4C9C" w:rsidRDefault="00000000">
            <w:pPr>
              <w:spacing w:after="0" w:line="252" w:lineRule="auto"/>
              <w:jc w:val="center"/>
            </w:pPr>
            <w:r>
              <w:rPr>
                <w:color w:val="000000"/>
                <w:sz w:val="16"/>
              </w:rPr>
              <w:t>ODD+game improves both metrics where this model is available.</w:t>
            </w:r>
          </w:p>
        </w:tc>
      </w:tr>
      <w:tr w:rsidR="006B4C9C" w14:paraId="1427E5BE" w14:textId="77777777">
        <w:trPr>
          <w:jc w:val="center"/>
        </w:trPr>
        <w:tc>
          <w:tcPr>
            <w:tcW w:w="1655" w:type="dxa"/>
            <w:shd w:val="clear" w:color="auto" w:fill="F5F8FC"/>
            <w:tcMar>
              <w:top w:w="80" w:type="dxa"/>
              <w:left w:w="80" w:type="dxa"/>
              <w:bottom w:w="80" w:type="dxa"/>
              <w:right w:w="80" w:type="dxa"/>
            </w:tcMar>
            <w:vAlign w:val="center"/>
          </w:tcPr>
          <w:p w14:paraId="69BD3C83" w14:textId="77777777" w:rsidR="006B4C9C" w:rsidRDefault="00000000">
            <w:pPr>
              <w:spacing w:after="0" w:line="252" w:lineRule="auto"/>
            </w:pPr>
            <w:r>
              <w:rPr>
                <w:color w:val="000000"/>
                <w:sz w:val="16"/>
              </w:rPr>
              <w:t>DeepSeek-V4-Pro</w:t>
            </w:r>
          </w:p>
        </w:tc>
        <w:tc>
          <w:tcPr>
            <w:tcW w:w="2376" w:type="dxa"/>
            <w:shd w:val="clear" w:color="auto" w:fill="F5F8FC"/>
            <w:tcMar>
              <w:top w:w="80" w:type="dxa"/>
              <w:left w:w="80" w:type="dxa"/>
              <w:bottom w:w="80" w:type="dxa"/>
              <w:right w:w="80" w:type="dxa"/>
            </w:tcMar>
            <w:vAlign w:val="center"/>
          </w:tcPr>
          <w:p w14:paraId="1BC74ABA" w14:textId="77777777" w:rsidR="006B4C9C" w:rsidRDefault="00000000">
            <w:pPr>
              <w:spacing w:after="0" w:line="252" w:lineRule="auto"/>
            </w:pPr>
            <w:r>
              <w:rPr>
                <w:color w:val="000000"/>
                <w:sz w:val="16"/>
              </w:rPr>
              <w:t>EV-parking + Electricity + Water-use</w:t>
            </w:r>
          </w:p>
        </w:tc>
        <w:tc>
          <w:tcPr>
            <w:tcW w:w="1152" w:type="dxa"/>
            <w:shd w:val="clear" w:color="auto" w:fill="F5F8FC"/>
            <w:tcMar>
              <w:top w:w="80" w:type="dxa"/>
              <w:left w:w="80" w:type="dxa"/>
              <w:bottom w:w="80" w:type="dxa"/>
              <w:right w:w="80" w:type="dxa"/>
            </w:tcMar>
            <w:vAlign w:val="center"/>
          </w:tcPr>
          <w:p w14:paraId="478A92F1" w14:textId="77777777" w:rsidR="006B4C9C" w:rsidRDefault="00000000">
            <w:pPr>
              <w:spacing w:after="0" w:line="252" w:lineRule="auto"/>
              <w:jc w:val="center"/>
            </w:pPr>
            <w:r>
              <w:rPr>
                <w:color w:val="000000"/>
                <w:sz w:val="16"/>
              </w:rPr>
              <w:t>+0.0457</w:t>
            </w:r>
          </w:p>
        </w:tc>
        <w:tc>
          <w:tcPr>
            <w:tcW w:w="1152" w:type="dxa"/>
            <w:shd w:val="clear" w:color="auto" w:fill="F5F8FC"/>
            <w:tcMar>
              <w:top w:w="80" w:type="dxa"/>
              <w:left w:w="80" w:type="dxa"/>
              <w:bottom w:w="80" w:type="dxa"/>
              <w:right w:w="80" w:type="dxa"/>
            </w:tcMar>
            <w:vAlign w:val="center"/>
          </w:tcPr>
          <w:p w14:paraId="2A340B6F" w14:textId="77777777" w:rsidR="006B4C9C" w:rsidRDefault="00000000">
            <w:pPr>
              <w:spacing w:after="0" w:line="252" w:lineRule="auto"/>
              <w:jc w:val="center"/>
            </w:pPr>
            <w:r>
              <w:rPr>
                <w:color w:val="000000"/>
                <w:sz w:val="16"/>
              </w:rPr>
              <w:t>+0.1286</w:t>
            </w:r>
          </w:p>
        </w:tc>
        <w:tc>
          <w:tcPr>
            <w:tcW w:w="2664" w:type="dxa"/>
            <w:shd w:val="clear" w:color="auto" w:fill="F5F8FC"/>
            <w:tcMar>
              <w:top w:w="80" w:type="dxa"/>
              <w:left w:w="80" w:type="dxa"/>
              <w:bottom w:w="80" w:type="dxa"/>
              <w:right w:w="80" w:type="dxa"/>
            </w:tcMar>
            <w:vAlign w:val="center"/>
          </w:tcPr>
          <w:p w14:paraId="29A759AC" w14:textId="77777777" w:rsidR="006B4C9C" w:rsidRDefault="00000000">
            <w:pPr>
              <w:spacing w:after="0" w:line="252" w:lineRule="auto"/>
              <w:jc w:val="center"/>
            </w:pPr>
            <w:r>
              <w:rPr>
                <w:color w:val="000000"/>
                <w:sz w:val="16"/>
              </w:rPr>
              <w:t>ODD+game gives a clear recall lift and a smaller precision lift overall.</w:t>
            </w:r>
          </w:p>
        </w:tc>
      </w:tr>
      <w:tr w:rsidR="006B4C9C" w14:paraId="32504D3A" w14:textId="77777777">
        <w:trPr>
          <w:jc w:val="center"/>
        </w:trPr>
        <w:tc>
          <w:tcPr>
            <w:tcW w:w="1655" w:type="dxa"/>
            <w:tcMar>
              <w:top w:w="80" w:type="dxa"/>
              <w:left w:w="80" w:type="dxa"/>
              <w:bottom w:w="80" w:type="dxa"/>
              <w:right w:w="80" w:type="dxa"/>
            </w:tcMar>
            <w:vAlign w:val="center"/>
          </w:tcPr>
          <w:p w14:paraId="59A55DB9" w14:textId="77777777" w:rsidR="006B4C9C" w:rsidRDefault="00000000">
            <w:pPr>
              <w:spacing w:after="0" w:line="252" w:lineRule="auto"/>
            </w:pPr>
            <w:r>
              <w:rPr>
                <w:color w:val="000000"/>
                <w:sz w:val="16"/>
              </w:rPr>
              <w:t>Llama-3.3-70B</w:t>
            </w:r>
          </w:p>
        </w:tc>
        <w:tc>
          <w:tcPr>
            <w:tcW w:w="2376" w:type="dxa"/>
            <w:tcMar>
              <w:top w:w="80" w:type="dxa"/>
              <w:left w:w="80" w:type="dxa"/>
              <w:bottom w:w="80" w:type="dxa"/>
              <w:right w:w="80" w:type="dxa"/>
            </w:tcMar>
            <w:vAlign w:val="center"/>
          </w:tcPr>
          <w:p w14:paraId="380968C9" w14:textId="77777777" w:rsidR="006B4C9C" w:rsidRDefault="00000000">
            <w:pPr>
              <w:spacing w:after="0" w:line="252" w:lineRule="auto"/>
            </w:pPr>
            <w:r>
              <w:rPr>
                <w:color w:val="000000"/>
                <w:sz w:val="16"/>
              </w:rPr>
              <w:t>EV-parking + Electricity + Water-use</w:t>
            </w:r>
          </w:p>
        </w:tc>
        <w:tc>
          <w:tcPr>
            <w:tcW w:w="1152" w:type="dxa"/>
            <w:tcMar>
              <w:top w:w="80" w:type="dxa"/>
              <w:left w:w="80" w:type="dxa"/>
              <w:bottom w:w="80" w:type="dxa"/>
              <w:right w:w="80" w:type="dxa"/>
            </w:tcMar>
            <w:vAlign w:val="center"/>
          </w:tcPr>
          <w:p w14:paraId="5C05B40B" w14:textId="77777777" w:rsidR="006B4C9C" w:rsidRDefault="00000000">
            <w:pPr>
              <w:spacing w:after="0" w:line="252" w:lineRule="auto"/>
              <w:jc w:val="center"/>
            </w:pPr>
            <w:r>
              <w:rPr>
                <w:color w:val="000000"/>
                <w:sz w:val="16"/>
              </w:rPr>
              <w:t>-0.0266</w:t>
            </w:r>
          </w:p>
        </w:tc>
        <w:tc>
          <w:tcPr>
            <w:tcW w:w="1152" w:type="dxa"/>
            <w:tcMar>
              <w:top w:w="80" w:type="dxa"/>
              <w:left w:w="80" w:type="dxa"/>
              <w:bottom w:w="80" w:type="dxa"/>
              <w:right w:w="80" w:type="dxa"/>
            </w:tcMar>
            <w:vAlign w:val="center"/>
          </w:tcPr>
          <w:p w14:paraId="61D8FFB5" w14:textId="77777777" w:rsidR="006B4C9C" w:rsidRDefault="00000000">
            <w:pPr>
              <w:spacing w:after="0" w:line="252" w:lineRule="auto"/>
              <w:jc w:val="center"/>
            </w:pPr>
            <w:r>
              <w:rPr>
                <w:color w:val="000000"/>
                <w:sz w:val="16"/>
              </w:rPr>
              <w:t>+0.0167</w:t>
            </w:r>
          </w:p>
        </w:tc>
        <w:tc>
          <w:tcPr>
            <w:tcW w:w="2664" w:type="dxa"/>
            <w:tcMar>
              <w:top w:w="80" w:type="dxa"/>
              <w:left w:w="80" w:type="dxa"/>
              <w:bottom w:w="80" w:type="dxa"/>
              <w:right w:w="80" w:type="dxa"/>
            </w:tcMar>
            <w:vAlign w:val="center"/>
          </w:tcPr>
          <w:p w14:paraId="5CD6AA4E" w14:textId="77777777" w:rsidR="006B4C9C" w:rsidRDefault="00000000">
            <w:pPr>
              <w:spacing w:after="0" w:line="252" w:lineRule="auto"/>
              <w:jc w:val="center"/>
            </w:pPr>
            <w:r>
              <w:rPr>
                <w:color w:val="000000"/>
                <w:sz w:val="16"/>
              </w:rPr>
              <w:t>ODD+game slightly improves recall but adds enough FP to lower precision.</w:t>
            </w:r>
          </w:p>
        </w:tc>
      </w:tr>
      <w:tr w:rsidR="006B4C9C" w14:paraId="7E128ACD" w14:textId="77777777">
        <w:trPr>
          <w:jc w:val="center"/>
        </w:trPr>
        <w:tc>
          <w:tcPr>
            <w:tcW w:w="1655" w:type="dxa"/>
            <w:shd w:val="clear" w:color="auto" w:fill="F5F8FC"/>
            <w:tcMar>
              <w:top w:w="80" w:type="dxa"/>
              <w:left w:w="80" w:type="dxa"/>
              <w:bottom w:w="80" w:type="dxa"/>
              <w:right w:w="80" w:type="dxa"/>
            </w:tcMar>
            <w:vAlign w:val="center"/>
          </w:tcPr>
          <w:p w14:paraId="4DAF6A35" w14:textId="77777777" w:rsidR="006B4C9C" w:rsidRDefault="00000000">
            <w:pPr>
              <w:spacing w:after="0" w:line="252" w:lineRule="auto"/>
            </w:pPr>
            <w:r>
              <w:rPr>
                <w:color w:val="000000"/>
                <w:sz w:val="16"/>
              </w:rPr>
              <w:t>Qwen2.5-7B</w:t>
            </w:r>
          </w:p>
        </w:tc>
        <w:tc>
          <w:tcPr>
            <w:tcW w:w="2376" w:type="dxa"/>
            <w:shd w:val="clear" w:color="auto" w:fill="F5F8FC"/>
            <w:tcMar>
              <w:top w:w="80" w:type="dxa"/>
              <w:left w:w="80" w:type="dxa"/>
              <w:bottom w:w="80" w:type="dxa"/>
              <w:right w:w="80" w:type="dxa"/>
            </w:tcMar>
            <w:vAlign w:val="center"/>
          </w:tcPr>
          <w:p w14:paraId="5D8A5FAC" w14:textId="77777777" w:rsidR="006B4C9C" w:rsidRDefault="00000000">
            <w:pPr>
              <w:spacing w:after="0" w:line="252" w:lineRule="auto"/>
            </w:pPr>
            <w:r>
              <w:rPr>
                <w:color w:val="000000"/>
                <w:sz w:val="16"/>
              </w:rPr>
              <w:t>EV-parking + Electricity + Water-use</w:t>
            </w:r>
          </w:p>
        </w:tc>
        <w:tc>
          <w:tcPr>
            <w:tcW w:w="1152" w:type="dxa"/>
            <w:shd w:val="clear" w:color="auto" w:fill="F5F8FC"/>
            <w:tcMar>
              <w:top w:w="80" w:type="dxa"/>
              <w:left w:w="80" w:type="dxa"/>
              <w:bottom w:w="80" w:type="dxa"/>
              <w:right w:w="80" w:type="dxa"/>
            </w:tcMar>
            <w:vAlign w:val="center"/>
          </w:tcPr>
          <w:p w14:paraId="20854352" w14:textId="77777777" w:rsidR="006B4C9C" w:rsidRDefault="00000000">
            <w:pPr>
              <w:spacing w:after="0" w:line="252" w:lineRule="auto"/>
              <w:jc w:val="center"/>
            </w:pPr>
            <w:r>
              <w:rPr>
                <w:color w:val="000000"/>
                <w:sz w:val="16"/>
              </w:rPr>
              <w:t>+0.0435</w:t>
            </w:r>
          </w:p>
        </w:tc>
        <w:tc>
          <w:tcPr>
            <w:tcW w:w="1152" w:type="dxa"/>
            <w:shd w:val="clear" w:color="auto" w:fill="F5F8FC"/>
            <w:tcMar>
              <w:top w:w="80" w:type="dxa"/>
              <w:left w:w="80" w:type="dxa"/>
              <w:bottom w:w="80" w:type="dxa"/>
              <w:right w:w="80" w:type="dxa"/>
            </w:tcMar>
            <w:vAlign w:val="center"/>
          </w:tcPr>
          <w:p w14:paraId="3374619A" w14:textId="77777777" w:rsidR="006B4C9C" w:rsidRDefault="00000000">
            <w:pPr>
              <w:spacing w:after="0" w:line="252" w:lineRule="auto"/>
              <w:jc w:val="center"/>
            </w:pPr>
            <w:r>
              <w:rPr>
                <w:color w:val="000000"/>
                <w:sz w:val="16"/>
              </w:rPr>
              <w:t>+0.1071</w:t>
            </w:r>
          </w:p>
        </w:tc>
        <w:tc>
          <w:tcPr>
            <w:tcW w:w="2664" w:type="dxa"/>
            <w:shd w:val="clear" w:color="auto" w:fill="F5F8FC"/>
            <w:tcMar>
              <w:top w:w="80" w:type="dxa"/>
              <w:left w:w="80" w:type="dxa"/>
              <w:bottom w:w="80" w:type="dxa"/>
              <w:right w:w="80" w:type="dxa"/>
            </w:tcMar>
            <w:vAlign w:val="center"/>
          </w:tcPr>
          <w:p w14:paraId="12D12F5C" w14:textId="77777777" w:rsidR="006B4C9C" w:rsidRDefault="00000000">
            <w:pPr>
              <w:spacing w:after="0" w:line="252" w:lineRule="auto"/>
              <w:jc w:val="center"/>
            </w:pPr>
            <w:r>
              <w:rPr>
                <w:color w:val="000000"/>
                <w:sz w:val="16"/>
              </w:rPr>
              <w:t>ODD+game improves both metrics overall, with the strongest EV-parking gain.</w:t>
            </w:r>
          </w:p>
        </w:tc>
      </w:tr>
    </w:tbl>
    <w:p w14:paraId="2863C506" w14:textId="77777777" w:rsidR="006B4C9C" w:rsidRDefault="00000000">
      <w:pPr>
        <w:spacing w:after="160" w:line="300" w:lineRule="auto"/>
      </w:pPr>
      <w:r>
        <w:rPr>
          <w:color w:val="000000"/>
          <w:sz w:val="21"/>
        </w:rPr>
        <w:t xml:space="preserve">The cross-case pattern is consistent with the EV-parking result, but it is not identical for every model. ODD+game usually raises recall because it gives the model more institutional context. Precision can fall when </w:t>
      </w:r>
      <w:r>
        <w:rPr>
          <w:color w:val="000000"/>
          <w:sz w:val="21"/>
        </w:rPr>
        <w:lastRenderedPageBreak/>
        <w:t>that same context causes the model to over-generate action situations that are plausible but outside the ground-truth set. This is why the prior-knowledge control and strict AS-level rubric matter: they separate useful contextual reasoning from uncontrolled expansion of the answer set.</w:t>
      </w:r>
    </w:p>
    <w:p w14:paraId="168A35E6" w14:textId="77777777" w:rsidR="000802C2" w:rsidRDefault="003D391D">
      <w:pPr>
        <w:keepNext/>
        <w:keepLines/>
        <w:spacing w:before="360" w:after="160"/>
      </w:pPr>
      <w:r>
        <w:rPr>
          <w:b/>
          <w:color w:val="2E74B5"/>
          <w:sz w:val="32"/>
        </w:rPr>
        <w:t>10. Limitations and Next Research Steps</w:t>
      </w:r>
    </w:p>
    <w:p w14:paraId="4F426D4E" w14:textId="77777777" w:rsidR="000802C2" w:rsidRDefault="00000000">
      <w:pPr>
        <w:spacing w:after="100" w:line="290" w:lineRule="auto"/>
        <w:ind w:left="540" w:hanging="279"/>
      </w:pPr>
      <w:r>
        <w:rPr>
          <w:color w:val="000000"/>
          <w:sz w:val="21"/>
        </w:rPr>
        <w:t>• The case still needs calibration if it is later used as a full empirical ABM. Useful inputs would include arrival rates, session durations, overstay distributions, complaint response times, and resident/non-resident demand ratios.</w:t>
      </w:r>
    </w:p>
    <w:p w14:paraId="42681E61" w14:textId="77777777" w:rsidR="000802C2" w:rsidRDefault="00000000">
      <w:pPr>
        <w:spacing w:after="100" w:line="290" w:lineRule="auto"/>
        <w:ind w:left="540" w:hanging="279"/>
      </w:pPr>
      <w:r>
        <w:rPr>
          <w:color w:val="000000"/>
          <w:sz w:val="21"/>
        </w:rPr>
        <w:t>• The resident discount is currently a design feature rather than an estimated behavioural parameter. Future work could test how discount size changes queue pressure and perceived entitlement.</w:t>
      </w:r>
    </w:p>
    <w:p w14:paraId="2F624F4C" w14:textId="77777777" w:rsidR="000802C2" w:rsidRDefault="00000000">
      <w:pPr>
        <w:spacing w:after="100" w:line="290" w:lineRule="auto"/>
        <w:ind w:left="540" w:hanging="279"/>
      </w:pPr>
      <w:r>
        <w:rPr>
          <w:color w:val="000000"/>
          <w:sz w:val="21"/>
        </w:rPr>
        <w:t>• The informal priority mechanism is plausible and literature-supported, but it should be validated with interviews, building records, or field observation if the case is used as an empirical claim.</w:t>
      </w:r>
    </w:p>
    <w:p w14:paraId="6988EB34" w14:textId="77777777" w:rsidR="000802C2" w:rsidRDefault="00000000">
      <w:pPr>
        <w:spacing w:after="100"/>
        <w:ind w:left="360" w:hanging="216"/>
      </w:pPr>
      <w:r>
        <w:rPr>
          <w:color w:val="000000"/>
          <w:sz w:val="20"/>
        </w:rPr>
        <w:t>• The LLM evaluation should report TP, FP, FN, Precision, and Recall, but it should also include qualitative error analysis. False positives often show whether a model is confusing technical processes with real action situations.</w:t>
      </w:r>
    </w:p>
    <w:p w14:paraId="44B40681" w14:textId="77777777" w:rsidR="000802C2" w:rsidRDefault="00000000">
      <w:pPr>
        <w:keepNext/>
        <w:keepLines/>
        <w:spacing w:before="360" w:after="160"/>
      </w:pPr>
      <w:r>
        <w:rPr>
          <w:b/>
          <w:color w:val="2E74B5"/>
          <w:sz w:val="32"/>
        </w:rPr>
        <w:t>Conclusion</w:t>
      </w:r>
    </w:p>
    <w:p w14:paraId="496A49D2" w14:textId="77777777" w:rsidR="000802C2" w:rsidRDefault="00000000">
      <w:pPr>
        <w:spacing w:after="160" w:line="320" w:lineRule="auto"/>
      </w:pPr>
      <w:r>
        <w:rPr>
          <w:color w:val="000000"/>
        </w:rPr>
        <w:t>The EV-parking case is a grounded but original way to study shared EV charging as an institutional problem. It uses ODD+D to keep the model description structured, linked action-situation theory to explain why multiple games matter, and EV-charging literature to make the setting realistic. The result is a case where fairness is not produced by one rule alone. It emerges from queue behaviour, learning, capacity investment, staff discretion, complaints, and common-pool charger occupation working together.</w:t>
      </w:r>
    </w:p>
    <w:p w14:paraId="0D9ED7A8" w14:textId="77777777" w:rsidR="000802C2" w:rsidRDefault="00000000">
      <w:pPr>
        <w:spacing w:after="160" w:line="320" w:lineRule="auto"/>
      </w:pPr>
      <w:r>
        <w:rPr>
          <w:color w:val="000000"/>
        </w:rPr>
        <w:t>For LLM action-situation extraction, that is exactly the point. We want to know whether a model can move beyond surface topics and identify the strategic interactions underneath them. A good model should see that the apartment garage is not just a charging facility. It is a small governance system where shared access has to be negotiated over time.</w:t>
      </w:r>
    </w:p>
    <w:p w14:paraId="21C3FDC2" w14:textId="77777777" w:rsidR="000802C2" w:rsidRDefault="00000000">
      <w:pPr>
        <w:spacing w:after="160" w:line="320" w:lineRule="auto"/>
      </w:pPr>
      <w:r>
        <w:rPr>
          <w:color w:val="000000"/>
        </w:rPr>
        <w:t>The prior-knowledge control strengthens that claim because it checks, before the main runs begin, whether the model is reasoning from this newly supplied case or simply echoing a case it already knows.</w:t>
      </w:r>
    </w:p>
    <w:p w14:paraId="76EAB804" w14:textId="77777777" w:rsidR="006B4C9C" w:rsidRDefault="00000000">
      <w:pPr>
        <w:spacing w:after="160" w:line="300" w:lineRule="auto"/>
      </w:pPr>
      <w:r>
        <w:rPr>
          <w:color w:val="000000"/>
          <w:sz w:val="21"/>
        </w:rPr>
        <w:t>The experimental comparison supports the same logic: in the EV-parking case, ODD+game increased TP and Recall for all three tested models, although FP control remained model-dependent.</w:t>
      </w:r>
    </w:p>
    <w:p w14:paraId="25A268AA" w14:textId="77777777" w:rsidR="000802C2" w:rsidRDefault="00000000">
      <w:pPr>
        <w:keepNext/>
        <w:keepLines/>
        <w:spacing w:before="360" w:after="160"/>
      </w:pPr>
      <w:r>
        <w:rPr>
          <w:b/>
          <w:color w:val="2E74B5"/>
          <w:sz w:val="32"/>
        </w:rPr>
        <w:lastRenderedPageBreak/>
        <w:t>References</w:t>
      </w:r>
    </w:p>
    <w:p w14:paraId="62961B4C" w14:textId="77777777" w:rsidR="000802C2" w:rsidRDefault="00000000">
      <w:pPr>
        <w:spacing w:after="120"/>
      </w:pPr>
      <w:r>
        <w:rPr>
          <w:color w:val="000000"/>
          <w:sz w:val="19"/>
        </w:rPr>
        <w:t xml:space="preserve">Bekius, F. A., &amp; Meijer, S. (2020). Selecting the Right Game Concept for Social Simulation of Real-World Systems. Advances in Social Simulation, 71-79. DOI: 10.1007/978-3-030-34127-5_7. Local PDF supplied by the user; repository copy: </w:t>
      </w:r>
      <w:hyperlink r:id="rId8">
        <w:r w:rsidR="000802C2">
          <w:rPr>
            <w:color w:val="0563C1"/>
            <w:sz w:val="19"/>
            <w:u w:val="single"/>
          </w:rPr>
          <w:t>https://repository.ubn.ru.nl/bitstream/handle/2066/230567/230567.pdf?sequence=1</w:t>
        </w:r>
      </w:hyperlink>
    </w:p>
    <w:p w14:paraId="33A20EC6" w14:textId="77777777" w:rsidR="000802C2" w:rsidRDefault="00000000">
      <w:pPr>
        <w:spacing w:after="120"/>
      </w:pPr>
      <w:r>
        <w:rPr>
          <w:color w:val="000000"/>
          <w:sz w:val="19"/>
        </w:rPr>
        <w:t xml:space="preserve">Biswas, A., Gopalakrishnan, R., &amp; Dutta, P. (2016). Managing Overstaying Electric Vehicles in Park-and-Charge Facilities. IJCAI 2016. </w:t>
      </w:r>
      <w:hyperlink r:id="rId9">
        <w:r w:rsidR="000802C2">
          <w:rPr>
            <w:color w:val="0563C1"/>
            <w:sz w:val="19"/>
            <w:u w:val="single"/>
          </w:rPr>
          <w:t>https://www.ijcai.org/Proceedings/16/Papers/351.pdf</w:t>
        </w:r>
      </w:hyperlink>
    </w:p>
    <w:p w14:paraId="6B1D8570" w14:textId="77777777" w:rsidR="000802C2" w:rsidRDefault="00000000">
      <w:pPr>
        <w:spacing w:after="120"/>
      </w:pPr>
      <w:r>
        <w:rPr>
          <w:color w:val="000000"/>
          <w:sz w:val="19"/>
        </w:rPr>
        <w:t xml:space="preserve">Cheng, X., &amp; Kontou, E. (2023). Estimating the electric vehicle charging demand of multi-unit dwelling residents in the United States. Environmental Research: Infrastructure and Sustainability, 3, 025012. </w:t>
      </w:r>
      <w:hyperlink r:id="rId10">
        <w:r w:rsidR="000802C2">
          <w:rPr>
            <w:color w:val="0563C1"/>
            <w:sz w:val="19"/>
            <w:u w:val="single"/>
          </w:rPr>
          <w:t>https://www.osti.gov/pages/biblio/1987743</w:t>
        </w:r>
      </w:hyperlink>
    </w:p>
    <w:p w14:paraId="66950CC6" w14:textId="77777777" w:rsidR="000802C2" w:rsidRDefault="00000000">
      <w:pPr>
        <w:spacing w:after="120"/>
      </w:pPr>
      <w:r>
        <w:rPr>
          <w:color w:val="000000"/>
          <w:sz w:val="19"/>
        </w:rPr>
        <w:t xml:space="preserve">Cordova-Cruzatty, A., King, D. A., Kuby, M., &amp; Parker, N. C. (2023/2024). Experiences and Perceptions of Multi-Family Housing Property Managers About Electric Vehicle Charging Provision. SSRN. </w:t>
      </w:r>
      <w:hyperlink r:id="rId11">
        <w:r w:rsidR="000802C2">
          <w:rPr>
            <w:color w:val="0563C1"/>
            <w:sz w:val="19"/>
            <w:u w:val="single"/>
          </w:rPr>
          <w:t>https://papers.ssrn.com/sol3/papers.cfm?abstract_id=4705346</w:t>
        </w:r>
      </w:hyperlink>
    </w:p>
    <w:p w14:paraId="7F180821" w14:textId="77777777" w:rsidR="000802C2" w:rsidRDefault="00000000">
      <w:pPr>
        <w:spacing w:after="120"/>
      </w:pPr>
      <w:r>
        <w:rPr>
          <w:color w:val="000000"/>
          <w:sz w:val="19"/>
        </w:rPr>
        <w:t xml:space="preserve">Danner, D., &amp; de Meer, H. (2021). Quality of service and fairness for electric vehicle charging as a service. Energy Informatics, 4, 16. </w:t>
      </w:r>
      <w:hyperlink r:id="rId12">
        <w:r w:rsidR="000802C2">
          <w:rPr>
            <w:color w:val="0563C1"/>
            <w:sz w:val="19"/>
            <w:u w:val="single"/>
          </w:rPr>
          <w:t>https://link.springer.com/article/10.1186/s42162-021-00175-3</w:t>
        </w:r>
      </w:hyperlink>
    </w:p>
    <w:p w14:paraId="57FCD206" w14:textId="77777777" w:rsidR="000802C2" w:rsidRDefault="00000000">
      <w:pPr>
        <w:spacing w:after="120"/>
      </w:pPr>
      <w:r>
        <w:rPr>
          <w:color w:val="000000"/>
          <w:sz w:val="19"/>
        </w:rPr>
        <w:t xml:space="preserve">Kimmich, C. (2013). Linking action situations: Coordination, conflicts, and evolution in electricity provision for irrigation in Andhra Pradesh, India. Ecological Economics, 90, 150-158. DOI: 10.1016/j.ecolecon.2013.03.017. Local PDF supplied by the user; bibliographic page: </w:t>
      </w:r>
      <w:hyperlink r:id="rId13">
        <w:r w:rsidR="000802C2">
          <w:rPr>
            <w:color w:val="0563C1"/>
            <w:sz w:val="19"/>
            <w:u w:val="single"/>
          </w:rPr>
          <w:t>https://ideas.repec.org/a/eee/ecolec/v90y2013icp150-158.html</w:t>
        </w:r>
      </w:hyperlink>
    </w:p>
    <w:p w14:paraId="19120992" w14:textId="77777777" w:rsidR="000802C2" w:rsidRDefault="00000000">
      <w:pPr>
        <w:spacing w:after="120"/>
      </w:pPr>
      <w:r>
        <w:rPr>
          <w:color w:val="000000"/>
          <w:sz w:val="19"/>
        </w:rPr>
        <w:t xml:space="preserve">Lopez-Behar, D., Tran, M., Froese, T., Mayaud, J. R., Herrera, O. E., &amp; Merida, W. (2019). Charging infrastructure for electric vehicles in Multi-Unit Residential Buildings: Mapping feedbacks and policy recommendations. Energy Policy, 126, 444-451. </w:t>
      </w:r>
      <w:hyperlink r:id="rId14">
        <w:r w:rsidR="000802C2">
          <w:rPr>
            <w:color w:val="0563C1"/>
            <w:sz w:val="19"/>
            <w:u w:val="single"/>
          </w:rPr>
          <w:t>https://ideas.repec.org/a/eee/enepol/v126y2019icp444-451.html</w:t>
        </w:r>
      </w:hyperlink>
    </w:p>
    <w:p w14:paraId="6405F443" w14:textId="77777777" w:rsidR="000802C2" w:rsidRDefault="00000000">
      <w:pPr>
        <w:spacing w:after="120"/>
      </w:pPr>
      <w:r>
        <w:rPr>
          <w:color w:val="000000"/>
          <w:sz w:val="19"/>
        </w:rPr>
        <w:t xml:space="preserve">Monteiro, P. B. do Rego, Williams, C., Moyalan, J., Chen, Y. Q., &amp; de Castro, R. (2025). Fairness-Aware Management of Electric Vehicle Charging Stations. IEEE Control Systems Letters, 9, 2825-2830. </w:t>
      </w:r>
      <w:hyperlink r:id="rId15">
        <w:r w:rsidR="000802C2">
          <w:rPr>
            <w:color w:val="0563C1"/>
            <w:sz w:val="19"/>
            <w:u w:val="single"/>
          </w:rPr>
          <w:t>https://escholarship.org/content/qt54r8j91c/qt54r8j91c.pdf</w:t>
        </w:r>
      </w:hyperlink>
    </w:p>
    <w:p w14:paraId="5378A074" w14:textId="77777777" w:rsidR="000802C2" w:rsidRDefault="00000000">
      <w:pPr>
        <w:spacing w:after="120"/>
      </w:pPr>
      <w:r>
        <w:rPr>
          <w:color w:val="000000"/>
          <w:sz w:val="19"/>
        </w:rPr>
        <w:t xml:space="preserve">Müller, Birgit, et al. (2013). "Describing human decisions in agent-based models - ODD+D, an extension of the ODD protocol." Environmental Modelling &amp; Software 48: 37-48. DOI: 10.1016/j.envsoft.2013.06.003. UFZ ODD+D page: </w:t>
      </w:r>
      <w:hyperlink r:id="rId16">
        <w:r w:rsidR="000802C2">
          <w:rPr>
            <w:color w:val="0563C1"/>
            <w:sz w:val="19"/>
            <w:u w:val="single"/>
          </w:rPr>
          <w:t>https://www.ufz.de/index.php?de=40433</w:t>
        </w:r>
      </w:hyperlink>
    </w:p>
    <w:p w14:paraId="55B0747B" w14:textId="77777777" w:rsidR="000802C2" w:rsidRDefault="00000000">
      <w:pPr>
        <w:spacing w:after="120"/>
      </w:pPr>
      <w:r>
        <w:rPr>
          <w:color w:val="000000"/>
          <w:sz w:val="19"/>
        </w:rPr>
        <w:t xml:space="preserve">Panayiotou, T., Mavrovouniotis, M., &amp; Ellinas, G. (2021). On the Fair-Efficient Charging Scheduling of Electric Vehicles in Parking Structures. IEEE ITSC 2021. Repository page: </w:t>
      </w:r>
      <w:hyperlink r:id="rId17">
        <w:r w:rsidR="000802C2">
          <w:rPr>
            <w:color w:val="0563C1"/>
            <w:sz w:val="19"/>
            <w:u w:val="single"/>
          </w:rPr>
          <w:t>https://ktisis.cut.ac.cy/entities/publication/b4046011-4ac5-4f31-a5d7-ae2f62255e85</w:t>
        </w:r>
      </w:hyperlink>
    </w:p>
    <w:p w14:paraId="6D717390" w14:textId="77777777" w:rsidR="000802C2" w:rsidRDefault="00000000">
      <w:pPr>
        <w:spacing w:after="120"/>
      </w:pPr>
      <w:r>
        <w:rPr>
          <w:color w:val="000000"/>
          <w:sz w:val="19"/>
        </w:rPr>
        <w:t xml:space="preserve">Zhang, R., Horesh, N., Kontou, E., &amp; Zhou, Y. (2023). Electric Vehicle Community Charging Hubs in Multi-Unit Dwellings: Scheduling and Techno-Economic Assessment. Transportation Research Part D, 120, 103776. </w:t>
      </w:r>
      <w:hyperlink r:id="rId18">
        <w:r w:rsidR="000802C2">
          <w:rPr>
            <w:color w:val="0563C1"/>
            <w:sz w:val="19"/>
            <w:u w:val="single"/>
          </w:rPr>
          <w:t>https://papers.ssrn.com/sol3/papers.cfm?abstract_id=4246024</w:t>
        </w:r>
      </w:hyperlink>
    </w:p>
    <w:sectPr w:rsidR="000802C2" w:rsidSect="00034616">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575DB" w14:textId="77777777" w:rsidR="00093C9A" w:rsidRDefault="00093C9A">
      <w:pPr>
        <w:spacing w:after="0" w:line="240" w:lineRule="auto"/>
      </w:pPr>
      <w:r>
        <w:separator/>
      </w:r>
    </w:p>
  </w:endnote>
  <w:endnote w:type="continuationSeparator" w:id="0">
    <w:p w14:paraId="100D14A9" w14:textId="77777777" w:rsidR="00093C9A" w:rsidRDefault="00093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ABA" w14:textId="77777777" w:rsidR="000802C2" w:rsidRDefault="000802C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66692" w14:textId="77777777" w:rsidR="00093C9A" w:rsidRDefault="00093C9A">
      <w:pPr>
        <w:spacing w:after="0" w:line="240" w:lineRule="auto"/>
      </w:pPr>
      <w:r>
        <w:separator/>
      </w:r>
    </w:p>
  </w:footnote>
  <w:footnote w:type="continuationSeparator" w:id="0">
    <w:p w14:paraId="0603009E" w14:textId="77777777" w:rsidR="00093C9A" w:rsidRDefault="00093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AE61" w14:textId="77777777" w:rsidR="000802C2" w:rsidRDefault="00000000">
    <w:pPr>
      <w:pStyle w:val="Header"/>
      <w:jc w:val="right"/>
      <w:rPr>
        <w:lang w:eastAsia="zh-CN"/>
      </w:rPr>
    </w:pPr>
    <w:r>
      <w:rPr>
        <w:color w:val="5A5A5A"/>
        <w:sz w:val="18"/>
      </w:rPr>
      <w:t>EV-Parking Case Study Design Report</w:t>
    </w:r>
  </w:p>
  <w:p w14:paraId="17AC708B" w14:textId="77777777" w:rsidR="003D391D" w:rsidRDefault="003D39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0626536">
    <w:abstractNumId w:val="8"/>
  </w:num>
  <w:num w:numId="2" w16cid:durableId="652565457">
    <w:abstractNumId w:val="6"/>
  </w:num>
  <w:num w:numId="3" w16cid:durableId="1030640348">
    <w:abstractNumId w:val="5"/>
  </w:num>
  <w:num w:numId="4" w16cid:durableId="1221818716">
    <w:abstractNumId w:val="4"/>
  </w:num>
  <w:num w:numId="5" w16cid:durableId="1672755782">
    <w:abstractNumId w:val="7"/>
  </w:num>
  <w:num w:numId="6" w16cid:durableId="1992825330">
    <w:abstractNumId w:val="3"/>
  </w:num>
  <w:num w:numId="7" w16cid:durableId="2142963917">
    <w:abstractNumId w:val="2"/>
  </w:num>
  <w:num w:numId="8" w16cid:durableId="656499858">
    <w:abstractNumId w:val="1"/>
  </w:num>
  <w:num w:numId="9" w16cid:durableId="1777015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2C2"/>
    <w:rsid w:val="00093C9A"/>
    <w:rsid w:val="0015074B"/>
    <w:rsid w:val="0029639D"/>
    <w:rsid w:val="00326F90"/>
    <w:rsid w:val="00382A08"/>
    <w:rsid w:val="003D391D"/>
    <w:rsid w:val="006B4C9C"/>
    <w:rsid w:val="008327D5"/>
    <w:rsid w:val="00AA1D8D"/>
    <w:rsid w:val="00B47730"/>
    <w:rsid w:val="00CB0664"/>
    <w:rsid w:val="00EB68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827B7"/>
  <w14:defaultImageDpi w14:val="300"/>
  <w15:docId w15:val="{510217F1-0B83-1444-922C-3F543524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ubn.ru.nl/bitstream/handle/2066/230567/230567.pdf?sequence=1" TargetMode="External"/><Relationship Id="rId13" Type="http://schemas.openxmlformats.org/officeDocument/2006/relationships/hyperlink" Target="https://ideas.repec.org/a/eee/ecolec/v90y2013icp150-158.html" TargetMode="External"/><Relationship Id="rId18" Type="http://schemas.openxmlformats.org/officeDocument/2006/relationships/hyperlink" Target="https://papers.ssrn.com/sol3/papers.cfm?abstract_id=424602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ink.springer.com/article/10.1186/s42162-021-00175-3" TargetMode="External"/><Relationship Id="rId17" Type="http://schemas.openxmlformats.org/officeDocument/2006/relationships/hyperlink" Target="https://ktisis.cut.ac.cy/entities/publication/b4046011-4ac5-4f31-a5d7-ae2f62255e85" TargetMode="External"/><Relationship Id="rId2" Type="http://schemas.openxmlformats.org/officeDocument/2006/relationships/numbering" Target="numbering.xml"/><Relationship Id="rId16" Type="http://schemas.openxmlformats.org/officeDocument/2006/relationships/hyperlink" Target="https://www.ufz.de/index.php?de=4043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4705346" TargetMode="External"/><Relationship Id="rId5" Type="http://schemas.openxmlformats.org/officeDocument/2006/relationships/webSettings" Target="webSettings.xml"/><Relationship Id="rId15" Type="http://schemas.openxmlformats.org/officeDocument/2006/relationships/hyperlink" Target="https://escholarship.org/content/qt54r8j91c/qt54r8j91c.pdf" TargetMode="External"/><Relationship Id="rId10" Type="http://schemas.openxmlformats.org/officeDocument/2006/relationships/hyperlink" Target="https://www.osti.gov/pages/biblio/1987743"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ijcai.org/Proceedings/16/Papers/351.pdf" TargetMode="External"/><Relationship Id="rId14" Type="http://schemas.openxmlformats.org/officeDocument/2006/relationships/hyperlink" Target="https://ideas.repec.org/a/eee/enepol/v126y2019icp444-451.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3496</Words>
  <Characters>19928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Lirio-lucian Liu</cp:lastModifiedBy>
  <cp:revision>3</cp:revision>
  <dcterms:created xsi:type="dcterms:W3CDTF">2013-12-23T23:15:00Z</dcterms:created>
  <dcterms:modified xsi:type="dcterms:W3CDTF">2026-07-02T19:19:00Z</dcterms:modified>
  <cp:category/>
</cp:coreProperties>
</file>