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onsolas" w:hAnsi="Consolas"/>
          <w:b/>
          <w:i w:val="0"/>
          <w:color w:val="FF4138"/>
          <w:sz w:val="17"/>
        </w:rPr>
        <w:t>404200 / SERVICE AGREEMENT</w:t>
      </w:r>
    </w:p>
    <w:p>
      <w:pPr>
        <w:spacing w:after="100"/>
      </w:pPr>
      <w:r>
        <w:rPr>
          <w:rFonts w:ascii="Aptos" w:hAnsi="Aptos"/>
          <w:b/>
          <w:i w:val="0"/>
          <w:color w:val="000000"/>
          <w:sz w:val="50"/>
        </w:rPr>
        <w:t>SEO &amp; Digital Services Agreement</w:t>
      </w:r>
    </w:p>
    <w:p>
      <w:pPr>
        <w:spacing w:after="320"/>
      </w:pPr>
      <w:r>
        <w:rPr>
          <w:rFonts w:ascii="Aptos" w:hAnsi="Aptos"/>
          <w:b w:val="0"/>
          <w:i w:val="0"/>
          <w:color w:val="5F5A53"/>
          <w:sz w:val="25"/>
        </w:rPr>
        <w:t>A clear six-month working plan with a client-friendly cancellation right.</w:t>
      </w:r>
    </w:p>
    <w:tbl>
      <w:tblPr>
        <w:tblW w:type="dxa" w:w="9360"/>
        <w:jc w:val="left"/>
        <w:tblLayout w:type="fixed"/>
        <w:tblLook w:firstColumn="1" w:firstRow="1" w:lastColumn="0" w:lastRow="0" w:noHBand="0" w:noVBand="1" w:val="04A0"/>
        <w:tblInd w:w="12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9360"/>
      </w:tblGrid>
      <w:tr>
        <w:trPr>
          <w:cantSplit/>
        </w:trPr>
        <w:tc>
          <w:tcPr>
            <w:tcW w:type="dxa" w:w="9360"/>
            <w:vAlign w:val="center"/>
            <w:tcMar>
              <w:top w:w="170" w:type="dxa"/>
              <w:start w:w="220" w:type="dxa"/>
              <w:bottom w:w="170" w:type="dxa"/>
              <w:end w:w="220" w:type="dxa"/>
            </w:tcMar>
            <w:shd w:fill="FFFAF0"/>
          </w:tcPr>
          <w:p>
            <w:pPr>
              <w:spacing w:after="80"/>
            </w:pPr>
            <w:r>
              <w:rPr>
                <w:rFonts w:ascii="Consolas" w:hAnsi="Consolas"/>
                <w:b/>
                <w:i w:val="0"/>
                <w:color w:val="FF4138"/>
                <w:sz w:val="17"/>
              </w:rPr>
              <w:t>PLAIN-LANGUAGE PURPOSE</w:t>
            </w:r>
          </w:p>
          <w:p>
            <w:pPr>
              <w:spacing w:after="0"/>
            </w:pPr>
            <w:r>
              <w:rPr>
                <w:rFonts w:ascii="Aptos" w:hAnsi="Aptos"/>
                <w:b/>
                <w:i w:val="0"/>
                <w:color w:val="000000"/>
                <w:sz w:val="23"/>
              </w:rPr>
              <w:t>This agreement records the work, payment choice, ownership and approval process between 404200 and AMSA Architects.</w:t>
            </w:r>
          </w:p>
        </w:tc>
      </w:tr>
    </w:tbl>
    <w:p>
      <w:pPr>
        <w:spacing w:after="0"/>
      </w:pPr>
    </w:p>
    <w:p>
      <w:pPr>
        <w:pStyle w:val="Heading1"/>
      </w:pPr>
      <w:r>
        <w:t>1. Parties and start date</w:t>
      </w:r>
    </w:p>
    <w:tbl>
      <w:tblPr>
        <w:tblW w:type="dxa" w:w="9360"/>
        <w:tblLayout w:type="fixed"/>
        <w:tblLook w:firstColumn="1" w:firstRow="1" w:lastColumn="0" w:lastRow="0" w:noHBand="0" w:noVBand="1" w:val="04A0"/>
        <w:jc w:val="left"/>
        <w:tblInd w:w="120" w:type="dxa"/>
        <w:tblBorders>
          <w:top w:val="single" w:sz="5" w:color="D8D1C5"/>
          <w:left w:val="single" w:sz="5" w:color="D8D1C5"/>
          <w:bottom w:val="single" w:sz="5" w:color="D8D1C5"/>
          <w:right w:val="single" w:sz="5" w:color="D8D1C5"/>
          <w:insideH w:val="single" w:sz="5" w:color="D8D1C5"/>
          <w:insideV w:val="single" w:sz="5" w:color="D8D1C5"/>
        </w:tblBorders>
      </w:tblPr>
      <w:tblGrid>
        <w:gridCol w:w="2500"/>
        <w:gridCol w:w="6860"/>
      </w:tblGrid>
      <w:tr>
        <w:trPr>
          <w:cantSplit/>
          <w:tblHeader w:val="true"/>
          <w:cantSplit/>
        </w:trPr>
        <w:tc>
          <w:tcPr>
            <w:tcW w:type="dxa" w:w="2500"/>
            <w:vAlign w:val="center"/>
            <w:tcMar>
              <w:top w:w="100" w:type="dxa"/>
              <w:start w:w="120" w:type="dxa"/>
              <w:bottom w:w="100" w:type="dxa"/>
              <w:end w:w="120" w:type="dxa"/>
            </w:tcMar>
            <w:shd w:fill="000000"/>
          </w:tcPr>
          <w:p>
            <w:pPr>
              <w:jc w:val="left"/>
            </w:pPr>
            <w:r>
              <w:rPr>
                <w:rFonts w:ascii="Consolas" w:hAnsi="Consolas"/>
                <w:b/>
                <w:i w:val="0"/>
                <w:color w:val="FFFFFF"/>
                <w:sz w:val="17"/>
              </w:rPr>
              <w:t>Field</w:t>
            </w:r>
          </w:p>
        </w:tc>
        <w:tc>
          <w:tcPr>
            <w:tcW w:type="dxa" w:w="6860"/>
            <w:vAlign w:val="center"/>
            <w:tcMar>
              <w:top w:w="100" w:type="dxa"/>
              <w:start w:w="120" w:type="dxa"/>
              <w:bottom w:w="100" w:type="dxa"/>
              <w:end w:w="120" w:type="dxa"/>
            </w:tcMar>
            <w:shd w:fill="000000"/>
          </w:tcPr>
          <w:p>
            <w:pPr>
              <w:jc w:val="left"/>
            </w:pPr>
            <w:r>
              <w:rPr>
                <w:rFonts w:ascii="Consolas" w:hAnsi="Consolas"/>
                <w:b/>
                <w:i w:val="0"/>
                <w:color w:val="FFFFFF"/>
                <w:sz w:val="17"/>
              </w:rPr>
              <w:t>Details</w:t>
            </w:r>
          </w:p>
        </w:tc>
      </w:tr>
      <w:tr>
        <w:trPr>
          <w:cantSplit/>
        </w:trPr>
        <w:tc>
          <w:tcPr>
            <w:tcW w:type="dxa" w:w="2500"/>
            <w:shd w:fill="FFFFFF"/>
            <w:tcMar>
              <w:top w:w="100" w:type="dxa"/>
              <w:start w:w="120" w:type="dxa"/>
              <w:bottom w:w="100" w:type="dxa"/>
              <w:end w:w="120" w:type="dxa"/>
            </w:tcMar>
            <w:vAlign w:val="center"/>
          </w:tcPr>
          <w:p>
            <w:pPr>
              <w:spacing w:after="0"/>
            </w:pPr>
            <w:r>
              <w:rPr>
                <w:rFonts w:ascii="Aptos" w:hAnsi="Aptos"/>
                <w:b w:val="0"/>
                <w:i w:val="0"/>
                <w:color w:val="000000"/>
                <w:sz w:val="17"/>
              </w:rPr>
              <w:t>Service Provider</w:t>
            </w:r>
          </w:p>
        </w:tc>
        <w:tc>
          <w:tcPr>
            <w:tcW w:type="dxa" w:w="6860"/>
            <w:shd w:fill="FFFFFF"/>
            <w:tcMar>
              <w:top w:w="100" w:type="dxa"/>
              <w:start w:w="120" w:type="dxa"/>
              <w:bottom w:w="100" w:type="dxa"/>
              <w:end w:w="120" w:type="dxa"/>
            </w:tcMar>
            <w:vAlign w:val="center"/>
          </w:tcPr>
          <w:p>
            <w:pPr>
              <w:spacing w:after="0"/>
            </w:pPr>
            <w:r>
              <w:rPr>
                <w:rFonts w:ascii="Aptos" w:hAnsi="Aptos"/>
                <w:b w:val="0"/>
                <w:i w:val="0"/>
                <w:color w:val="000000"/>
                <w:sz w:val="17"/>
              </w:rPr>
              <w:t>404200 / legal name: ______________________________________________</w:t>
            </w:r>
          </w:p>
        </w:tc>
      </w:tr>
      <w:tr>
        <w:trPr>
          <w:cantSplit/>
        </w:trPr>
        <w:tc>
          <w:tcPr>
            <w:tcW w:type="dxa" w:w="2500"/>
            <w:shd w:fill="FFFAF0"/>
            <w:tcMar>
              <w:top w:w="100" w:type="dxa"/>
              <w:start w:w="120" w:type="dxa"/>
              <w:bottom w:w="100" w:type="dxa"/>
              <w:end w:w="120" w:type="dxa"/>
            </w:tcMar>
            <w:vAlign w:val="center"/>
          </w:tcPr>
          <w:p>
            <w:pPr>
              <w:spacing w:after="0"/>
            </w:pPr>
            <w:r>
              <w:rPr>
                <w:rFonts w:ascii="Aptos" w:hAnsi="Aptos"/>
                <w:b w:val="0"/>
                <w:i w:val="0"/>
                <w:color w:val="000000"/>
                <w:sz w:val="17"/>
              </w:rPr>
              <w:t>Registration / VAT</w:t>
            </w:r>
          </w:p>
        </w:tc>
        <w:tc>
          <w:tcPr>
            <w:tcW w:type="dxa" w:w="6860"/>
            <w:shd w:fill="FFFAF0"/>
            <w:tcMar>
              <w:top w:w="100" w:type="dxa"/>
              <w:start w:w="120" w:type="dxa"/>
              <w:bottom w:w="100" w:type="dxa"/>
              <w:end w:w="120" w:type="dxa"/>
            </w:tcMar>
            <w:vAlign w:val="center"/>
          </w:tcPr>
          <w:p>
            <w:pPr>
              <w:spacing w:after="0"/>
            </w:pPr>
            <w:r>
              <w:rPr>
                <w:rFonts w:ascii="Aptos" w:hAnsi="Aptos"/>
                <w:b w:val="0"/>
                <w:i w:val="0"/>
                <w:color w:val="000000"/>
                <w:sz w:val="17"/>
              </w:rPr>
              <w:t>______________________________________________________________</w:t>
            </w:r>
          </w:p>
        </w:tc>
      </w:tr>
      <w:tr>
        <w:trPr>
          <w:cantSplit/>
        </w:trPr>
        <w:tc>
          <w:tcPr>
            <w:tcW w:type="dxa" w:w="2500"/>
            <w:shd w:fill="FFFFFF"/>
            <w:tcMar>
              <w:top w:w="100" w:type="dxa"/>
              <w:start w:w="120" w:type="dxa"/>
              <w:bottom w:w="100" w:type="dxa"/>
              <w:end w:w="120" w:type="dxa"/>
            </w:tcMar>
            <w:vAlign w:val="center"/>
          </w:tcPr>
          <w:p>
            <w:pPr>
              <w:spacing w:after="0"/>
            </w:pPr>
            <w:r>
              <w:rPr>
                <w:rFonts w:ascii="Aptos" w:hAnsi="Aptos"/>
                <w:b w:val="0"/>
                <w:i w:val="0"/>
                <w:color w:val="000000"/>
                <w:sz w:val="17"/>
              </w:rPr>
              <w:t>Address</w:t>
            </w:r>
          </w:p>
        </w:tc>
        <w:tc>
          <w:tcPr>
            <w:tcW w:type="dxa" w:w="6860"/>
            <w:shd w:fill="FFFFFF"/>
            <w:tcMar>
              <w:top w:w="100" w:type="dxa"/>
              <w:start w:w="120" w:type="dxa"/>
              <w:bottom w:w="100" w:type="dxa"/>
              <w:end w:w="120" w:type="dxa"/>
            </w:tcMar>
            <w:vAlign w:val="center"/>
          </w:tcPr>
          <w:p>
            <w:pPr>
              <w:spacing w:after="0"/>
            </w:pPr>
            <w:r>
              <w:rPr>
                <w:rFonts w:ascii="Aptos" w:hAnsi="Aptos"/>
                <w:b w:val="0"/>
                <w:i w:val="0"/>
                <w:color w:val="000000"/>
                <w:sz w:val="17"/>
              </w:rPr>
              <w:t>________________________________________________________________________</w:t>
            </w:r>
          </w:p>
        </w:tc>
      </w:tr>
      <w:tr>
        <w:trPr>
          <w:cantSplit/>
        </w:trPr>
        <w:tc>
          <w:tcPr>
            <w:tcW w:type="dxa" w:w="2500"/>
            <w:shd w:fill="FFFAF0"/>
            <w:tcMar>
              <w:top w:w="100" w:type="dxa"/>
              <w:start w:w="120" w:type="dxa"/>
              <w:bottom w:w="100" w:type="dxa"/>
              <w:end w:w="120" w:type="dxa"/>
            </w:tcMar>
            <w:vAlign w:val="center"/>
          </w:tcPr>
          <w:p>
            <w:pPr>
              <w:spacing w:after="0"/>
            </w:pPr>
            <w:r>
              <w:rPr>
                <w:rFonts w:ascii="Aptos" w:hAnsi="Aptos"/>
                <w:b w:val="0"/>
                <w:i w:val="0"/>
                <w:color w:val="000000"/>
                <w:sz w:val="17"/>
              </w:rPr>
              <w:t>Email</w:t>
            </w:r>
          </w:p>
        </w:tc>
        <w:tc>
          <w:tcPr>
            <w:tcW w:type="dxa" w:w="6860"/>
            <w:shd w:fill="FFFAF0"/>
            <w:tcMar>
              <w:top w:w="100" w:type="dxa"/>
              <w:start w:w="120" w:type="dxa"/>
              <w:bottom w:w="100" w:type="dxa"/>
              <w:end w:w="120" w:type="dxa"/>
            </w:tcMar>
            <w:vAlign w:val="center"/>
          </w:tcPr>
          <w:p>
            <w:pPr>
              <w:spacing w:after="0"/>
            </w:pPr>
            <w:r>
              <w:rPr>
                <w:rFonts w:ascii="Aptos" w:hAnsi="Aptos"/>
                <w:b w:val="0"/>
                <w:i w:val="0"/>
                <w:color w:val="000000"/>
                <w:sz w:val="17"/>
              </w:rPr>
              <w:t>__________________________________________________________________________</w:t>
            </w:r>
          </w:p>
        </w:tc>
      </w:tr>
      <w:tr>
        <w:trPr>
          <w:cantSplit/>
        </w:trPr>
        <w:tc>
          <w:tcPr>
            <w:tcW w:type="dxa" w:w="2500"/>
            <w:shd w:fill="FFFFFF"/>
            <w:tcMar>
              <w:top w:w="100" w:type="dxa"/>
              <w:start w:w="120" w:type="dxa"/>
              <w:bottom w:w="100" w:type="dxa"/>
              <w:end w:w="120" w:type="dxa"/>
            </w:tcMar>
            <w:vAlign w:val="center"/>
          </w:tcPr>
          <w:p>
            <w:pPr>
              <w:spacing w:after="0"/>
            </w:pPr>
            <w:r>
              <w:rPr>
                <w:rFonts w:ascii="Aptos" w:hAnsi="Aptos"/>
                <w:b w:val="0"/>
                <w:i w:val="0"/>
                <w:color w:val="000000"/>
                <w:sz w:val="17"/>
              </w:rPr>
              <w:t>Client</w:t>
            </w:r>
          </w:p>
        </w:tc>
        <w:tc>
          <w:tcPr>
            <w:tcW w:type="dxa" w:w="6860"/>
            <w:shd w:fill="FFFFFF"/>
            <w:tcMar>
              <w:top w:w="100" w:type="dxa"/>
              <w:start w:w="120" w:type="dxa"/>
              <w:bottom w:w="100" w:type="dxa"/>
              <w:end w:w="120" w:type="dxa"/>
            </w:tcMar>
            <w:vAlign w:val="center"/>
          </w:tcPr>
          <w:p>
            <w:pPr>
              <w:spacing w:after="0"/>
            </w:pPr>
            <w:r>
              <w:rPr>
                <w:rFonts w:ascii="Aptos" w:hAnsi="Aptos"/>
                <w:b w:val="0"/>
                <w:i w:val="0"/>
                <w:color w:val="000000"/>
                <w:sz w:val="17"/>
              </w:rPr>
              <w:t>AMSA Architects / legal entity: __________________________________________</w:t>
            </w:r>
          </w:p>
        </w:tc>
      </w:tr>
      <w:tr>
        <w:trPr>
          <w:cantSplit/>
        </w:trPr>
        <w:tc>
          <w:tcPr>
            <w:tcW w:type="dxa" w:w="2500"/>
            <w:shd w:fill="FFFAF0"/>
            <w:tcMar>
              <w:top w:w="100" w:type="dxa"/>
              <w:start w:w="120" w:type="dxa"/>
              <w:bottom w:w="100" w:type="dxa"/>
              <w:end w:w="120" w:type="dxa"/>
            </w:tcMar>
            <w:vAlign w:val="center"/>
          </w:tcPr>
          <w:p>
            <w:pPr>
              <w:spacing w:after="0"/>
            </w:pPr>
            <w:r>
              <w:rPr>
                <w:rFonts w:ascii="Aptos" w:hAnsi="Aptos"/>
                <w:b w:val="0"/>
                <w:i w:val="0"/>
                <w:color w:val="000000"/>
                <w:sz w:val="17"/>
              </w:rPr>
              <w:t>Registration / VAT</w:t>
            </w:r>
          </w:p>
        </w:tc>
        <w:tc>
          <w:tcPr>
            <w:tcW w:type="dxa" w:w="6860"/>
            <w:shd w:fill="FFFAF0"/>
            <w:tcMar>
              <w:top w:w="100" w:type="dxa"/>
              <w:start w:w="120" w:type="dxa"/>
              <w:bottom w:w="100" w:type="dxa"/>
              <w:end w:w="120" w:type="dxa"/>
            </w:tcMar>
            <w:vAlign w:val="center"/>
          </w:tcPr>
          <w:p>
            <w:pPr>
              <w:spacing w:after="0"/>
            </w:pPr>
            <w:r>
              <w:rPr>
                <w:rFonts w:ascii="Aptos" w:hAnsi="Aptos"/>
                <w:b w:val="0"/>
                <w:i w:val="0"/>
                <w:color w:val="000000"/>
                <w:sz w:val="17"/>
              </w:rPr>
              <w:t>______________________________________________________________</w:t>
            </w:r>
          </w:p>
        </w:tc>
      </w:tr>
      <w:tr>
        <w:trPr>
          <w:cantSplit/>
        </w:trPr>
        <w:tc>
          <w:tcPr>
            <w:tcW w:type="dxa" w:w="2500"/>
            <w:shd w:fill="FFFFFF"/>
            <w:tcMar>
              <w:top w:w="100" w:type="dxa"/>
              <w:start w:w="120" w:type="dxa"/>
              <w:bottom w:w="100" w:type="dxa"/>
              <w:end w:w="120" w:type="dxa"/>
            </w:tcMar>
            <w:vAlign w:val="center"/>
          </w:tcPr>
          <w:p>
            <w:pPr>
              <w:spacing w:after="0"/>
            </w:pPr>
            <w:r>
              <w:rPr>
                <w:rFonts w:ascii="Aptos" w:hAnsi="Aptos"/>
                <w:b w:val="0"/>
                <w:i w:val="0"/>
                <w:color w:val="000000"/>
                <w:sz w:val="17"/>
              </w:rPr>
              <w:t>Address</w:t>
            </w:r>
          </w:p>
        </w:tc>
        <w:tc>
          <w:tcPr>
            <w:tcW w:type="dxa" w:w="6860"/>
            <w:shd w:fill="FFFFFF"/>
            <w:tcMar>
              <w:top w:w="100" w:type="dxa"/>
              <w:start w:w="120" w:type="dxa"/>
              <w:bottom w:w="100" w:type="dxa"/>
              <w:end w:w="120" w:type="dxa"/>
            </w:tcMar>
            <w:vAlign w:val="center"/>
          </w:tcPr>
          <w:p>
            <w:pPr>
              <w:spacing w:after="0"/>
            </w:pPr>
            <w:r>
              <w:rPr>
                <w:rFonts w:ascii="Aptos" w:hAnsi="Aptos"/>
                <w:b w:val="0"/>
                <w:i w:val="0"/>
                <w:color w:val="000000"/>
                <w:sz w:val="17"/>
              </w:rPr>
              <w:t>________________________________________________________________________</w:t>
            </w:r>
          </w:p>
        </w:tc>
      </w:tr>
      <w:tr>
        <w:trPr>
          <w:cantSplit/>
        </w:trPr>
        <w:tc>
          <w:tcPr>
            <w:tcW w:type="dxa" w:w="2500"/>
            <w:shd w:fill="FFFAF0"/>
            <w:tcMar>
              <w:top w:w="100" w:type="dxa"/>
              <w:start w:w="120" w:type="dxa"/>
              <w:bottom w:w="100" w:type="dxa"/>
              <w:end w:w="120" w:type="dxa"/>
            </w:tcMar>
            <w:vAlign w:val="center"/>
          </w:tcPr>
          <w:p>
            <w:pPr>
              <w:spacing w:after="0"/>
            </w:pPr>
            <w:r>
              <w:rPr>
                <w:rFonts w:ascii="Aptos" w:hAnsi="Aptos"/>
                <w:b w:val="0"/>
                <w:i w:val="0"/>
                <w:color w:val="000000"/>
                <w:sz w:val="17"/>
              </w:rPr>
              <w:t>Email</w:t>
            </w:r>
          </w:p>
        </w:tc>
        <w:tc>
          <w:tcPr>
            <w:tcW w:type="dxa" w:w="6860"/>
            <w:shd w:fill="FFFAF0"/>
            <w:tcMar>
              <w:top w:w="100" w:type="dxa"/>
              <w:start w:w="120" w:type="dxa"/>
              <w:bottom w:w="100" w:type="dxa"/>
              <w:end w:w="120" w:type="dxa"/>
            </w:tcMar>
            <w:vAlign w:val="center"/>
          </w:tcPr>
          <w:p>
            <w:pPr>
              <w:spacing w:after="0"/>
            </w:pPr>
            <w:r>
              <w:rPr>
                <w:rFonts w:ascii="Aptos" w:hAnsi="Aptos"/>
                <w:b w:val="0"/>
                <w:i w:val="0"/>
                <w:color w:val="000000"/>
                <w:sz w:val="17"/>
              </w:rPr>
              <w:t>__________________________________________________________________________</w:t>
            </w:r>
          </w:p>
        </w:tc>
      </w:tr>
      <w:tr>
        <w:trPr>
          <w:cantSplit/>
        </w:trPr>
        <w:tc>
          <w:tcPr>
            <w:tcW w:type="dxa" w:w="2500"/>
            <w:shd w:fill="FFFFFF"/>
            <w:tcMar>
              <w:top w:w="100" w:type="dxa"/>
              <w:start w:w="120" w:type="dxa"/>
              <w:bottom w:w="100" w:type="dxa"/>
              <w:end w:w="120" w:type="dxa"/>
            </w:tcMar>
            <w:vAlign w:val="center"/>
          </w:tcPr>
          <w:p>
            <w:pPr>
              <w:spacing w:after="0"/>
            </w:pPr>
            <w:r>
              <w:rPr>
                <w:rFonts w:ascii="Aptos" w:hAnsi="Aptos"/>
                <w:b w:val="0"/>
                <w:i w:val="0"/>
                <w:color w:val="000000"/>
                <w:sz w:val="17"/>
              </w:rPr>
              <w:t>Start date</w:t>
            </w:r>
          </w:p>
        </w:tc>
        <w:tc>
          <w:tcPr>
            <w:tcW w:type="dxa" w:w="6860"/>
            <w:shd w:fill="FFFFFF"/>
            <w:tcMar>
              <w:top w:w="100" w:type="dxa"/>
              <w:start w:w="120" w:type="dxa"/>
              <w:bottom w:w="100" w:type="dxa"/>
              <w:end w:w="120" w:type="dxa"/>
            </w:tcMar>
            <w:vAlign w:val="center"/>
          </w:tcPr>
          <w:p>
            <w:pPr>
              <w:spacing w:after="0"/>
            </w:pPr>
            <w:r>
              <w:rPr>
                <w:rFonts w:ascii="Aptos" w:hAnsi="Aptos"/>
                <w:b w:val="0"/>
                <w:i w:val="0"/>
                <w:color w:val="000000"/>
                <w:sz w:val="17"/>
              </w:rPr>
              <w:t>____________________________</w:t>
            </w:r>
          </w:p>
        </w:tc>
      </w:tr>
    </w:tbl>
    <w:p>
      <w:pPr>
        <w:pStyle w:val="Heading1"/>
      </w:pPr>
      <w:r>
        <w:t>2. Programme and monthly fee</w:t>
      </w:r>
    </w:p>
    <w:p>
      <w:r>
        <w:rPr>
          <w:rFonts w:ascii="Aptos" w:hAnsi="Aptos"/>
          <w:b w:val="0"/>
          <w:i w:val="0"/>
          <w:color w:val="000000"/>
          <w:sz w:val="21"/>
        </w:rPr>
        <w:t>The service is planned as a six-month SEO, content, social and website programme at EUR 350 per month, plus VAT only if legally chargeable. Six months is the recommended minimum measurement period for SEO; it does not remove the Client's right to end the agreement under section 8.</w:t>
      </w:r>
    </w:p>
    <w:p>
      <w:pPr>
        <w:pStyle w:val="Heading2"/>
      </w:pPr>
      <w:r>
        <w:t>Payment selection - tick one box</w:t>
      </w:r>
    </w:p>
    <w:tbl>
      <w:tblPr>
        <w:tblW w:type="dxa" w:w="9360"/>
        <w:tblLayout w:type="fixed"/>
        <w:tblLook w:firstColumn="1" w:firstRow="1" w:lastColumn="0" w:lastRow="0" w:noHBand="0" w:noVBand="1" w:val="04A0"/>
        <w:jc w:val="left"/>
        <w:tblInd w:w="120" w:type="dxa"/>
        <w:tblBorders>
          <w:top w:val="single" w:sz="5" w:color="D8D1C5"/>
          <w:left w:val="single" w:sz="5" w:color="D8D1C5"/>
          <w:bottom w:val="single" w:sz="5" w:color="D8D1C5"/>
          <w:right w:val="single" w:sz="5" w:color="D8D1C5"/>
          <w:insideH w:val="single" w:sz="5" w:color="D8D1C5"/>
          <w:insideV w:val="single" w:sz="5" w:color="D8D1C5"/>
        </w:tblBorders>
      </w:tblPr>
      <w:tblGrid>
        <w:gridCol w:w="900"/>
        <w:gridCol w:w="2600"/>
        <w:gridCol w:w="5860"/>
      </w:tblGrid>
      <w:tr>
        <w:trPr>
          <w:cantSplit/>
          <w:tblHeader w:val="true"/>
          <w:cantSplit/>
        </w:trPr>
        <w:tc>
          <w:tcPr>
            <w:tcW w:type="dxa" w:w="900"/>
            <w:vAlign w:val="center"/>
            <w:tcMar>
              <w:top w:w="100" w:type="dxa"/>
              <w:start w:w="120" w:type="dxa"/>
              <w:bottom w:w="100" w:type="dxa"/>
              <w:end w:w="120" w:type="dxa"/>
            </w:tcMar>
            <w:shd w:fill="000000"/>
          </w:tcPr>
          <w:p>
            <w:pPr>
              <w:jc w:val="left"/>
            </w:pPr>
            <w:r>
              <w:rPr>
                <w:rFonts w:ascii="Consolas" w:hAnsi="Consolas"/>
                <w:b/>
                <w:i w:val="0"/>
                <w:color w:val="FFFFFF"/>
                <w:sz w:val="18"/>
              </w:rPr>
              <w:t>Select</w:t>
            </w:r>
          </w:p>
        </w:tc>
        <w:tc>
          <w:tcPr>
            <w:tcW w:type="dxa" w:w="2600"/>
            <w:vAlign w:val="center"/>
            <w:tcMar>
              <w:top w:w="100" w:type="dxa"/>
              <w:start w:w="120" w:type="dxa"/>
              <w:bottom w:w="100" w:type="dxa"/>
              <w:end w:w="120" w:type="dxa"/>
            </w:tcMar>
            <w:shd w:fill="000000"/>
          </w:tcPr>
          <w:p>
            <w:pPr>
              <w:jc w:val="left"/>
            </w:pPr>
            <w:r>
              <w:rPr>
                <w:rFonts w:ascii="Consolas" w:hAnsi="Consolas"/>
                <w:b/>
                <w:i w:val="0"/>
                <w:color w:val="FFFFFF"/>
                <w:sz w:val="18"/>
              </w:rPr>
              <w:t>Billing option</w:t>
            </w:r>
          </w:p>
        </w:tc>
        <w:tc>
          <w:tcPr>
            <w:tcW w:type="dxa" w:w="5860"/>
            <w:vAlign w:val="center"/>
            <w:tcMar>
              <w:top w:w="100" w:type="dxa"/>
              <w:start w:w="120" w:type="dxa"/>
              <w:bottom w:w="100" w:type="dxa"/>
              <w:end w:w="120" w:type="dxa"/>
            </w:tcMar>
            <w:shd w:fill="000000"/>
          </w:tcPr>
          <w:p>
            <w:pPr>
              <w:jc w:val="left"/>
            </w:pPr>
            <w:r>
              <w:rPr>
                <w:rFonts w:ascii="Consolas" w:hAnsi="Consolas"/>
                <w:b/>
                <w:i w:val="0"/>
                <w:color w:val="FFFFFF"/>
                <w:sz w:val="18"/>
              </w:rPr>
              <w:t>Payment</w:t>
            </w:r>
          </w:p>
        </w:tc>
      </w:tr>
      <w:tr>
        <w:trPr>
          <w:cantSplit/>
        </w:trPr>
        <w:tc>
          <w:tcPr>
            <w:tcW w:type="dxa" w:w="900"/>
            <w:shd w:fill="FFFFFF"/>
            <w:tcMar>
              <w:top w:w="100" w:type="dxa"/>
              <w:start w:w="120" w:type="dxa"/>
              <w:bottom w:w="100" w:type="dxa"/>
              <w:end w:w="120" w:type="dxa"/>
            </w:tcMar>
            <w:vAlign w:val="center"/>
          </w:tcPr>
          <w:p>
            <w:pPr>
              <w:spacing w:after="0"/>
            </w:pPr>
            <w:r>
              <w:rPr>
                <w:rFonts w:ascii="Aptos" w:hAnsi="Aptos"/>
                <w:b w:val="0"/>
                <w:i w:val="0"/>
                <w:color w:val="000000"/>
                <w:sz w:val="18"/>
              </w:rPr>
              <w:t>☐</w:t>
            </w:r>
          </w:p>
        </w:tc>
        <w:tc>
          <w:tcPr>
            <w:tcW w:type="dxa" w:w="2600"/>
            <w:shd w:fill="FFFFFF"/>
            <w:tcMar>
              <w:top w:w="100" w:type="dxa"/>
              <w:start w:w="120" w:type="dxa"/>
              <w:bottom w:w="100" w:type="dxa"/>
              <w:end w:w="120" w:type="dxa"/>
            </w:tcMar>
            <w:vAlign w:val="center"/>
          </w:tcPr>
          <w:p>
            <w:pPr>
              <w:spacing w:after="0"/>
            </w:pPr>
            <w:r>
              <w:rPr>
                <w:rFonts w:ascii="Aptos" w:hAnsi="Aptos"/>
                <w:b w:val="0"/>
                <w:i w:val="0"/>
                <w:color w:val="000000"/>
                <w:sz w:val="18"/>
              </w:rPr>
              <w:t>Quarterly</w:t>
            </w:r>
          </w:p>
        </w:tc>
        <w:tc>
          <w:tcPr>
            <w:tcW w:type="dxa" w:w="5860"/>
            <w:shd w:fill="FFFFFF"/>
            <w:tcMar>
              <w:top w:w="100" w:type="dxa"/>
              <w:start w:w="120" w:type="dxa"/>
              <w:bottom w:w="100" w:type="dxa"/>
              <w:end w:w="120" w:type="dxa"/>
            </w:tcMar>
            <w:vAlign w:val="center"/>
          </w:tcPr>
          <w:p>
            <w:pPr>
              <w:spacing w:after="0"/>
            </w:pPr>
            <w:r>
              <w:rPr>
                <w:rFonts w:ascii="Aptos" w:hAnsi="Aptos"/>
                <w:b w:val="0"/>
                <w:i w:val="0"/>
                <w:color w:val="000000"/>
                <w:sz w:val="18"/>
              </w:rPr>
              <w:t>EUR 1,050 every three months, paid in advance</w:t>
            </w:r>
          </w:p>
        </w:tc>
      </w:tr>
      <w:tr>
        <w:trPr>
          <w:cantSplit/>
        </w:trPr>
        <w:tc>
          <w:tcPr>
            <w:tcW w:type="dxa" w:w="900"/>
            <w:shd w:fill="FFFAF0"/>
            <w:tcMar>
              <w:top w:w="100" w:type="dxa"/>
              <w:start w:w="120" w:type="dxa"/>
              <w:bottom w:w="100" w:type="dxa"/>
              <w:end w:w="120" w:type="dxa"/>
            </w:tcMar>
            <w:vAlign w:val="center"/>
          </w:tcPr>
          <w:p>
            <w:pPr>
              <w:spacing w:after="0"/>
            </w:pPr>
            <w:r>
              <w:rPr>
                <w:rFonts w:ascii="Aptos" w:hAnsi="Aptos"/>
                <w:b w:val="0"/>
                <w:i w:val="0"/>
                <w:color w:val="000000"/>
                <w:sz w:val="18"/>
              </w:rPr>
              <w:t>☐</w:t>
            </w:r>
          </w:p>
        </w:tc>
        <w:tc>
          <w:tcPr>
            <w:tcW w:type="dxa" w:w="2600"/>
            <w:shd w:fill="FFFAF0"/>
            <w:tcMar>
              <w:top w:w="100" w:type="dxa"/>
              <w:start w:w="120" w:type="dxa"/>
              <w:bottom w:w="100" w:type="dxa"/>
              <w:end w:w="120" w:type="dxa"/>
            </w:tcMar>
            <w:vAlign w:val="center"/>
          </w:tcPr>
          <w:p>
            <w:pPr>
              <w:spacing w:after="0"/>
            </w:pPr>
            <w:r>
              <w:rPr>
                <w:rFonts w:ascii="Aptos" w:hAnsi="Aptos"/>
                <w:b w:val="0"/>
                <w:i w:val="0"/>
                <w:color w:val="000000"/>
                <w:sz w:val="18"/>
              </w:rPr>
              <w:t>Semi-annual</w:t>
            </w:r>
          </w:p>
        </w:tc>
        <w:tc>
          <w:tcPr>
            <w:tcW w:type="dxa" w:w="5860"/>
            <w:shd w:fill="FFFAF0"/>
            <w:tcMar>
              <w:top w:w="100" w:type="dxa"/>
              <w:start w:w="120" w:type="dxa"/>
              <w:bottom w:w="100" w:type="dxa"/>
              <w:end w:w="120" w:type="dxa"/>
            </w:tcMar>
            <w:vAlign w:val="center"/>
          </w:tcPr>
          <w:p>
            <w:pPr>
              <w:spacing w:after="0"/>
            </w:pPr>
            <w:r>
              <w:rPr>
                <w:rFonts w:ascii="Aptos" w:hAnsi="Aptos"/>
                <w:b w:val="0"/>
                <w:i w:val="0"/>
                <w:color w:val="000000"/>
                <w:sz w:val="18"/>
              </w:rPr>
              <w:t>EUR 2,100 every six months, paid in advance</w:t>
            </w:r>
          </w:p>
        </w:tc>
      </w:tr>
    </w:tbl>
    <w:p>
      <w:r>
        <w:rPr>
          <w:rFonts w:ascii="Aptos" w:hAnsi="Aptos"/>
          <w:b w:val="0"/>
          <w:i w:val="0"/>
          <w:color w:val="000000"/>
          <w:sz w:val="21"/>
        </w:rPr>
        <w:t>Payment details are completed through the parties' bank or a secure payment provider. Full card or bank credentials must not be written in this agreement.</w:t>
      </w:r>
    </w:p>
    <w:p>
      <w:pPr>
        <w:pStyle w:val="Heading1"/>
      </w:pPr>
      <w:r>
        <w:t>3. Monthly services</w:t>
      </w:r>
    </w:p>
    <w:p>
      <w:pPr>
        <w:numPr>
          <w:ilvl w:val="0"/>
          <w:numId w:val="10"/>
        </w:numPr>
        <w:spacing w:after="80" w:line="290" w:lineRule="auto"/>
      </w:pPr>
      <w:r>
        <w:rPr>
          <w:rFonts w:ascii="Aptos" w:hAnsi="Aptos"/>
          <w:b w:val="0"/>
          <w:i w:val="0"/>
          <w:color w:val="000000"/>
          <w:sz w:val="21"/>
        </w:rPr>
        <w:t>One monthly technical SEO and index review, with the priority accessible corrections added to the work queue.</w:t>
      </w:r>
    </w:p>
    <w:p>
      <w:pPr>
        <w:numPr>
          <w:ilvl w:val="0"/>
          <w:numId w:val="10"/>
        </w:numPr>
        <w:spacing w:after="80" w:line="290" w:lineRule="auto"/>
      </w:pPr>
      <w:r>
        <w:rPr>
          <w:rFonts w:ascii="Aptos" w:hAnsi="Aptos"/>
          <w:b w:val="0"/>
          <w:i w:val="0"/>
          <w:color w:val="000000"/>
          <w:sz w:val="21"/>
        </w:rPr>
        <w:t>Up to two priority pages improved or prepared for on-page SEO.</w:t>
      </w:r>
    </w:p>
    <w:p>
      <w:pPr>
        <w:numPr>
          <w:ilvl w:val="0"/>
          <w:numId w:val="10"/>
        </w:numPr>
        <w:spacing w:after="80" w:line="290" w:lineRule="auto"/>
      </w:pPr>
      <w:r>
        <w:rPr>
          <w:rFonts w:ascii="Aptos" w:hAnsi="Aptos"/>
          <w:b w:val="0"/>
          <w:i w:val="0"/>
          <w:color w:val="000000"/>
          <w:sz w:val="21"/>
        </w:rPr>
        <w:t>One substantial project story or blog article, or two shorter website improvements, using approved material.</w:t>
      </w:r>
    </w:p>
    <w:p>
      <w:pPr>
        <w:numPr>
          <w:ilvl w:val="0"/>
          <w:numId w:val="10"/>
        </w:numPr>
        <w:spacing w:after="80" w:line="290" w:lineRule="auto"/>
      </w:pPr>
      <w:r>
        <w:rPr>
          <w:rFonts w:ascii="Aptos" w:hAnsi="Aptos"/>
          <w:b w:val="0"/>
          <w:i w:val="0"/>
          <w:color w:val="000000"/>
          <w:sz w:val="21"/>
        </w:rPr>
        <w:t>Four core social stories adapted into up to eight publications across up to three agreed channels, with up to four branded assets. One carousel may replace one static item.</w:t>
      </w:r>
    </w:p>
    <w:p>
      <w:pPr>
        <w:numPr>
          <w:ilvl w:val="0"/>
          <w:numId w:val="10"/>
        </w:numPr>
        <w:spacing w:after="80" w:line="290" w:lineRule="auto"/>
      </w:pPr>
      <w:r>
        <w:rPr>
          <w:rFonts w:ascii="Aptos" w:hAnsi="Aptos"/>
          <w:b w:val="0"/>
          <w:i w:val="0"/>
          <w:color w:val="000000"/>
          <w:sz w:val="21"/>
        </w:rPr>
        <w:t>Google Business Profile and local-information care, including one suitable update where the verified profile is available.</w:t>
      </w:r>
    </w:p>
    <w:p>
      <w:pPr>
        <w:numPr>
          <w:ilvl w:val="0"/>
          <w:numId w:val="10"/>
        </w:numPr>
        <w:spacing w:after="80" w:line="290" w:lineRule="auto"/>
      </w:pPr>
      <w:r>
        <w:rPr>
          <w:rFonts w:ascii="Aptos" w:hAnsi="Aptos"/>
          <w:b w:val="0"/>
          <w:i w:val="0"/>
          <w:color w:val="000000"/>
          <w:sz w:val="21"/>
        </w:rPr>
        <w:t>Research and outreach to up to five relevant publication, directory, collaborator or mention opportunities.</w:t>
      </w:r>
    </w:p>
    <w:p>
      <w:pPr>
        <w:numPr>
          <w:ilvl w:val="0"/>
          <w:numId w:val="10"/>
        </w:numPr>
        <w:spacing w:after="80" w:line="290" w:lineRule="auto"/>
      </w:pPr>
      <w:r>
        <w:rPr>
          <w:rFonts w:ascii="Aptos" w:hAnsi="Aptos"/>
          <w:b w:val="0"/>
          <w:i w:val="0"/>
          <w:color w:val="000000"/>
          <w:sz w:val="21"/>
        </w:rPr>
        <w:t>Routine website care, ordinary corrections, standard project uploads from complete material and form/link checks.</w:t>
      </w:r>
    </w:p>
    <w:p>
      <w:pPr>
        <w:numPr>
          <w:ilvl w:val="0"/>
          <w:numId w:val="10"/>
        </w:numPr>
        <w:spacing w:after="80" w:line="290" w:lineRule="auto"/>
      </w:pPr>
      <w:r>
        <w:rPr>
          <w:rFonts w:ascii="Aptos" w:hAnsi="Aptos"/>
          <w:b w:val="0"/>
          <w:i w:val="0"/>
          <w:color w:val="000000"/>
          <w:sz w:val="21"/>
        </w:rPr>
        <w:t>A completed-work report and one 30-minute monthly review call.</w:t>
      </w:r>
    </w:p>
    <w:p>
      <w:pPr>
        <w:numPr>
          <w:ilvl w:val="0"/>
          <w:numId w:val="10"/>
        </w:numPr>
        <w:spacing w:after="80" w:line="290" w:lineRule="auto"/>
      </w:pPr>
      <w:r>
        <w:rPr>
          <w:rFonts w:ascii="Aptos" w:hAnsi="Aptos"/>
          <w:b w:val="0"/>
          <w:i w:val="0"/>
          <w:color w:val="000000"/>
          <w:sz w:val="21"/>
        </w:rPr>
        <w:t>Up to four agreed profiles created, claimed or materially completed each month during the initial online-presence rollout. Platform eligibility, fees and approval remain outside 404200's control.</w:t>
      </w:r>
    </w:p>
    <w:p>
      <w:pPr>
        <w:pStyle w:val="Heading1"/>
      </w:pPr>
      <w:r>
        <w:t>4. Elementor website conversion</w:t>
      </w:r>
    </w:p>
    <w:p>
      <w:r>
        <w:rPr>
          <w:rFonts w:ascii="Aptos" w:hAnsi="Aptos"/>
          <w:b w:val="0"/>
          <w:i w:val="0"/>
          <w:color w:val="000000"/>
          <w:sz w:val="21"/>
        </w:rPr>
        <w:t>During the first three months, 404200 will rebuild the current approved public AMSA website in WordPress using Elementor templates and selective custom HTML/CSS. WordPress remains the content management system. The current website stays live until AMSA approves the replacement for launch.</w:t>
      </w:r>
    </w:p>
    <w:p>
      <w:pPr>
        <w:numPr>
          <w:ilvl w:val="0"/>
          <w:numId w:val="10"/>
        </w:numPr>
        <w:spacing w:after="80" w:line="290" w:lineRule="auto"/>
      </w:pPr>
      <w:r>
        <w:rPr>
          <w:rFonts w:ascii="Aptos" w:hAnsi="Aptos"/>
          <w:b w:val="0"/>
          <w:i w:val="0"/>
          <w:color w:val="000000"/>
          <w:sz w:val="21"/>
        </w:rPr>
        <w:t>Month 1: backup, access, page/URL inventory, forms, analytics, assets and private staging plan.</w:t>
      </w:r>
    </w:p>
    <w:p>
      <w:pPr>
        <w:numPr>
          <w:ilvl w:val="0"/>
          <w:numId w:val="10"/>
        </w:numPr>
        <w:spacing w:after="80" w:line="290" w:lineRule="auto"/>
      </w:pPr>
      <w:r>
        <w:rPr>
          <w:rFonts w:ascii="Aptos" w:hAnsi="Aptos"/>
          <w:b w:val="0"/>
          <w:i w:val="0"/>
          <w:color w:val="000000"/>
          <w:sz w:val="21"/>
        </w:rPr>
        <w:t>Month 2: global templates, current page types, approved content migration, image preparation and responsive build.</w:t>
      </w:r>
    </w:p>
    <w:p>
      <w:pPr>
        <w:numPr>
          <w:ilvl w:val="0"/>
          <w:numId w:val="10"/>
        </w:numPr>
        <w:spacing w:after="80" w:line="290" w:lineRule="auto"/>
      </w:pPr>
      <w:r>
        <w:rPr>
          <w:rFonts w:ascii="Aptos" w:hAnsi="Aptos"/>
          <w:b w:val="0"/>
          <w:i w:val="0"/>
          <w:color w:val="000000"/>
          <w:sz w:val="21"/>
        </w:rPr>
        <w:t>Month 3: staging review, one consolidated correction round, links, forms, redirects, sitemap, tracking, launch and monitoring.</w:t>
      </w:r>
    </w:p>
    <w:p>
      <w:pPr>
        <w:numPr>
          <w:ilvl w:val="0"/>
          <w:numId w:val="10"/>
        </w:numPr>
        <w:spacing w:after="80" w:line="290" w:lineRule="auto"/>
      </w:pPr>
      <w:r>
        <w:rPr>
          <w:rFonts w:ascii="Aptos" w:hAnsi="Aptos"/>
          <w:b w:val="0"/>
          <w:i w:val="0"/>
          <w:color w:val="000000"/>
          <w:sz w:val="21"/>
        </w:rPr>
        <w:t>The work preserves the current approved visual identity and public-site scope. New branding, custom applications, ecommerce, booking, advanced integrations, translation and unrelated redesign are separate.</w:t>
      </w:r>
    </w:p>
    <w:p>
      <w:pPr>
        <w:numPr>
          <w:ilvl w:val="0"/>
          <w:numId w:val="10"/>
        </w:numPr>
        <w:spacing w:after="80" w:line="290" w:lineRule="auto"/>
      </w:pPr>
      <w:r>
        <w:rPr>
          <w:rFonts w:ascii="Aptos" w:hAnsi="Aptos"/>
          <w:b w:val="0"/>
          <w:i w:val="0"/>
          <w:color w:val="000000"/>
          <w:sz w:val="21"/>
        </w:rPr>
        <w:t>Late access, material or approval moves the affected milestone by the corresponding practical period. Hidden complexity is explained and agreed before it changes scope or price.</w:t>
      </w:r>
    </w:p>
    <w:p>
      <w:pPr>
        <w:pStyle w:val="Heading1"/>
      </w:pPr>
      <w:r>
        <w:t>5. Approvals and Client inputs</w:t>
      </w:r>
    </w:p>
    <w:p>
      <w:pPr>
        <w:numPr>
          <w:ilvl w:val="0"/>
          <w:numId w:val="10"/>
        </w:numPr>
        <w:spacing w:after="80" w:line="290" w:lineRule="auto"/>
      </w:pPr>
      <w:r>
        <w:rPr>
          <w:rFonts w:ascii="Aptos" w:hAnsi="Aptos"/>
          <w:b w:val="0"/>
          <w:i w:val="0"/>
          <w:color w:val="000000"/>
          <w:sz w:val="21"/>
        </w:rPr>
        <w:t>AMSA supplies accurate project facts, approved images, credits, rights and the access needed for the agreed work.</w:t>
      </w:r>
    </w:p>
    <w:p>
      <w:pPr>
        <w:numPr>
          <w:ilvl w:val="0"/>
          <w:numId w:val="10"/>
        </w:numPr>
        <w:spacing w:after="80" w:line="290" w:lineRule="auto"/>
      </w:pPr>
      <w:r>
        <w:rPr>
          <w:rFonts w:ascii="Aptos" w:hAnsi="Aptos"/>
          <w:b w:val="0"/>
          <w:i w:val="0"/>
          <w:color w:val="000000"/>
          <w:sz w:val="21"/>
        </w:rPr>
        <w:t>AMSA names one contact who gives consolidated feedback and written approval.</w:t>
      </w:r>
    </w:p>
    <w:p>
      <w:pPr>
        <w:numPr>
          <w:ilvl w:val="0"/>
          <w:numId w:val="10"/>
        </w:numPr>
        <w:spacing w:after="80" w:line="290" w:lineRule="auto"/>
      </w:pPr>
      <w:r>
        <w:rPr>
          <w:rFonts w:ascii="Aptos" w:hAnsi="Aptos"/>
          <w:b w:val="0"/>
          <w:i w:val="0"/>
          <w:color w:val="000000"/>
          <w:sz w:val="21"/>
        </w:rPr>
        <w:t>Nothing is published without written approval. Silence is not approval.</w:t>
      </w:r>
    </w:p>
    <w:p>
      <w:pPr>
        <w:numPr>
          <w:ilvl w:val="0"/>
          <w:numId w:val="10"/>
        </w:numPr>
        <w:spacing w:after="80" w:line="290" w:lineRule="auto"/>
      </w:pPr>
      <w:r>
        <w:rPr>
          <w:rFonts w:ascii="Aptos" w:hAnsi="Aptos"/>
          <w:b w:val="0"/>
          <w:i w:val="0"/>
          <w:color w:val="000000"/>
          <w:sz w:val="21"/>
        </w:rPr>
        <w:t>AMSA identifies confidential work, private addresses, embargoes and restricted material before approval.</w:t>
      </w:r>
    </w:p>
    <w:p>
      <w:pPr>
        <w:numPr>
          <w:ilvl w:val="0"/>
          <w:numId w:val="10"/>
        </w:numPr>
        <w:spacing w:after="80" w:line="290" w:lineRule="auto"/>
      </w:pPr>
      <w:r>
        <w:rPr>
          <w:rFonts w:ascii="Aptos" w:hAnsi="Aptos"/>
          <w:b w:val="0"/>
          <w:i w:val="0"/>
          <w:color w:val="000000"/>
          <w:sz w:val="21"/>
        </w:rPr>
        <w:t>If an approval or input is delayed, the affected item moves to the next practical date; the fee remains due because ongoing work and capacity remain reserved.</w:t>
      </w:r>
    </w:p>
    <w:p>
      <w:pPr>
        <w:pStyle w:val="Heading1"/>
      </w:pPr>
      <w:r>
        <w:t>6. Ownership and accounts</w:t>
      </w:r>
    </w:p>
    <w:p>
      <w:r>
        <w:rPr>
          <w:rFonts w:ascii="Aptos" w:hAnsi="Aptos"/>
          <w:b w:val="0"/>
          <w:i w:val="0"/>
          <w:color w:val="000000"/>
          <w:sz w:val="21"/>
        </w:rPr>
        <w:t>AMSA owns and controls its domain, website, analytics, business profiles and social accounts. 404200 receives the minimum administration access needed. After payment, AMSA owns final approved content, graphics and website files created specifically for AMSA. 404200 keeps its pre-existing tools, methods, monitoring systems, templates and reusable code while granting AMSA the rights needed to use the delivered work.</w:t>
      </w:r>
    </w:p>
    <w:p>
      <w:pPr>
        <w:pStyle w:val="Heading1"/>
      </w:pPr>
      <w:r>
        <w:t>7. External costs and results</w:t>
      </w:r>
    </w:p>
    <w:p>
      <w:r>
        <w:rPr>
          <w:rFonts w:ascii="Aptos" w:hAnsi="Aptos"/>
          <w:b w:val="0"/>
          <w:i w:val="0"/>
          <w:color w:val="000000"/>
          <w:sz w:val="21"/>
        </w:rPr>
        <w:t>Hosting, domains, advertising, premium software, photography, translation, paid placement, publication fees and memberships are paid by AMSA only after written approval. Search engines, platforms, publishers and directories control ranking, indexing, reach, reviews, account approval and publication. 404200 promises the defined work and reporting, not a particular ranking, follower number, backlink, enquiry volume or commercial result.</w:t>
      </w:r>
    </w:p>
    <w:p>
      <w:pPr>
        <w:pStyle w:val="Heading1"/>
      </w:pPr>
      <w:r>
        <w:t>8. Ending the agreement</w:t>
      </w:r>
    </w:p>
    <w:p>
      <w:r>
        <w:rPr>
          <w:rFonts w:ascii="Aptos" w:hAnsi="Aptos"/>
          <w:b w:val="0"/>
          <w:i w:val="0"/>
          <w:color w:val="000000"/>
          <w:sz w:val="21"/>
        </w:rPr>
        <w:t>The Client may end this agreement at any time by written notice. Work stops at the end of the current paid month unless the parties agree an earlier date. 404200 will refund any unused complete prepaid months within 14 days after subtracting completed work and any external costs already approved by the Client. Either party may end immediately if the other commits a serious breach and does not correct it within seven days after written notice.</w:t>
      </w:r>
    </w:p>
    <w:p>
      <w:r>
        <w:rPr>
          <w:rFonts w:ascii="Aptos" w:hAnsi="Aptos"/>
          <w:b w:val="0"/>
          <w:i w:val="0"/>
          <w:color w:val="000000"/>
          <w:sz w:val="21"/>
        </w:rPr>
        <w:t>On ending, 404200 will provide completed paid-for materials, remove its access and support a reasonable orderly handover. Amounts already due for completed work remain payable.</w:t>
      </w:r>
    </w:p>
    <w:p>
      <w:pPr>
        <w:pStyle w:val="Heading1"/>
      </w:pPr>
      <w:r>
        <w:t>9. Confidentiality and changes</w:t>
      </w:r>
    </w:p>
    <w:p>
      <w:r>
        <w:rPr>
          <w:rFonts w:ascii="Aptos" w:hAnsi="Aptos"/>
          <w:b w:val="0"/>
          <w:i w:val="0"/>
          <w:color w:val="000000"/>
          <w:sz w:val="21"/>
        </w:rPr>
        <w:t>Both parties keep non-public project, business and access information confidential and use it only for this engagement. Any change to the fee, main scope or payment choice must be agreed in writing. Email is sufficient for routine priorities, approvals and scheduling.</w:t>
      </w:r>
    </w:p>
    <w:p>
      <w:pPr>
        <w:pStyle w:val="Heading1"/>
      </w:pPr>
      <w:r>
        <w:t>10. Governing law</w:t>
      </w:r>
    </w:p>
    <w:p>
      <w:r>
        <w:rPr>
          <w:rFonts w:ascii="Aptos" w:hAnsi="Aptos"/>
          <w:b w:val="0"/>
          <w:i w:val="0"/>
          <w:color w:val="000000"/>
          <w:sz w:val="21"/>
        </w:rPr>
        <w:t>This agreement is governed by the laws of the Republic of Cyprus. The parties will first try to resolve any disagreement directly.</w:t>
      </w:r>
    </w:p>
    <w:p>
      <w:pPr>
        <w:pStyle w:val="Heading1"/>
      </w:pPr>
      <w:r>
        <w:t>Signatures</w:t>
      </w:r>
    </w:p>
    <w:p>
      <w:r>
        <w:rPr>
          <w:rFonts w:ascii="Aptos" w:hAnsi="Aptos"/>
          <w:b w:val="0"/>
          <w:i w:val="0"/>
          <w:color w:val="000000"/>
          <w:sz w:val="21"/>
        </w:rPr>
        <w:t>By signing, both parties accept this agreement and the selected payment option.</w:t>
      </w:r>
    </w:p>
    <w:tbl>
      <w:tblPr>
        <w:tblW w:type="dxa" w:w="9360"/>
        <w:jc w:val="left"/>
        <w:tblLayout w:type="fixed"/>
        <w:tblLook w:firstColumn="1" w:firstRow="1" w:lastColumn="0" w:lastRow="0" w:noHBand="0" w:noVBand="1" w:val="04A0"/>
        <w:tblInd w:w="120" w:type="dxa"/>
        <w:tblBorders>
          <w:top w:val="single" w:sz="7" w:color="000000"/>
          <w:left w:val="single" w:sz="7" w:color="000000"/>
          <w:bottom w:val="single" w:sz="7" w:color="000000"/>
          <w:right w:val="single" w:sz="7" w:color="000000"/>
          <w:insideH w:val="single" w:sz="7" w:color="000000"/>
          <w:insideV w:val="single" w:sz="7" w:color="000000"/>
        </w:tblBorders>
      </w:tblPr>
      <w:tblGrid>
        <w:gridCol w:w="4680"/>
        <w:gridCol w:w="4680"/>
      </w:tblGrid>
      <w:tr>
        <w:trPr>
          <w:cantSplit/>
        </w:trPr>
        <w:tc>
          <w:tcPr>
            <w:tcW w:type="dxa" w:w="4680"/>
            <w:vAlign w:val="center"/>
            <w:tcMar>
              <w:top w:w="100" w:type="dxa"/>
              <w:start w:w="120" w:type="dxa"/>
              <w:bottom w:w="100" w:type="dxa"/>
              <w:end w:w="120" w:type="dxa"/>
            </w:tcMar>
            <w:shd w:fill="000000"/>
          </w:tcPr>
          <w:p>
            <w:r>
              <w:rPr>
                <w:rFonts w:ascii="Consolas" w:hAnsi="Consolas"/>
                <w:b/>
                <w:i w:val="0"/>
                <w:color w:val="FFFFFF"/>
                <w:sz w:val="19"/>
              </w:rPr>
              <w:t>For 404200</w:t>
            </w:r>
          </w:p>
        </w:tc>
        <w:tc>
          <w:tcPr>
            <w:tcW w:type="dxa" w:w="4680"/>
            <w:vAlign w:val="center"/>
            <w:tcMar>
              <w:top w:w="100" w:type="dxa"/>
              <w:start w:w="120" w:type="dxa"/>
              <w:bottom w:w="100" w:type="dxa"/>
              <w:end w:w="120" w:type="dxa"/>
            </w:tcMar>
            <w:shd w:fill="000000"/>
          </w:tcPr>
          <w:p>
            <w:r>
              <w:rPr>
                <w:rFonts w:ascii="Consolas" w:hAnsi="Consolas"/>
                <w:b/>
                <w:i w:val="0"/>
                <w:color w:val="FFFFFF"/>
                <w:sz w:val="19"/>
              </w:rPr>
              <w:t>For AMSA Architects</w:t>
            </w:r>
          </w:p>
        </w:tc>
      </w:tr>
      <w:tr>
        <w:trPr>
          <w:cantSplit/>
        </w:trPr>
        <w:tc>
          <w:tcPr>
            <w:tcW w:type="dxa" w:w="4680"/>
            <w:vAlign w:val="center"/>
            <w:tcMar>
              <w:top w:w="100" w:type="dxa"/>
              <w:start w:w="120" w:type="dxa"/>
              <w:bottom w:w="100" w:type="dxa"/>
              <w:end w:w="120" w:type="dxa"/>
            </w:tcMar>
            <w:shd w:fill="FFFAF0"/>
          </w:tcPr>
          <w:p>
            <w:r>
              <w:rPr>
                <w:rFonts w:ascii="Aptos" w:hAnsi="Aptos"/>
                <w:b w:val="0"/>
                <w:i w:val="0"/>
                <w:color w:val="000000"/>
                <w:sz w:val="18"/>
              </w:rPr>
              <w:t>Legal name: ________________________________</w:t>
            </w:r>
            <w:r>
              <w:br/>
            </w:r>
            <w:r>
              <w:rPr>
                <w:rFonts w:ascii="Aptos" w:hAnsi="Aptos"/>
                <w:b w:val="0"/>
                <w:i w:val="0"/>
                <w:color w:val="000000"/>
                <w:sz w:val="18"/>
              </w:rPr>
            </w:r>
            <w:r>
              <w:br/>
            </w:r>
            <w:r>
              <w:rPr>
                <w:rFonts w:ascii="Aptos" w:hAnsi="Aptos"/>
                <w:b w:val="0"/>
                <w:i w:val="0"/>
                <w:color w:val="000000"/>
                <w:sz w:val="18"/>
              </w:rPr>
              <w:t>Representative: _____________________________</w:t>
            </w:r>
            <w:r>
              <w:br/>
            </w:r>
            <w:r>
              <w:rPr>
                <w:rFonts w:ascii="Aptos" w:hAnsi="Aptos"/>
                <w:b w:val="0"/>
                <w:i w:val="0"/>
                <w:color w:val="000000"/>
                <w:sz w:val="18"/>
              </w:rPr>
            </w:r>
            <w:r>
              <w:br/>
            </w:r>
            <w:r>
              <w:rPr>
                <w:rFonts w:ascii="Aptos" w:hAnsi="Aptos"/>
                <w:b w:val="0"/>
                <w:i w:val="0"/>
                <w:color w:val="000000"/>
                <w:sz w:val="18"/>
              </w:rPr>
              <w:t>Title: ______________________________________</w:t>
            </w:r>
            <w:r>
              <w:br/>
            </w:r>
            <w:r>
              <w:rPr>
                <w:rFonts w:ascii="Aptos" w:hAnsi="Aptos"/>
                <w:b w:val="0"/>
                <w:i w:val="0"/>
                <w:color w:val="000000"/>
                <w:sz w:val="18"/>
              </w:rPr>
            </w:r>
            <w:r>
              <w:br/>
            </w:r>
            <w:r>
              <w:rPr>
                <w:rFonts w:ascii="Aptos" w:hAnsi="Aptos"/>
                <w:b w:val="0"/>
                <w:i w:val="0"/>
                <w:color w:val="000000"/>
                <w:sz w:val="18"/>
              </w:rPr>
              <w:t>Signature: __________________________________</w:t>
            </w:r>
            <w:r>
              <w:br/>
            </w:r>
            <w:r>
              <w:rPr>
                <w:rFonts w:ascii="Aptos" w:hAnsi="Aptos"/>
                <w:b w:val="0"/>
                <w:i w:val="0"/>
                <w:color w:val="000000"/>
                <w:sz w:val="18"/>
              </w:rPr>
            </w:r>
            <w:r>
              <w:br/>
            </w:r>
            <w:r>
              <w:rPr>
                <w:rFonts w:ascii="Aptos" w:hAnsi="Aptos"/>
                <w:b w:val="0"/>
                <w:i w:val="0"/>
                <w:color w:val="000000"/>
                <w:sz w:val="18"/>
              </w:rPr>
              <w:t>Date: _______________________________________</w:t>
            </w:r>
          </w:p>
        </w:tc>
        <w:tc>
          <w:tcPr>
            <w:tcW w:type="dxa" w:w="4680"/>
            <w:vAlign w:val="center"/>
            <w:tcMar>
              <w:top w:w="100" w:type="dxa"/>
              <w:start w:w="120" w:type="dxa"/>
              <w:bottom w:w="100" w:type="dxa"/>
              <w:end w:w="120" w:type="dxa"/>
            </w:tcMar>
            <w:shd w:fill="FFFAF0"/>
          </w:tcPr>
          <w:p>
            <w:r>
              <w:rPr>
                <w:rFonts w:ascii="Aptos" w:hAnsi="Aptos"/>
                <w:b w:val="0"/>
                <w:i w:val="0"/>
                <w:color w:val="000000"/>
                <w:sz w:val="18"/>
              </w:rPr>
              <w:t>Legal name: ________________________________</w:t>
            </w:r>
            <w:r>
              <w:br/>
            </w:r>
            <w:r>
              <w:rPr>
                <w:rFonts w:ascii="Aptos" w:hAnsi="Aptos"/>
                <w:b w:val="0"/>
                <w:i w:val="0"/>
                <w:color w:val="000000"/>
                <w:sz w:val="18"/>
              </w:rPr>
            </w:r>
            <w:r>
              <w:br/>
            </w:r>
            <w:r>
              <w:rPr>
                <w:rFonts w:ascii="Aptos" w:hAnsi="Aptos"/>
                <w:b w:val="0"/>
                <w:i w:val="0"/>
                <w:color w:val="000000"/>
                <w:sz w:val="18"/>
              </w:rPr>
              <w:t>Representative: _____________________________</w:t>
            </w:r>
            <w:r>
              <w:br/>
            </w:r>
            <w:r>
              <w:rPr>
                <w:rFonts w:ascii="Aptos" w:hAnsi="Aptos"/>
                <w:b w:val="0"/>
                <w:i w:val="0"/>
                <w:color w:val="000000"/>
                <w:sz w:val="18"/>
              </w:rPr>
            </w:r>
            <w:r>
              <w:br/>
            </w:r>
            <w:r>
              <w:rPr>
                <w:rFonts w:ascii="Aptos" w:hAnsi="Aptos"/>
                <w:b w:val="0"/>
                <w:i w:val="0"/>
                <w:color w:val="000000"/>
                <w:sz w:val="18"/>
              </w:rPr>
              <w:t>Title: ______________________________________</w:t>
            </w:r>
            <w:r>
              <w:br/>
            </w:r>
            <w:r>
              <w:rPr>
                <w:rFonts w:ascii="Aptos" w:hAnsi="Aptos"/>
                <w:b w:val="0"/>
                <w:i w:val="0"/>
                <w:color w:val="000000"/>
                <w:sz w:val="18"/>
              </w:rPr>
            </w:r>
            <w:r>
              <w:br/>
            </w:r>
            <w:r>
              <w:rPr>
                <w:rFonts w:ascii="Aptos" w:hAnsi="Aptos"/>
                <w:b w:val="0"/>
                <w:i w:val="0"/>
                <w:color w:val="000000"/>
                <w:sz w:val="18"/>
              </w:rPr>
              <w:t>Signature: __________________________________</w:t>
            </w:r>
            <w:r>
              <w:br/>
            </w:r>
            <w:r>
              <w:rPr>
                <w:rFonts w:ascii="Aptos" w:hAnsi="Aptos"/>
                <w:b w:val="0"/>
                <w:i w:val="0"/>
                <w:color w:val="000000"/>
                <w:sz w:val="18"/>
              </w:rPr>
            </w:r>
            <w:r>
              <w:br/>
            </w:r>
            <w:r>
              <w:rPr>
                <w:rFonts w:ascii="Aptos" w:hAnsi="Aptos"/>
                <w:b w:val="0"/>
                <w:i w:val="0"/>
                <w:color w:val="000000"/>
                <w:sz w:val="18"/>
              </w:rPr>
              <w:t>Date: _______________________________________</w:t>
            </w:r>
          </w:p>
        </w:tc>
      </w:tr>
    </w:tbl>
    <w:sectPr w:rsidR="00FC693F" w:rsidRPr="0006063C" w:rsidSect="00034616">
      <w:headerReference w:type="default" r:id="rId9"/>
      <w:footerReference w:type="default" r:id="rId10"/>
      <w:pgSz w:w="12240" w:h="15840"/>
      <w:pgMar w:top="1440" w:right="1440" w:bottom="1440" w:left="1440" w:header="461"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p>
  <w:tbl>
    <w:tblPr>
      <w:tblW w:type="dxa" w:w="9360"/>
      <w:jc w:val="left"/>
      <w:tblLayout w:type="fixed"/>
      <w:tblLook w:firstColumn="1" w:firstRow="1" w:lastColumn="0" w:lastRow="0" w:noHBand="0" w:noVBand="1" w:val="04A0"/>
      <w:tblInd w:w="0" w:type="dxa"/>
      <w:tblBorders>
        <w:top w:val="single" w:sz="0" w:color="000000"/>
        <w:left w:val="single" w:sz="0" w:color="000000"/>
        <w:bottom w:val="single" w:sz="0" w:color="000000"/>
        <w:right w:val="single" w:sz="0" w:color="000000"/>
        <w:insideH w:val="single" w:sz="0" w:color="000000"/>
        <w:insideV w:val="single" w:sz="0" w:color="000000"/>
      </w:tblBorders>
    </w:tblPr>
    <w:tblGrid>
      <w:gridCol w:w="1100"/>
      <w:gridCol w:w="6600"/>
      <w:gridCol w:w="1660"/>
    </w:tblGrid>
    <w:tr>
      <w:trPr>
        <w:cantSplit/>
      </w:trPr>
      <w:tc>
        <w:tcPr>
          <w:tcW w:type="dxa" w:w="1100"/>
          <w:vAlign w:val="center"/>
          <w:tcMar>
            <w:top w:w="40" w:type="dxa"/>
            <w:start w:w="80" w:type="dxa"/>
            <w:bottom w:w="40" w:type="dxa"/>
            <w:end w:w="80" w:type="dxa"/>
          </w:tcMar>
          <w:shd w:fill="000000"/>
        </w:tcPr>
        <w:p>
          <w:pPr>
            <w:jc w:val="left"/>
          </w:pPr>
          <w:r>
            <w:drawing>
              <wp:inline xmlns:a="http://schemas.openxmlformats.org/drawingml/2006/main" xmlns:pic="http://schemas.openxmlformats.org/drawingml/2006/picture">
                <wp:extent cx="274320" cy="153010"/>
                <wp:docPr id="1" name="Picture 1"/>
                <wp:cNvGraphicFramePr>
                  <a:graphicFrameLocks noChangeAspect="1"/>
                </wp:cNvGraphicFramePr>
                <a:graphic>
                  <a:graphicData uri="http://schemas.openxmlformats.org/drawingml/2006/picture">
                    <pic:pic>
                      <pic:nvPicPr>
                        <pic:cNvPr id="0" name="404200_brand_sign.png"/>
                        <pic:cNvPicPr/>
                      </pic:nvPicPr>
                      <pic:blipFill>
                        <a:blip r:embed="rId1"/>
                        <a:stretch>
                          <a:fillRect/>
                        </a:stretch>
                      </pic:blipFill>
                      <pic:spPr>
                        <a:xfrm>
                          <a:off x="0" y="0"/>
                          <a:ext cx="274320" cy="153010"/>
                        </a:xfrm>
                        <a:prstGeom prst="rect"/>
                      </pic:spPr>
                    </pic:pic>
                  </a:graphicData>
                </a:graphic>
              </wp:inline>
            </w:drawing>
          </w:r>
        </w:p>
      </w:tc>
      <w:tc>
        <w:tcPr>
          <w:tcW w:type="dxa" w:w="6600"/>
          <w:vAlign w:val="center"/>
          <w:tcMar>
            <w:top w:w="40" w:type="dxa"/>
            <w:start w:w="80" w:type="dxa"/>
            <w:bottom w:w="40" w:type="dxa"/>
            <w:end w:w="80" w:type="dxa"/>
          </w:tcMar>
          <w:shd w:fill="000000"/>
        </w:tcPr>
        <w:p>
          <w:pPr>
            <w:jc w:val="center"/>
          </w:pPr>
          <w:r>
            <w:drawing>
              <wp:inline xmlns:a="http://schemas.openxmlformats.org/drawingml/2006/main" xmlns:pic="http://schemas.openxmlformats.org/drawingml/2006/picture">
                <wp:extent cx="1508760" cy="646881"/>
                <wp:docPr id="2" name="Picture 2"/>
                <wp:cNvGraphicFramePr>
                  <a:graphicFrameLocks noChangeAspect="1"/>
                </wp:cNvGraphicFramePr>
                <a:graphic>
                  <a:graphicData uri="http://schemas.openxmlformats.org/drawingml/2006/picture">
                    <pic:pic>
                      <pic:nvPicPr>
                        <pic:cNvPr id="0" name="404200_footer_logo.png"/>
                        <pic:cNvPicPr/>
                      </pic:nvPicPr>
                      <pic:blipFill>
                        <a:blip r:embed="rId2"/>
                        <a:stretch>
                          <a:fillRect/>
                        </a:stretch>
                      </pic:blipFill>
                      <pic:spPr>
                        <a:xfrm>
                          <a:off x="0" y="0"/>
                          <a:ext cx="1508760" cy="646881"/>
                        </a:xfrm>
                        <a:prstGeom prst="rect"/>
                      </pic:spPr>
                    </pic:pic>
                  </a:graphicData>
                </a:graphic>
              </wp:inline>
            </w:drawing>
          </w:r>
        </w:p>
      </w:tc>
      <w:tc>
        <w:tcPr>
          <w:tcW w:type="dxa" w:w="1660"/>
          <w:vAlign w:val="center"/>
          <w:tcMar>
            <w:top w:w="40" w:type="dxa"/>
            <w:start w:w="80" w:type="dxa"/>
            <w:bottom w:w="40" w:type="dxa"/>
            <w:end w:w="80" w:type="dxa"/>
          </w:tcMar>
          <w:shd w:fill="000000"/>
        </w:tcPr>
        <w:p>
          <w:pPr>
            <w:jc w:val="right"/>
          </w:pPr>
          <w:r>
            <w:rPr>
              <w:rFonts w:ascii="Consolas" w:hAnsi="Consolas"/>
              <w:b/>
              <w:i w:val="0"/>
              <w:color w:val="FFFFFF"/>
              <w:sz w:val="16"/>
            </w:rPr>
            <w:t xml:space="preserve">PAGE </w:t>
          </w:r>
          <w:r>
            <w:rPr>
              <w:rFonts w:ascii="Consolas" w:hAnsi="Consolas"/>
              <w:b/>
              <w:i w:val="0"/>
              <w:color w:val="FFFFFF"/>
              <w:sz w:val="16"/>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841248" cy="360335"/>
          <wp:docPr id="1" name="Picture 1"/>
          <wp:cNvGraphicFramePr>
            <a:graphicFrameLocks noChangeAspect="1"/>
          </wp:cNvGraphicFramePr>
          <a:graphic>
            <a:graphicData uri="http://schemas.openxmlformats.org/drawingml/2006/picture">
              <pic:pic>
                <pic:nvPicPr>
                  <pic:cNvPr id="0" name="404200_header_logo.png"/>
                  <pic:cNvPicPr/>
                </pic:nvPicPr>
                <pic:blipFill>
                  <a:blip r:embed="rId1"/>
                  <a:stretch>
                    <a:fillRect/>
                  </a:stretch>
                </pic:blipFill>
                <pic:spPr>
                  <a:xfrm>
                    <a:off x="0" y="0"/>
                    <a:ext cx="841248" cy="36033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AMSA Service Agreement</dc:title>
  <dc:subject>SEO, content, social media and website services</dc:subject>
  <dc:creator>404200</dc:creator>
  <cp:keywords/>
  <dc:description>generated by python-docx</dc:description>
  <cp:lastModifiedBy/>
  <cp:revision>1</cp:revision>
  <dcterms:created xsi:type="dcterms:W3CDTF">2013-12-23T23:15:00Z</dcterms:created>
  <dcterms:modified xsi:type="dcterms:W3CDTF">2013-12-23T23:15:00Z</dcterms:modified>
  <cp:category/>
</cp:coreProperties>
</file>