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onsolas" w:hAnsi="Consolas"/>
          <w:b/>
          <w:i w:val="0"/>
          <w:color w:val="FF4138"/>
          <w:sz w:val="17"/>
        </w:rPr>
        <w:t>404200 / CLIENT ONBOARDING CHECKLIST</w:t>
      </w:r>
    </w:p>
    <w:p>
      <w:pPr>
        <w:spacing w:after="140"/>
      </w:pPr>
      <w:r>
        <w:rPr>
          <w:rFonts w:ascii="Aptos" w:hAnsi="Aptos"/>
          <w:b/>
          <w:i w:val="0"/>
          <w:color w:val="000000"/>
          <w:sz w:val="56"/>
        </w:rPr>
        <w:t>AMSA Client Access &amp; Content Checklist</w:t>
      </w:r>
    </w:p>
    <w:p>
      <w:pPr>
        <w:spacing w:after="320"/>
      </w:pPr>
      <w:r>
        <w:rPr>
          <w:rFonts w:ascii="Aptos" w:hAnsi="Aptos"/>
          <w:b w:val="0"/>
          <w:i w:val="0"/>
          <w:color w:val="5F5A53"/>
          <w:sz w:val="25"/>
        </w:rPr>
        <w:t>Everything needed to manage AMSA's website, SEO and social channels.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70" w:type="dxa"/>
              <w:start w:w="220" w:type="dxa"/>
              <w:bottom w:w="170" w:type="dxa"/>
              <w:end w:w="220" w:type="dxa"/>
            </w:tcMar>
            <w:shd w:fill="FFFAF0"/>
          </w:tcPr>
          <w:p>
            <w:pPr>
              <w:spacing w:after="80"/>
            </w:pPr>
            <w:r>
              <w:rPr>
                <w:rFonts w:ascii="Consolas" w:hAnsi="Consolas"/>
                <w:b/>
                <w:i w:val="0"/>
                <w:color w:val="FF4138"/>
                <w:sz w:val="17"/>
              </w:rPr>
              <w:t>START HERE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23"/>
              </w:rPr>
              <w:t>The first six items unlock the website, domain and account setup. AMSA keeps primary ownership; 404200 works through named administrator access.</w:t>
            </w:r>
          </w:p>
        </w:tc>
      </w:tr>
    </w:tbl>
    <w:p>
      <w:pPr>
        <w:spacing w:after="0"/>
      </w:pPr>
    </w:p>
    <w:p>
      <w:pPr>
        <w:pStyle w:val="Heading1"/>
      </w:pPr>
      <w:r>
        <w:t>1. Access, ownership and security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Create Ahmad@amsa.com.cy. </w:t>
      </w:r>
      <w:r>
        <w:rPr>
          <w:rFonts w:ascii="Aptos" w:hAnsi="Aptos"/>
          <w:b w:val="0"/>
          <w:i w:val="0"/>
          <w:color w:val="000000"/>
          <w:sz w:val="22"/>
        </w:rPr>
        <w:t>Set up the domain email and confirm that Ahmad can send, receive and recover the account.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Domain registrar and DNS. </w:t>
      </w:r>
      <w:r>
        <w:rPr>
          <w:rFonts w:ascii="Aptos" w:hAnsi="Aptos"/>
          <w:b w:val="0"/>
          <w:i w:val="0"/>
          <w:color w:val="000000"/>
          <w:sz w:val="22"/>
        </w:rPr>
        <w:t>Invite 404200 with administrator access to the service that controls amsa.com.cy and its DNS records.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SiteGround. </w:t>
      </w:r>
      <w:r>
        <w:rPr>
          <w:rFonts w:ascii="Aptos" w:hAnsi="Aptos"/>
          <w:b w:val="0"/>
          <w:i w:val="0"/>
          <w:color w:val="000000"/>
          <w:sz w:val="22"/>
        </w:rPr>
        <w:t>Provide owner-approved collaborator or administrator access to hosting, backups, files, databases and staging.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WordPress. </w:t>
      </w:r>
      <w:r>
        <w:rPr>
          <w:rFonts w:ascii="Aptos" w:hAnsi="Aptos"/>
          <w:b w:val="0"/>
          <w:i w:val="0"/>
          <w:color w:val="000000"/>
          <w:sz w:val="22"/>
        </w:rPr>
        <w:t>Create a named administrator account for 404200 and share the current theme, Elementor Pro and premium-plugin licence details.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Connected website services. </w:t>
      </w:r>
      <w:r>
        <w:rPr>
          <w:rFonts w:ascii="Aptos" w:hAnsi="Aptos"/>
          <w:b w:val="0"/>
          <w:i w:val="0"/>
          <w:color w:val="000000"/>
          <w:sz w:val="22"/>
        </w:rPr>
        <w:t>Provide access to Cloudflare or another CDN, SMTP or form-delivery tools, cookie tools and current backup services where used.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Secure recovery. </w:t>
      </w:r>
      <w:r>
        <w:rPr>
          <w:rFonts w:ascii="Aptos" w:hAnsi="Aptos"/>
          <w:b w:val="0"/>
          <w:i w:val="0"/>
          <w:color w:val="000000"/>
          <w:sz w:val="22"/>
        </w:rPr>
        <w:t>Keep AMSA as primary owner, confirm a recovery email and mobile number, enable two-factor authentication and use invitations or a shared password manager for access.</w:t>
      </w:r>
    </w:p>
    <w:p>
      <w:pPr>
        <w:pStyle w:val="Heading1"/>
      </w:pPr>
      <w:r>
        <w:t>2. Existing profiles and measurement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Social accounts. </w:t>
      </w:r>
      <w:r>
        <w:rPr>
          <w:rFonts w:ascii="Aptos" w:hAnsi="Aptos"/>
          <w:b w:val="0"/>
          <w:i w:val="0"/>
          <w:color w:val="000000"/>
          <w:sz w:val="22"/>
        </w:rPr>
        <w:t>Grant administrator access to every existing account, including Instagram, Facebook and Meta Business Suite, LinkedIn, YouTube, Pinterest, Vimeo, Houzz and any earlier studio profiles.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Google presence. </w:t>
      </w:r>
      <w:r>
        <w:rPr>
          <w:rFonts w:ascii="Aptos" w:hAnsi="Aptos"/>
          <w:b w:val="0"/>
          <w:i w:val="0"/>
          <w:color w:val="000000"/>
          <w:sz w:val="22"/>
        </w:rPr>
        <w:t>Grant access to Google Business Profile, Google Search Console, Google Analytics 4 and Google Tag Manager.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Other search tools. </w:t>
      </w:r>
      <w:r>
        <w:rPr>
          <w:rFonts w:ascii="Aptos" w:hAnsi="Aptos"/>
          <w:b w:val="0"/>
          <w:i w:val="0"/>
          <w:color w:val="000000"/>
          <w:sz w:val="22"/>
        </w:rPr>
        <w:t>Share Bing Webmaster Tools, Microsoft Clarity, Apple Business Connect and any directory or map listings already claimed.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Advertising and archives. </w:t>
      </w:r>
      <w:r>
        <w:rPr>
          <w:rFonts w:ascii="Aptos" w:hAnsi="Aptos"/>
          <w:b w:val="0"/>
          <w:i w:val="0"/>
          <w:color w:val="000000"/>
          <w:sz w:val="22"/>
        </w:rPr>
        <w:t>Share existing ad accounts, past campaign reports, content calendars, post libraries and performance reports where available.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Previous suppliers. </w:t>
      </w:r>
      <w:r>
        <w:rPr>
          <w:rFonts w:ascii="Aptos" w:hAnsi="Aptos"/>
          <w:b w:val="0"/>
          <w:i w:val="0"/>
          <w:color w:val="000000"/>
          <w:sz w:val="22"/>
        </w:rPr>
        <w:t>Introduce the current developer, hosting contact or marketing supplier when a handover, licence transfer or technical explanation is needed.</w:t>
      </w:r>
    </w:p>
    <w:p>
      <w:r>
        <w:br w:type="page"/>
      </w:r>
    </w:p>
    <w:p>
      <w:pPr>
        <w:spacing w:after="80"/>
        <w:jc w:val="left"/>
      </w:pPr>
      <w:r>
        <w:rPr>
          <w:rFonts w:ascii="Consolas" w:hAnsi="Consolas"/>
          <w:b/>
          <w:i w:val="0"/>
          <w:color w:val="FF4138"/>
          <w:sz w:val="17"/>
        </w:rPr>
        <w:t>AMSA / PROJECT AND BRAND MATERIAL</w:t>
      </w:r>
    </w:p>
    <w:p>
      <w:pPr>
        <w:pStyle w:val="Heading1"/>
      </w:pPr>
      <w:r>
        <w:t>3. Complete project package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Project record. </w:t>
      </w:r>
      <w:r>
        <w:rPr>
          <w:rFonts w:ascii="Aptos" w:hAnsi="Aptos"/>
          <w:b w:val="0"/>
          <w:i w:val="0"/>
          <w:color w:val="000000"/>
          <w:sz w:val="22"/>
        </w:rPr>
        <w:t>For every project: approved name, city and country, design and completion dates, status, project type and permission to name the client.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Scope and specifications. </w:t>
      </w:r>
      <w:r>
        <w:rPr>
          <w:rFonts w:ascii="Aptos" w:hAnsi="Aptos"/>
          <w:b w:val="0"/>
          <w:i w:val="0"/>
          <w:color w:val="000000"/>
          <w:sz w:val="22"/>
        </w:rPr>
        <w:t>AMSA's role and services, site and floor area, units or floors, public budget range if relevant, main materials, systems, sustainability features and other publishable specifications.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Design story. </w:t>
      </w:r>
      <w:r>
        <w:rPr>
          <w:rFonts w:ascii="Aptos" w:hAnsi="Aptos"/>
          <w:b w:val="0"/>
          <w:i w:val="0"/>
          <w:color w:val="000000"/>
          <w:sz w:val="22"/>
        </w:rPr>
        <w:t>The brief, main challenge, concept, design response and the result in clear language.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Credits. </w:t>
      </w:r>
      <w:r>
        <w:rPr>
          <w:rFonts w:ascii="Aptos" w:hAnsi="Aptos"/>
          <w:b w:val="0"/>
          <w:i w:val="0"/>
          <w:color w:val="000000"/>
          <w:sz w:val="22"/>
        </w:rPr>
        <w:t>Project architects and team, client, consultants, contractor, landscape and interior teams, suppliers, visualisers and photographer.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Visual files. </w:t>
      </w:r>
      <w:r>
        <w:rPr>
          <w:rFonts w:ascii="Aptos" w:hAnsi="Aptos"/>
          <w:b w:val="0"/>
          <w:i w:val="0"/>
          <w:color w:val="000000"/>
          <w:sz w:val="22"/>
        </w:rPr>
        <w:t>Original high-resolution photography and video, plans, sections, diagrams, drawings and preferred hero images, organised by project.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Captions and rights. </w:t>
      </w:r>
      <w:r>
        <w:rPr>
          <w:rFonts w:ascii="Aptos" w:hAnsi="Aptos"/>
          <w:b w:val="0"/>
          <w:i w:val="0"/>
          <w:color w:val="000000"/>
          <w:sz w:val="22"/>
        </w:rPr>
        <w:t>Image captions, photographer credits, usage permissions and any limits on websites, social media, awards or editorial submissions.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Recognition. </w:t>
      </w:r>
      <w:r>
        <w:rPr>
          <w:rFonts w:ascii="Aptos" w:hAnsi="Aptos"/>
          <w:b w:val="0"/>
          <w:i w:val="0"/>
          <w:color w:val="000000"/>
          <w:sz w:val="22"/>
        </w:rPr>
        <w:t>Awards, shortlistings, exhibitions, publications, press links and testimonials with dates and source details.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Privacy and timing. </w:t>
      </w:r>
      <w:r>
        <w:rPr>
          <w:rFonts w:ascii="Aptos" w:hAnsi="Aptos"/>
          <w:b w:val="0"/>
          <w:i w:val="0"/>
          <w:color w:val="000000"/>
          <w:sz w:val="22"/>
        </w:rPr>
        <w:t>Mark private addresses, confidential clients, unpublished work, embargo dates and any material that requires special approval.</w:t>
      </w:r>
    </w:p>
    <w:p>
      <w:pPr>
        <w:pStyle w:val="Heading1"/>
      </w:pPr>
      <w:r>
        <w:t>4. Brand, business information and approvals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Brand files. </w:t>
      </w:r>
      <w:r>
        <w:rPr>
          <w:rFonts w:ascii="Aptos" w:hAnsi="Aptos"/>
          <w:b w:val="0"/>
          <w:i w:val="0"/>
          <w:color w:val="000000"/>
          <w:sz w:val="22"/>
        </w:rPr>
        <w:t>Provide vector and high-resolution logos, colour values, fonts, brand guidelines, presentation templates and current brochures.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Practice details. </w:t>
      </w:r>
      <w:r>
        <w:rPr>
          <w:rFonts w:ascii="Aptos" w:hAnsi="Aptos"/>
          <w:b w:val="0"/>
          <w:i w:val="0"/>
          <w:color w:val="000000"/>
          <w:sz w:val="22"/>
        </w:rPr>
        <w:t>Confirm the legal and trading name, office address, map pin, phone, public email, opening hours, service areas and core services.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People and credentials. </w:t>
      </w:r>
      <w:r>
        <w:rPr>
          <w:rFonts w:ascii="Aptos" w:hAnsi="Aptos"/>
          <w:b w:val="0"/>
          <w:i w:val="0"/>
          <w:color w:val="000000"/>
          <w:sz w:val="22"/>
        </w:rPr>
        <w:t>Provide approved biographies, roles, headshots, memberships, registrations, awards and speaking or teaching profiles.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Website content. </w:t>
      </w:r>
      <w:r>
        <w:rPr>
          <w:rFonts w:ascii="Aptos" w:hAnsi="Aptos"/>
          <w:b w:val="0"/>
          <w:i w:val="0"/>
          <w:color w:val="000000"/>
          <w:sz w:val="22"/>
        </w:rPr>
        <w:t>Share approved service copy, team text, policies, downloadable files, enquiry-form recipients and any English or Greek language requirements.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One approver. </w:t>
      </w:r>
      <w:r>
        <w:rPr>
          <w:rFonts w:ascii="Aptos" w:hAnsi="Aptos"/>
          <w:b w:val="0"/>
          <w:i w:val="0"/>
          <w:color w:val="000000"/>
          <w:sz w:val="22"/>
        </w:rPr>
        <w:t>Name the main AMSA contact and a backup contact who can provide consolidated feedback and written approval.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Publishing rhythm. </w:t>
      </w:r>
      <w:r>
        <w:rPr>
          <w:rFonts w:ascii="Aptos" w:hAnsi="Aptos"/>
          <w:b w:val="0"/>
          <w:i w:val="0"/>
          <w:color w:val="000000"/>
          <w:sz w:val="22"/>
        </w:rPr>
        <w:t>Confirm typical approval time, priority projects, upcoming launches, awards, events and any topics AMSA wants to lead with.</w:t>
      </w:r>
    </w:p>
    <w:p>
      <w:pPr>
        <w:keepLines/>
        <w:numPr>
          <w:ilvl w:val="0"/>
          <w:numId w:val="12"/>
        </w:numPr>
        <w:spacing w:after="80" w:line="300" w:lineRule="auto"/>
      </w:pPr>
      <w:r>
        <w:rPr>
          <w:rFonts w:ascii="Aptos" w:hAnsi="Aptos"/>
          <w:b/>
          <w:i w:val="0"/>
          <w:color w:val="000000"/>
          <w:sz w:val="22"/>
        </w:rPr>
        <w:t xml:space="preserve">Lead routing. </w:t>
      </w:r>
      <w:r>
        <w:rPr>
          <w:rFonts w:ascii="Aptos" w:hAnsi="Aptos"/>
          <w:b w:val="0"/>
          <w:i w:val="0"/>
          <w:color w:val="000000"/>
          <w:sz w:val="22"/>
        </w:rPr>
        <w:t>Confirm who receives website enquiries and social messages, plus the preferred response route for new business opportunities.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70" w:type="dxa"/>
              <w:start w:w="220" w:type="dxa"/>
              <w:bottom w:w="170" w:type="dxa"/>
              <w:end w:w="220" w:type="dxa"/>
            </w:tcMar>
            <w:shd w:fill="FFFAF0"/>
          </w:tcPr>
          <w:p>
            <w:pPr>
              <w:spacing w:after="80"/>
            </w:pPr>
            <w:r>
              <w:rPr>
                <w:rFonts w:ascii="Consolas" w:hAnsi="Consolas"/>
                <w:b/>
                <w:i w:val="0"/>
                <w:color w:val="FF4138"/>
                <w:sz w:val="17"/>
              </w:rPr>
              <w:t>SECURE HANDOVER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0000"/>
                <w:sz w:val="23"/>
              </w:rPr>
              <w:t>Use account invitations whenever possible. Share any required password through a password manager or another agreed secure channel, with recovery ownership kept by AMSA.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000000"/>
        <w:left w:val="single" w:sz="0" w:color="000000"/>
        <w:bottom w:val="single" w:sz="0" w:color="000000"/>
        <w:right w:val="single" w:sz="0" w:color="000000"/>
        <w:insideH w:val="single" w:sz="0" w:color="000000"/>
        <w:insideV w:val="single" w:sz="0" w:color="000000"/>
      </w:tblBorders>
    </w:tblPr>
    <w:tblGrid>
      <w:gridCol w:w="1100"/>
      <w:gridCol w:w="6600"/>
      <w:gridCol w:w="1660"/>
    </w:tblGrid>
    <w:tr>
      <w:trPr>
        <w:cantSplit/>
      </w:trPr>
      <w:tc>
        <w:tcPr>
          <w:tcW w:type="dxa" w:w="1100"/>
          <w:vAlign w:val="center"/>
          <w:tcMar>
            <w:top w:w="40" w:type="dxa"/>
            <w:start w:w="80" w:type="dxa"/>
            <w:bottom w:w="40" w:type="dxa"/>
            <w:end w:w="80" w:type="dxa"/>
          </w:tcMar>
          <w:shd w:fill="00000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74320" cy="153010"/>
                <wp:docPr id="1" name="Picture 1" descr="404200 brand mark" title="404200 brand mark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404200_brand_sig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15301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00"/>
          <w:vAlign w:val="center"/>
          <w:tcMar>
            <w:top w:w="40" w:type="dxa"/>
            <w:start w:w="80" w:type="dxa"/>
            <w:bottom w:w="40" w:type="dxa"/>
            <w:end w:w="80" w:type="dxa"/>
          </w:tcMar>
          <w:shd w:fill="00000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508760" cy="646881"/>
                <wp:docPr id="2" name="Picture 2" descr="404200 logo" title="404200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404200_footer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64688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660"/>
          <w:vAlign w:val="center"/>
          <w:tcMar>
            <w:top w:w="40" w:type="dxa"/>
            <w:start w:w="80" w:type="dxa"/>
            <w:bottom w:w="40" w:type="dxa"/>
            <w:end w:w="80" w:type="dxa"/>
          </w:tcMar>
          <w:shd w:fill="000000"/>
        </w:tcPr>
        <w:p>
          <w:pPr>
            <w:jc w:val="right"/>
          </w:pPr>
          <w:r>
            <w:rPr>
              <w:rFonts w:ascii="Consolas" w:hAnsi="Consolas"/>
              <w:b/>
              <w:i w:val="0"/>
              <w:color w:val="FFFFFF"/>
              <w:sz w:val="16"/>
            </w:rPr>
            <w:t xml:space="preserve">PAGE </w:t>
          </w:r>
          <w:r>
            <w:rPr>
              <w:rFonts w:ascii="Consolas" w:hAnsi="Consolas"/>
              <w:b/>
              <w:i w:val="0"/>
              <w:color w:val="FFFFFF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841248" cy="360335"/>
          <wp:docPr id="1" name="Picture 1" descr="404200 logo" title="404200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404200_head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1248" cy="36033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ptos" w:hAnsi="Aptos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AMSA Client Access and Content Checklist</dc:title>
  <dc:subject>Website, SEO and social media onboarding requirements</dc:subject>
  <dc:creator>404200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