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160" w:before="0" w:line="259" w:lineRule="auto"/>
        <w:contextualSpacing w:val="0"/>
      </w:pPr>
      <w:bookmarkStart w:colFirst="0" w:colLast="0" w:name="h.guzed9x98lyx" w:id="0"/>
      <w:bookmarkEnd w:id="0"/>
      <w:r w:rsidDel="00000000" w:rsidR="00000000" w:rsidRPr="00000000">
        <w:rPr>
          <w:b w:val="1"/>
          <w:color w:val="1b5faa"/>
          <w:sz w:val="43"/>
          <w:szCs w:val="43"/>
          <w:rtl w:val="0"/>
        </w:rPr>
        <w:t xml:space="preserve">Special Instructions for Week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Week 6, we will be introducing a few advanced sharing features offered by Onshape. To do this, we have three different versions of the lesson plan: a traditional version, the Student A version, and the Student B version.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Students will benefit the most from this week’s lesson if they partner up. Each pair should have a Student A and a Student B version. Most of the instructions are the same, except for two minor differences in the Bluetooth Speaker model (namely the speaker placement and shell thickness) and the final section that presents two scenarios between a manufacturer and a client. In these scenarios, the student pair will exchange documents and make changes to the model together.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we recommend that you use the Student A and Student B versions of the lesson plan, we have also included a traditional version, which omits the two scenarios and merely informs the student of the sharing features in Onshape, directing them to helpful links and videos.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