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6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together as a team, and practice the collaboration tools (Comments, Follow, etc) to make sure that everybody on the team has completed the work through the end of Week 6.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your own skateboard by accomplishing the following: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the following document to make your own private copy: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https://cad.onshape.com/documents/1fbde283058f127d8798a39c/w/5d28e2ad003fcd5abe6716e8/e/720532d29c32a2f194d413a0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other two wheels using the following workflow for each wheel (use the existing two wheels as a guide):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Mate Connector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Derived Part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Transform using Mate Connectors (make sure to re-orient the Mate Connector as needed)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your own custom skateboard, where the size is referenced by the “Layout” sketch, so it updates like this: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85913" cy="104842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04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014538" cy="155611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55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701409" cy="13382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409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ad.onshape.com/documents/1fbde283058f127d8798a39c/w/5d28e2ad003fcd5abe6716e8/e/720532d29c32a2f194d413a0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