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9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draft, and for what manufacturing purpose is it mainly used?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Draft is when you add a small angle (1-3°) to any surface so that it may be properly manufactured using Plastic Injection Molding processes. The draft angle is measured between the the surface and the direction of pull.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Why are small radii common in parts that have been designed for plastic injection molding?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Adding small radii to sharp edges allows for the plastic to “flow” better during the molding process, and facilitates easier removal of the part from the tooling after molding.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a “Split” feature?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is when you cut a single part into multiple parts using a surface or plane.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Explain a typical use of a Variable in Onshape.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 Variable is used to establish a design parameter, for example the thickness of a plastic part, that may be referenced throughout the design; in multiple features and parts.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Explain what is going on in the “thickness” entry of the dialog box below: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90713" cy="204827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048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We are defining the thickness of the rib feature as an expression, 0.7 X “thk” inches, where “thk” is a previously defined variable in our model.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