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921" w:type="dxa"/>
        <w:tblLayout w:type="fixed"/>
        <w:tblLook w:val="04A0" w:firstRow="1" w:lastRow="0" w:firstColumn="1" w:lastColumn="0" w:noHBand="0" w:noVBand="1"/>
      </w:tblPr>
      <w:tblGrid>
        <w:gridCol w:w="704"/>
        <w:gridCol w:w="1418"/>
        <w:gridCol w:w="1675"/>
        <w:gridCol w:w="1515"/>
        <w:gridCol w:w="1771"/>
        <w:gridCol w:w="1130"/>
        <w:gridCol w:w="1708"/>
      </w:tblGrid>
      <w:tr w:rsidR="001B0280" w14:paraId="7EA9EF56" w14:textId="77777777" w:rsidTr="00353B80">
        <w:tc>
          <w:tcPr>
            <w:tcW w:w="704" w:type="dxa"/>
          </w:tcPr>
          <w:p w14:paraId="0036E56A" w14:textId="1BB80CE1" w:rsidR="001B0280" w:rsidRDefault="001B0280">
            <w:r>
              <w:t>Data loss</w:t>
            </w:r>
          </w:p>
        </w:tc>
        <w:tc>
          <w:tcPr>
            <w:tcW w:w="1418" w:type="dxa"/>
          </w:tcPr>
          <w:p w14:paraId="550BC004" w14:textId="6FE4FE17" w:rsidR="001B0280" w:rsidRDefault="001B0280">
            <w:r>
              <w:t>Statista</w:t>
            </w:r>
          </w:p>
        </w:tc>
        <w:tc>
          <w:tcPr>
            <w:tcW w:w="1675" w:type="dxa"/>
          </w:tcPr>
          <w:p w14:paraId="3ED22F3F" w14:textId="06DA04EC" w:rsidR="001B0280" w:rsidRDefault="001B0280">
            <w:r>
              <w:t>Seals 2017</w:t>
            </w:r>
          </w:p>
        </w:tc>
        <w:tc>
          <w:tcPr>
            <w:tcW w:w="1515" w:type="dxa"/>
          </w:tcPr>
          <w:p w14:paraId="206B6B4A" w14:textId="510A02BE" w:rsidR="001B0280" w:rsidRDefault="001B0280">
            <w:r>
              <w:t>Prakash 2020</w:t>
            </w:r>
          </w:p>
        </w:tc>
        <w:tc>
          <w:tcPr>
            <w:tcW w:w="1771" w:type="dxa"/>
          </w:tcPr>
          <w:p w14:paraId="53FFC2D5" w14:textId="0784E331" w:rsidR="001B0280" w:rsidRDefault="001B0280">
            <w:r w:rsidRPr="001B0280">
              <w:fldChar w:fldCharType="begin" w:fldLock="1"/>
            </w:r>
            <w:r w:rsidRPr="001B0280">
              <w:instrText>ADDIN CSL_CITATION {"citationItems":[{"id":"ITEM-1","itemData":{"DOI":"10.1016/j.chb.2018.01.028","ISSN":"07475632","abstract":"In this study, we examine how to motivate computer users to protect themselves from potential security and privacy threats. We draw on the Information Processing framework which posits that threat mitigation commonly occurs before full cognitive threat assessment and we conduct an empirical study to evaluate the effects of an exposure to general information security threats on the strength of passwords and the disclosure of personal information. Through an online experiment, we compare immediate computer user reactions to potential non-individually specific security and privacy threats in an extra-organizational context. We find evidence consistent with automatic security and privacy protective actions in response to these threats. Computer users exposed to news stories about corporate security breaches limit the disclosure of sensitive personal information and choose stronger passwords. The study complements the existing behavior modification research in information security by providing the theoretical and empirical foundation for the exploration of automatic security and privacy threat mitigation strategies across different contexts.","author":[{"dropping-particle":"","family":"Mamonov","given":"Stanislav","non-dropping-particle":"","parse-names":false,"suffix":""},{"dropping-particle":"","family":"Benbunan-Fich","given":"Raquel","non-dropping-particle":"","parse-names":false,"suffix":""}],"container-title":"Computers in Human Behavior","id":"ITEM-1","issued":{"date-parts":[["2018"]]},"title":"The impact of information security threat awareness on privacy-protective behaviors","type":"article-journal"},"uris":["http://www.mendeley.com/documents/?uuid=243ddc77-f046-3404-91ca-5937c22a74cf"]}],"mendeley":{"formattedCitation":"(Mamonov &amp; Benbunan-Fich, 2018)","plainTextFormattedCitation":"(Mamonov &amp; Benbunan-Fich, 2018)","previouslyFormattedCitation":"(Mamonov &amp; Benbunan-Fich, 2018)"},"properties":{"noteIndex":0},"schema":"https://github.com/citation-style-language/schema/raw/master/csl-citation.json"}</w:instrText>
            </w:r>
            <w:r w:rsidRPr="001B0280">
              <w:fldChar w:fldCharType="separate"/>
            </w:r>
            <w:r w:rsidRPr="001B0280">
              <w:t>(Mamonov &amp; Benbunan-Fich, 2018)</w:t>
            </w:r>
            <w:r w:rsidRPr="001B0280">
              <w:fldChar w:fldCharType="end"/>
            </w:r>
          </w:p>
        </w:tc>
        <w:tc>
          <w:tcPr>
            <w:tcW w:w="1130" w:type="dxa"/>
          </w:tcPr>
          <w:p w14:paraId="15E25420" w14:textId="19826D11" w:rsidR="001B0280" w:rsidRDefault="001B0280">
            <w:r w:rsidRPr="001B0280">
              <w:fldChar w:fldCharType="begin" w:fldLock="1"/>
            </w:r>
            <w:r w:rsidRPr="001B0280">
              <w:instrText>ADDIN CSL_CITATION {"citationItems":[{"id":"ITEM-1","itemData":{"DOI":"10.1016/j.bushor.2016.01.002","ISSN":"00076813","abstract":"Data breaches are becoming more frequent and more damaging to the bottom line of many businesses. The Target data breach marked the beginning of increased scrutiny of cybersecurity practices. In the past, data breaches were seen as a cost of doing business, but Target's negligence and the scale of the data loss forced businesses and the courts to reevaluate current practices and regulatory frameworks. Businesses must make strategic use of their chief information officers, adopt cybersecurity best practices, and effectively train their employees to respond to growing security threats. They must also shape the cybersecurity narrative to influence regulatory responses to these threats.","author":[{"dropping-particle":"","family":"Manworren","given":"Nathan","non-dropping-particle":"","parse-names":false,"suffix":""},{"dropping-particle":"","family":"Letwat","given":"Joshua","non-dropping-particle":"","parse-names":false,"suffix":""},{"dropping-particle":"","family":"Daily","given":"Olivia","non-dropping-particle":"","parse-names":false,"suffix":""}],"container-title":"Business Horizons","id":"ITEM-1","issue":"3","issued":{"date-parts":[["2016"]]},"page":"257-266","publisher":"\"Kelley School of Business, Indiana University\"","title":"Why you should care about the Target data breach","type":"article-journal","volume":"59"},"uris":["http://www.mendeley.com/documents/?uuid=1476ed6a-a3ad-4219-af67-baa703bd9d24"]}],"mendeley":{"formattedCitation":"(Manworren, Letwat, &amp; Daily, 2016)","plainTextFormattedCitation":"(Manworren, Letwat, &amp; Daily, 2016)","previouslyFormattedCitation":"(Manworren, Letwat, &amp; Daily, 2016)"},"properties":{"noteIndex":0},"schema":"https://github.com/citation-style-language/schema/raw/master/csl-citation.json"}</w:instrText>
            </w:r>
            <w:r w:rsidRPr="001B0280">
              <w:fldChar w:fldCharType="separate"/>
            </w:r>
            <w:r w:rsidRPr="001B0280">
              <w:t>(Manworren, Letwat, &amp; Daily, 2016)</w:t>
            </w:r>
            <w:r w:rsidRPr="001B0280">
              <w:fldChar w:fldCharType="end"/>
            </w:r>
            <w:r w:rsidRPr="001B0280">
              <w:t>.</w:t>
            </w:r>
          </w:p>
        </w:tc>
        <w:tc>
          <w:tcPr>
            <w:tcW w:w="1708" w:type="dxa"/>
          </w:tcPr>
          <w:p w14:paraId="26C214EF" w14:textId="46DFFA01" w:rsidR="001B0280" w:rsidRDefault="002B0C84">
            <w:sdt>
              <w:sdtPr>
                <w:id w:val="-658774902"/>
                <w:citation/>
              </w:sdtPr>
              <w:sdtEndPr/>
              <w:sdtContent>
                <w:r w:rsidR="001B0280" w:rsidRPr="001B0280">
                  <w:fldChar w:fldCharType="begin"/>
                </w:r>
                <w:r w:rsidR="001B0280" w:rsidRPr="001B0280">
                  <w:instrText xml:space="preserve"> CITATION Bet19 \l 2057 </w:instrText>
                </w:r>
                <w:r w:rsidR="001B0280" w:rsidRPr="001B0280">
                  <w:fldChar w:fldCharType="separate"/>
                </w:r>
                <w:r w:rsidR="001B0280" w:rsidRPr="001B0280">
                  <w:t xml:space="preserve"> (Betanews, 2019)</w:t>
                </w:r>
                <w:r w:rsidR="001B0280" w:rsidRPr="001B0280">
                  <w:fldChar w:fldCharType="end"/>
                </w:r>
              </w:sdtContent>
            </w:sdt>
          </w:p>
        </w:tc>
      </w:tr>
      <w:tr w:rsidR="001B0280" w14:paraId="52404FFF" w14:textId="77777777" w:rsidTr="00353B80">
        <w:tc>
          <w:tcPr>
            <w:tcW w:w="704" w:type="dxa"/>
          </w:tcPr>
          <w:p w14:paraId="5ED2B00D" w14:textId="24E35C08" w:rsidR="001B0280" w:rsidRDefault="001B0280">
            <w:proofErr w:type="spellStart"/>
            <w:r>
              <w:t>Bckgrd</w:t>
            </w:r>
            <w:proofErr w:type="spellEnd"/>
          </w:p>
          <w:p w14:paraId="584FA044" w14:textId="04599BFC" w:rsidR="001B0280" w:rsidRDefault="001B0280">
            <w:r>
              <w:t>Def</w:t>
            </w:r>
          </w:p>
        </w:tc>
        <w:tc>
          <w:tcPr>
            <w:tcW w:w="1418" w:type="dxa"/>
          </w:tcPr>
          <w:p w14:paraId="69321A81" w14:textId="7952C66D" w:rsidR="001B0280" w:rsidRDefault="001B0280"/>
          <w:p w14:paraId="62B42AF1" w14:textId="77777777" w:rsidR="001B0280" w:rsidRPr="002B0C84" w:rsidRDefault="001B0280">
            <w:pPr>
              <w:rPr>
                <w:rFonts w:cstheme="minorHAnsi"/>
                <w:highlight w:val="green"/>
              </w:rPr>
            </w:pPr>
            <w:r w:rsidRPr="002B0C84">
              <w:rPr>
                <w:rFonts w:cstheme="minorHAnsi"/>
                <w:highlight w:val="green"/>
              </w:rPr>
              <w:t>2.1 billion smartphones in the world</w:t>
            </w:r>
          </w:p>
          <w:p w14:paraId="63FE10ED" w14:textId="2F7AEB28" w:rsidR="001B0280" w:rsidRPr="001B0280" w:rsidRDefault="001B0280">
            <w:pPr>
              <w:rPr>
                <w:rFonts w:cstheme="minorHAnsi"/>
              </w:rPr>
            </w:pPr>
            <w:r w:rsidRPr="002B0C84">
              <w:rPr>
                <w:rFonts w:cstheme="minorHAnsi"/>
                <w:highlight w:val="green"/>
              </w:rPr>
              <w:t>-350,000 cyber-attacks</w:t>
            </w:r>
          </w:p>
          <w:p w14:paraId="42F78281" w14:textId="5EDC2E25" w:rsidR="001B0280" w:rsidRDefault="001B0280">
            <w:pPr>
              <w:rPr>
                <w:rFonts w:ascii="Cambria" w:hAnsi="Cambria"/>
              </w:rPr>
            </w:pPr>
            <w:r>
              <w:rPr>
                <w:rFonts w:ascii="Cambria" w:eastAsia="Times New Roman" w:hAnsi="Cambria" w:cs="Times New Roman"/>
                <w:lang w:eastAsia="en-GB"/>
              </w:rPr>
              <w:t>-</w:t>
            </w:r>
          </w:p>
          <w:p w14:paraId="01C42B72" w14:textId="6394F168" w:rsidR="001B0280" w:rsidRDefault="001B0280"/>
        </w:tc>
        <w:tc>
          <w:tcPr>
            <w:tcW w:w="1675" w:type="dxa"/>
          </w:tcPr>
          <w:p w14:paraId="7E231A53" w14:textId="77777777" w:rsidR="001B0280" w:rsidRDefault="001B0280">
            <w:pPr>
              <w:rPr>
                <w:rFonts w:cstheme="minorHAnsi"/>
              </w:rPr>
            </w:pPr>
            <w:r w:rsidRPr="002B0C84">
              <w:rPr>
                <w:rFonts w:cstheme="minorHAnsi"/>
                <w:highlight w:val="green"/>
              </w:rPr>
              <w:t xml:space="preserve">134,000 were ransomware attacks on </w:t>
            </w:r>
            <w:proofErr w:type="gramStart"/>
            <w:r w:rsidRPr="002B0C84">
              <w:rPr>
                <w:rFonts w:cstheme="minorHAnsi"/>
                <w:highlight w:val="green"/>
              </w:rPr>
              <w:t>businesses</w:t>
            </w:r>
            <w:proofErr w:type="gramEnd"/>
          </w:p>
          <w:p w14:paraId="1488857F" w14:textId="77777777" w:rsidR="00E01726" w:rsidRDefault="00E01726">
            <w:pPr>
              <w:rPr>
                <w:rFonts w:cstheme="minorHAnsi"/>
              </w:rPr>
            </w:pPr>
          </w:p>
          <w:p w14:paraId="5DC3669D" w14:textId="02110633" w:rsidR="00E01726" w:rsidRPr="001B0280" w:rsidRDefault="00E01726">
            <w:pPr>
              <w:rPr>
                <w:rFonts w:cstheme="minorHAnsi"/>
              </w:rPr>
            </w:pPr>
            <w:r w:rsidRPr="002B0C84">
              <w:rPr>
                <w:rFonts w:cstheme="minorHAnsi"/>
                <w:b/>
                <w:bCs/>
                <w:highlight w:val="yellow"/>
              </w:rPr>
              <w:t>Data loss</w:t>
            </w:r>
            <w:r w:rsidRPr="002B0C84">
              <w:rPr>
                <w:rFonts w:cstheme="minorHAnsi"/>
                <w:highlight w:val="yellow"/>
              </w:rPr>
              <w:t> occurs when valuable or sensitive information on a computer is compromised</w:t>
            </w:r>
            <w:r w:rsidRPr="00E01726">
              <w:rPr>
                <w:rFonts w:cstheme="minorHAnsi"/>
              </w:rPr>
              <w:t xml:space="preserve"> due to theft, human error, viruses, malware, or power failure. It may also occur due to physical damage or mechanical failure or equipment of an edifice.</w:t>
            </w:r>
          </w:p>
        </w:tc>
        <w:tc>
          <w:tcPr>
            <w:tcW w:w="1515" w:type="dxa"/>
          </w:tcPr>
          <w:p w14:paraId="2C4489B4" w14:textId="111A2141" w:rsidR="001B0280" w:rsidRPr="001B0280" w:rsidRDefault="001B0280">
            <w:pPr>
              <w:rPr>
                <w:rFonts w:cstheme="minorHAnsi"/>
              </w:rPr>
            </w:pPr>
            <w:r w:rsidRPr="001B0280">
              <w:rPr>
                <w:rFonts w:eastAsia="Times New Roman" w:cstheme="minorHAnsi"/>
                <w:lang w:eastAsia="en-GB"/>
              </w:rPr>
              <w:t>-</w:t>
            </w:r>
            <w:r w:rsidRPr="002B0C84">
              <w:rPr>
                <w:rFonts w:eastAsia="Times New Roman" w:cstheme="minorHAnsi"/>
                <w:highlight w:val="cyan"/>
                <w:lang w:eastAsia="en-GB"/>
              </w:rPr>
              <w:t>devices recording or listening in on conversations, as well as the risk of information being leaked over the connected network.</w:t>
            </w:r>
          </w:p>
        </w:tc>
        <w:tc>
          <w:tcPr>
            <w:tcW w:w="1771" w:type="dxa"/>
          </w:tcPr>
          <w:p w14:paraId="428A8C1B" w14:textId="6D5F7B00" w:rsidR="001B0280" w:rsidRPr="002B0C84" w:rsidRDefault="001B0280">
            <w:pPr>
              <w:rPr>
                <w:rFonts w:cstheme="minorHAnsi"/>
                <w:highlight w:val="cyan"/>
              </w:rPr>
            </w:pPr>
            <w:r w:rsidRPr="002B0C84">
              <w:rPr>
                <w:rFonts w:cstheme="minorHAnsi"/>
                <w:highlight w:val="cyan"/>
              </w:rPr>
              <w:t>Online</w:t>
            </w:r>
          </w:p>
          <w:p w14:paraId="5C6381C0" w14:textId="35EAF3E8" w:rsidR="001B0280" w:rsidRDefault="001B0280">
            <w:r w:rsidRPr="002B0C84">
              <w:rPr>
                <w:rFonts w:cstheme="minorHAnsi"/>
                <w:highlight w:val="cyan"/>
              </w:rPr>
              <w:t>In 2015 alone, the CIA discovered that 47 government agencies,</w:t>
            </w:r>
            <w:r w:rsidRPr="001B0280">
              <w:rPr>
                <w:rFonts w:cstheme="minorHAnsi"/>
              </w:rPr>
              <w:t xml:space="preserve"> including the department of homeland security, were compromised. This resulted in over 21 million government employee accounts being breached.</w:t>
            </w:r>
          </w:p>
        </w:tc>
        <w:tc>
          <w:tcPr>
            <w:tcW w:w="1130" w:type="dxa"/>
          </w:tcPr>
          <w:p w14:paraId="707587E7" w14:textId="70BBC5E1" w:rsidR="001B0280" w:rsidRDefault="002B0C84">
            <w:r w:rsidRPr="002B0C84">
              <w:rPr>
                <w:highlight w:val="magenta"/>
              </w:rPr>
              <w:t>Data breaches have become more and more frequent and damaging to businesses</w:t>
            </w:r>
          </w:p>
        </w:tc>
        <w:tc>
          <w:tcPr>
            <w:tcW w:w="1708" w:type="dxa"/>
          </w:tcPr>
          <w:p w14:paraId="67EB8AFF" w14:textId="7BC92084" w:rsidR="001B0280" w:rsidRDefault="00E01726">
            <w:r w:rsidRPr="002B0C84">
              <w:rPr>
                <w:highlight w:val="yellow"/>
              </w:rPr>
              <w:t>Data loss is an error condition in information systems in which information is destroyed by failures or</w:t>
            </w:r>
            <w:r w:rsidRPr="00E01726">
              <w:t xml:space="preserve"> neglect in storage, transmission, or processing. Information systems implement backup and disaster recovery equipment and processes to prevent data loss or restore lost data.</w:t>
            </w:r>
          </w:p>
        </w:tc>
      </w:tr>
      <w:tr w:rsidR="001B0280" w14:paraId="27B16FB3" w14:textId="77777777" w:rsidTr="00353B80">
        <w:tc>
          <w:tcPr>
            <w:tcW w:w="704" w:type="dxa"/>
          </w:tcPr>
          <w:p w14:paraId="0849D10B" w14:textId="33F50823" w:rsidR="001B0280" w:rsidRDefault="001B0280">
            <w:r>
              <w:t>Threats</w:t>
            </w:r>
          </w:p>
        </w:tc>
        <w:tc>
          <w:tcPr>
            <w:tcW w:w="1418" w:type="dxa"/>
          </w:tcPr>
          <w:p w14:paraId="12E53996" w14:textId="77777777" w:rsidR="001B0280" w:rsidRDefault="001B0280"/>
        </w:tc>
        <w:tc>
          <w:tcPr>
            <w:tcW w:w="1675" w:type="dxa"/>
          </w:tcPr>
          <w:p w14:paraId="7EDEF7DF" w14:textId="1BA496BE" w:rsidR="001B0280" w:rsidRDefault="00087053">
            <w:r>
              <w:t xml:space="preserve">P66 </w:t>
            </w:r>
            <w:r w:rsidR="001B0280" w:rsidRPr="001B0280">
              <w:t xml:space="preserve">dependent on smartphone applications for </w:t>
            </w:r>
            <w:proofErr w:type="gramStart"/>
            <w:r w:rsidR="001B0280" w:rsidRPr="001B0280">
              <w:t>day to day</w:t>
            </w:r>
            <w:proofErr w:type="gramEnd"/>
            <w:r w:rsidR="001B0280" w:rsidRPr="001B0280">
              <w:t xml:space="preserve"> activities</w:t>
            </w:r>
          </w:p>
        </w:tc>
        <w:tc>
          <w:tcPr>
            <w:tcW w:w="1515" w:type="dxa"/>
          </w:tcPr>
          <w:p w14:paraId="4AD811AF" w14:textId="3746A261" w:rsidR="001B0280" w:rsidRDefault="001B0280">
            <w:r w:rsidRPr="001B0280">
              <w:t xml:space="preserve">online banking, takeaway apps (dominos, </w:t>
            </w:r>
            <w:proofErr w:type="spellStart"/>
            <w:r w:rsidRPr="001B0280">
              <w:t>deliveroo</w:t>
            </w:r>
            <w:proofErr w:type="spellEnd"/>
            <w:r w:rsidRPr="001B0280">
              <w:t>, etc) and online shopping.</w:t>
            </w:r>
          </w:p>
        </w:tc>
        <w:tc>
          <w:tcPr>
            <w:tcW w:w="1771" w:type="dxa"/>
          </w:tcPr>
          <w:p w14:paraId="5E2B4129" w14:textId="451340FA" w:rsidR="001B0280" w:rsidRDefault="001B0280">
            <w:r w:rsidRPr="001B0280">
              <w:t xml:space="preserve">They state that 55% of Smart-Apps do not use </w:t>
            </w:r>
            <w:proofErr w:type="gramStart"/>
            <w:r w:rsidRPr="001B0280">
              <w:t>all of</w:t>
            </w:r>
            <w:proofErr w:type="gramEnd"/>
            <w:r w:rsidRPr="001B0280">
              <w:t xml:space="preserve"> the rights to the device operations that it requests.</w:t>
            </w:r>
          </w:p>
        </w:tc>
        <w:tc>
          <w:tcPr>
            <w:tcW w:w="1130" w:type="dxa"/>
          </w:tcPr>
          <w:p w14:paraId="3C6FB2E3" w14:textId="77777777" w:rsidR="001B0280" w:rsidRDefault="001B0280"/>
        </w:tc>
        <w:tc>
          <w:tcPr>
            <w:tcW w:w="1708" w:type="dxa"/>
          </w:tcPr>
          <w:p w14:paraId="242E8502" w14:textId="77777777" w:rsidR="001B0280" w:rsidRDefault="001B0280"/>
        </w:tc>
      </w:tr>
      <w:tr w:rsidR="001B0280" w14:paraId="43D80DEB" w14:textId="77777777" w:rsidTr="00353B80">
        <w:tc>
          <w:tcPr>
            <w:tcW w:w="704" w:type="dxa"/>
          </w:tcPr>
          <w:p w14:paraId="5D16F4ED" w14:textId="1430971C" w:rsidR="001B0280" w:rsidRDefault="001B0280">
            <w:r>
              <w:t>Leaks</w:t>
            </w:r>
          </w:p>
        </w:tc>
        <w:tc>
          <w:tcPr>
            <w:tcW w:w="1418" w:type="dxa"/>
          </w:tcPr>
          <w:p w14:paraId="54BF0C33" w14:textId="77777777" w:rsidR="001B0280" w:rsidRDefault="001B0280"/>
        </w:tc>
        <w:tc>
          <w:tcPr>
            <w:tcW w:w="1675" w:type="dxa"/>
          </w:tcPr>
          <w:p w14:paraId="4043F424" w14:textId="77777777" w:rsidR="001B0280" w:rsidRDefault="001B0280"/>
        </w:tc>
        <w:tc>
          <w:tcPr>
            <w:tcW w:w="1515" w:type="dxa"/>
          </w:tcPr>
          <w:p w14:paraId="09F9ED56" w14:textId="77777777" w:rsidR="001B0280" w:rsidRDefault="001B0280"/>
        </w:tc>
        <w:tc>
          <w:tcPr>
            <w:tcW w:w="1771" w:type="dxa"/>
          </w:tcPr>
          <w:p w14:paraId="5412B111" w14:textId="12181A79" w:rsidR="001B0280" w:rsidRDefault="001B0280" w:rsidP="001B0280">
            <w:pPr>
              <w:jc w:val="center"/>
            </w:pPr>
            <w:r w:rsidRPr="001B0280">
              <w:t>data security breaches tend to be exacerbated by news feeds and media attention</w:t>
            </w:r>
          </w:p>
        </w:tc>
        <w:tc>
          <w:tcPr>
            <w:tcW w:w="1130" w:type="dxa"/>
          </w:tcPr>
          <w:p w14:paraId="6C1FB52F" w14:textId="77777777" w:rsidR="001B0280" w:rsidRDefault="001B0280"/>
        </w:tc>
        <w:tc>
          <w:tcPr>
            <w:tcW w:w="1708" w:type="dxa"/>
          </w:tcPr>
          <w:p w14:paraId="1776CE61" w14:textId="77777777" w:rsidR="001B0280" w:rsidRDefault="001B0280"/>
        </w:tc>
      </w:tr>
      <w:tr w:rsidR="001B0280" w14:paraId="7C215E52" w14:textId="77777777" w:rsidTr="00353B80">
        <w:trPr>
          <w:trHeight w:val="2467"/>
        </w:trPr>
        <w:tc>
          <w:tcPr>
            <w:tcW w:w="704" w:type="dxa"/>
          </w:tcPr>
          <w:p w14:paraId="529AD06E" w14:textId="167F9864" w:rsidR="001B0280" w:rsidRDefault="001B0280">
            <w:r>
              <w:lastRenderedPageBreak/>
              <w:t>Breaches</w:t>
            </w:r>
          </w:p>
        </w:tc>
        <w:tc>
          <w:tcPr>
            <w:tcW w:w="1418" w:type="dxa"/>
          </w:tcPr>
          <w:p w14:paraId="183AE08F" w14:textId="77777777" w:rsidR="001B0280" w:rsidRDefault="001B0280"/>
        </w:tc>
        <w:tc>
          <w:tcPr>
            <w:tcW w:w="1675" w:type="dxa"/>
          </w:tcPr>
          <w:p w14:paraId="25C58433" w14:textId="77777777" w:rsidR="001B0280" w:rsidRDefault="001B0280"/>
        </w:tc>
        <w:tc>
          <w:tcPr>
            <w:tcW w:w="1515" w:type="dxa"/>
          </w:tcPr>
          <w:p w14:paraId="256D5F7D" w14:textId="77777777" w:rsidR="001B0280" w:rsidRDefault="001B0280"/>
        </w:tc>
        <w:tc>
          <w:tcPr>
            <w:tcW w:w="1771" w:type="dxa"/>
          </w:tcPr>
          <w:p w14:paraId="6FF4F268" w14:textId="77777777" w:rsidR="001B0280" w:rsidRDefault="001B0280"/>
        </w:tc>
        <w:tc>
          <w:tcPr>
            <w:tcW w:w="1130" w:type="dxa"/>
          </w:tcPr>
          <w:p w14:paraId="2304823C" w14:textId="367A308A" w:rsidR="001B0280" w:rsidRDefault="001B0280">
            <w:r w:rsidRPr="001B0280">
              <w:t>Data breaches have become more and more frequent and damaging to businesses</w:t>
            </w:r>
          </w:p>
        </w:tc>
        <w:tc>
          <w:tcPr>
            <w:tcW w:w="1708" w:type="dxa"/>
          </w:tcPr>
          <w:p w14:paraId="7F04F469" w14:textId="77777777" w:rsidR="001B0280" w:rsidRDefault="001B0280"/>
        </w:tc>
      </w:tr>
      <w:tr w:rsidR="001B0280" w14:paraId="64CEA6BF" w14:textId="77777777" w:rsidTr="00353B80">
        <w:tc>
          <w:tcPr>
            <w:tcW w:w="704" w:type="dxa"/>
          </w:tcPr>
          <w:p w14:paraId="272C6B7F" w14:textId="77F54478" w:rsidR="001B0280" w:rsidRDefault="001B0280">
            <w:r>
              <w:t>Case examples</w:t>
            </w:r>
          </w:p>
        </w:tc>
        <w:tc>
          <w:tcPr>
            <w:tcW w:w="1418" w:type="dxa"/>
          </w:tcPr>
          <w:p w14:paraId="6E24BCC7" w14:textId="77777777" w:rsidR="001B0280" w:rsidRDefault="001B0280"/>
        </w:tc>
        <w:tc>
          <w:tcPr>
            <w:tcW w:w="1675" w:type="dxa"/>
          </w:tcPr>
          <w:p w14:paraId="126B0FBD" w14:textId="77777777" w:rsidR="001B0280" w:rsidRDefault="001B0280"/>
        </w:tc>
        <w:tc>
          <w:tcPr>
            <w:tcW w:w="1515" w:type="dxa"/>
          </w:tcPr>
          <w:p w14:paraId="30477970" w14:textId="77777777" w:rsidR="001B0280" w:rsidRDefault="001B0280"/>
        </w:tc>
        <w:tc>
          <w:tcPr>
            <w:tcW w:w="1771" w:type="dxa"/>
          </w:tcPr>
          <w:p w14:paraId="410A84DF" w14:textId="77777777" w:rsidR="001B0280" w:rsidRDefault="001B0280"/>
        </w:tc>
        <w:tc>
          <w:tcPr>
            <w:tcW w:w="1130" w:type="dxa"/>
          </w:tcPr>
          <w:p w14:paraId="4B9827EB" w14:textId="77777777" w:rsidR="001B0280" w:rsidRDefault="001B0280"/>
        </w:tc>
        <w:tc>
          <w:tcPr>
            <w:tcW w:w="1708" w:type="dxa"/>
          </w:tcPr>
          <w:p w14:paraId="27403219" w14:textId="03B3CB57" w:rsidR="001B0280" w:rsidRDefault="001B0280">
            <w:r w:rsidRPr="001B0280">
              <w:t xml:space="preserve">Recently, ASUS had their live update hacked, where the attackers placed malware that would be installed when the live update was used.  The aim of this attack was to create a backdoor on </w:t>
            </w:r>
            <w:proofErr w:type="gramStart"/>
            <w:r w:rsidRPr="001B0280">
              <w:t>users</w:t>
            </w:r>
            <w:proofErr w:type="gramEnd"/>
            <w:r w:rsidRPr="001B0280">
              <w:t xml:space="preserve"> devices in order to </w:t>
            </w:r>
            <w:proofErr w:type="spellStart"/>
            <w:r w:rsidRPr="001B0280">
              <w:t>ShadowHammer</w:t>
            </w:r>
            <w:proofErr w:type="spellEnd"/>
            <w:r w:rsidRPr="001B0280">
              <w:t xml:space="preserve"> malware</w:t>
            </w:r>
          </w:p>
        </w:tc>
      </w:tr>
    </w:tbl>
    <w:p w14:paraId="2DF2DB5A" w14:textId="77777777" w:rsidR="002C02E6" w:rsidRDefault="002C02E6"/>
    <w:sectPr w:rsidR="002C02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280"/>
    <w:rsid w:val="00030627"/>
    <w:rsid w:val="00087053"/>
    <w:rsid w:val="001B0280"/>
    <w:rsid w:val="002B0C84"/>
    <w:rsid w:val="002C02E6"/>
    <w:rsid w:val="00353B80"/>
    <w:rsid w:val="006F0224"/>
    <w:rsid w:val="00E017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5313E"/>
  <w15:chartTrackingRefBased/>
  <w15:docId w15:val="{8BA5C6EF-E253-425F-B740-A14AAC077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0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E6EDF-95C9-4793-956D-211EDE1BE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 Kendall</dc:creator>
  <cp:keywords/>
  <dc:description/>
  <cp:lastModifiedBy>Richards, Kendall</cp:lastModifiedBy>
  <cp:revision>6</cp:revision>
  <dcterms:created xsi:type="dcterms:W3CDTF">2021-02-16T11:34:00Z</dcterms:created>
  <dcterms:modified xsi:type="dcterms:W3CDTF">2021-02-18T12:45:00Z</dcterms:modified>
</cp:coreProperties>
</file>