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6913DDBF"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C87EA4">
        <w:t>CSN09412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5CB8DEB5" w14:textId="5AEB5061" w:rsidR="00B76547" w:rsidRDefault="00367569" w:rsidP="00B76547">
      <w:pPr>
        <w:jc w:val="center"/>
      </w:pPr>
      <w:r w:rsidRPr="00367569">
        <w:rPr>
          <w:noProof/>
        </w:rPr>
        <w:drawing>
          <wp:inline distT="0" distB="0" distL="0" distR="0" wp14:anchorId="77DD96EC" wp14:editId="75CD74B0">
            <wp:extent cx="5731510" cy="4479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9290"/>
                    </a:xfrm>
                    <a:prstGeom prst="rect">
                      <a:avLst/>
                    </a:prstGeom>
                  </pic:spPr>
                </pic:pic>
              </a:graphicData>
            </a:graphic>
          </wp:inline>
        </w:drawing>
      </w:r>
    </w:p>
    <w:p w14:paraId="3B44BBFE" w14:textId="77777777" w:rsidR="00944ED8" w:rsidRDefault="00944ED8" w:rsidP="00B76547">
      <w:pPr>
        <w:rPr>
          <w:b/>
        </w:rPr>
      </w:pPr>
    </w:p>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34F5668D" w:rsidR="00B76547" w:rsidRDefault="003123E3" w:rsidP="00B76547">
      <w:r>
        <w:rPr>
          <w:noProof/>
        </w:rPr>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CSN09412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5C9E8A47" w14:textId="09108B06" w:rsidR="00F161D6" w:rsidRDefault="00F161D6" w:rsidP="00B76547">
      <w:r>
        <w:t>Now lookup your IP addresses from the page:</w:t>
      </w:r>
    </w:p>
    <w:p w14:paraId="492BA507" w14:textId="4BD6E477" w:rsidR="00BC1185" w:rsidRDefault="00BC1185" w:rsidP="00B76547"/>
    <w:p w14:paraId="7582A137" w14:textId="7753AB73" w:rsidR="00254095" w:rsidRDefault="00C87EA4" w:rsidP="00B76547">
      <w:hyperlink r:id="rId10" w:history="1">
        <w:r w:rsidRPr="00807631">
          <w:rPr>
            <w:rStyle w:val="Hyperlink"/>
          </w:rPr>
          <w:t>http://asecuritysite.com/csn09412/prep</w:t>
        </w:r>
      </w:hyperlink>
      <w:r w:rsidR="00254095">
        <w:t xml:space="preserve"> </w:t>
      </w:r>
    </w:p>
    <w:p w14:paraId="683F7BEE" w14:textId="5910BA4F" w:rsidR="00254095" w:rsidRDefault="00254095" w:rsidP="00B76547">
      <w:r>
        <w:t xml:space="preserve">with </w:t>
      </w:r>
      <w:r w:rsidRPr="00254095">
        <w:rPr>
          <w:b/>
        </w:rPr>
        <w:t>Allocation C.</w:t>
      </w:r>
    </w:p>
    <w:p w14:paraId="459B4532" w14:textId="7DF11360" w:rsidR="00F161D6" w:rsidRDefault="00F161D6"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66599C8B" w14:textId="61F18023" w:rsidR="00B76547" w:rsidRDefault="005374DD" w:rsidP="002D5068">
      <w:pPr>
        <w:jc w:val="both"/>
      </w:pPr>
      <w:r>
        <w:t>Kali:</w:t>
      </w:r>
      <w:r>
        <w:tab/>
      </w:r>
      <w:r>
        <w:tab/>
      </w:r>
      <w:r>
        <w:tab/>
        <w:t xml:space="preserve">User: root, password: </w:t>
      </w:r>
      <w:proofErr w:type="spellStart"/>
      <w:r>
        <w:t>toor</w:t>
      </w:r>
      <w:proofErr w:type="spellEnd"/>
    </w:p>
    <w:p w14:paraId="16D77B4E" w14:textId="2E1B528A" w:rsidR="00B76547" w:rsidRDefault="00B76547" w:rsidP="00B76547"/>
    <w:p w14:paraId="1C12CBEA" w14:textId="77777777" w:rsidR="00692285" w:rsidRDefault="00692285" w:rsidP="00B76547"/>
    <w:p w14:paraId="18258B5B" w14:textId="77777777" w:rsidR="00692285" w:rsidRDefault="00692285" w:rsidP="00B76547"/>
    <w:p w14:paraId="735FD023" w14:textId="77777777" w:rsidR="00692285" w:rsidRDefault="00692285" w:rsidP="00B76547"/>
    <w:p w14:paraId="693A3965" w14:textId="6CD70493" w:rsidR="0079473D" w:rsidRDefault="003D2A17" w:rsidP="00B76547">
      <w:pPr>
        <w:rPr>
          <w:b/>
        </w:rPr>
      </w:pPr>
      <w:r w:rsidRPr="003D2A17">
        <w:rPr>
          <w:b/>
          <w:noProof/>
        </w:rPr>
        <w:drawing>
          <wp:inline distT="0" distB="0" distL="0" distR="0" wp14:anchorId="0FD77517" wp14:editId="4A326423">
            <wp:extent cx="5731510" cy="30143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4345"/>
                    </a:xfrm>
                    <a:prstGeom prst="rect">
                      <a:avLst/>
                    </a:prstGeom>
                  </pic:spPr>
                </pic:pic>
              </a:graphicData>
            </a:graphic>
          </wp:inline>
        </w:drawing>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450E50F2"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C87EA4" w:rsidRPr="00C87EA4">
        <w:rPr>
          <w:rFonts w:ascii="Lucida Console" w:hAnsi="Lucida Console"/>
          <w:b/>
          <w:bCs/>
          <w:sz w:val="20"/>
          <w:szCs w:val="20"/>
          <w:lang w:val="en-US"/>
        </w:rPr>
        <w:t>246</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lastRenderedPageBreak/>
        <w:t>sudo</w:t>
      </w:r>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nano</w:t>
      </w:r>
      <w:proofErr w:type="spellEnd"/>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lastRenderedPageBreak/>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lastRenderedPageBreak/>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8C9E" w14:textId="77777777" w:rsidR="00582A41" w:rsidRDefault="00582A41" w:rsidP="00061CA5">
      <w:r>
        <w:separator/>
      </w:r>
    </w:p>
  </w:endnote>
  <w:endnote w:type="continuationSeparator" w:id="0">
    <w:p w14:paraId="28717BD6" w14:textId="77777777" w:rsidR="00582A41" w:rsidRDefault="00582A41"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2241B" w14:textId="77777777" w:rsidR="00582A41" w:rsidRDefault="00582A41" w:rsidP="00061CA5">
      <w:r>
        <w:separator/>
      </w:r>
    </w:p>
  </w:footnote>
  <w:footnote w:type="continuationSeparator" w:id="0">
    <w:p w14:paraId="25CE7AE5" w14:textId="77777777" w:rsidR="00582A41" w:rsidRDefault="00582A41"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67569"/>
    <w:rsid w:val="003D2A17"/>
    <w:rsid w:val="004006E6"/>
    <w:rsid w:val="0041000A"/>
    <w:rsid w:val="005374DD"/>
    <w:rsid w:val="00582A41"/>
    <w:rsid w:val="005A6499"/>
    <w:rsid w:val="005F7CA9"/>
    <w:rsid w:val="00683475"/>
    <w:rsid w:val="00692285"/>
    <w:rsid w:val="00700DF6"/>
    <w:rsid w:val="00735638"/>
    <w:rsid w:val="00791BAE"/>
    <w:rsid w:val="0079473D"/>
    <w:rsid w:val="007B5BDD"/>
    <w:rsid w:val="007F67CA"/>
    <w:rsid w:val="008371CA"/>
    <w:rsid w:val="008D0076"/>
    <w:rsid w:val="008F4DCB"/>
    <w:rsid w:val="00944ED8"/>
    <w:rsid w:val="0095487A"/>
    <w:rsid w:val="009B216C"/>
    <w:rsid w:val="00A14145"/>
    <w:rsid w:val="00A6189E"/>
    <w:rsid w:val="00AA0FAE"/>
    <w:rsid w:val="00AA7729"/>
    <w:rsid w:val="00B76547"/>
    <w:rsid w:val="00BB1851"/>
    <w:rsid w:val="00BC1185"/>
    <w:rsid w:val="00BD5A91"/>
    <w:rsid w:val="00C171BD"/>
    <w:rsid w:val="00C82CA9"/>
    <w:rsid w:val="00C87EA4"/>
    <w:rsid w:val="00CB48D0"/>
    <w:rsid w:val="00CD4FD9"/>
    <w:rsid w:val="00CD7328"/>
    <w:rsid w:val="00D04F8C"/>
    <w:rsid w:val="00DB4C71"/>
    <w:rsid w:val="00E05C7B"/>
    <w:rsid w:val="00E260D1"/>
    <w:rsid w:val="00E4248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7654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csn09412/p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2017-09-12T06:32:00Z</cp:lastPrinted>
  <dcterms:created xsi:type="dcterms:W3CDTF">2020-05-20T10:09:00Z</dcterms:created>
  <dcterms:modified xsi:type="dcterms:W3CDTF">2020-05-20T10:43:00Z</dcterms:modified>
</cp:coreProperties>
</file>