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263A" w:rsidRPr="00585BCD" w:rsidRDefault="00000000">
      <w:pPr>
        <w:pStyle w:val="Heading1"/>
        <w:spacing w:before="0" w:after="0" w:line="275" w:lineRule="auto"/>
        <w:rPr>
          <w:rFonts w:asciiTheme="majorHAnsi" w:hAnsiTheme="majorHAnsi" w:cstheme="majorHAnsi"/>
          <w:color w:val="1F1F1F"/>
          <w:sz w:val="44"/>
          <w:szCs w:val="44"/>
        </w:rPr>
      </w:pPr>
      <w:r w:rsidRPr="00585BCD">
        <w:rPr>
          <w:rFonts w:asciiTheme="majorHAnsi" w:hAnsiTheme="majorHAnsi" w:cstheme="majorHAnsi"/>
          <w:color w:val="1F1F1F"/>
          <w:sz w:val="44"/>
          <w:szCs w:val="44"/>
        </w:rPr>
        <w:t>Interface Control Document (ICD) – REII Subsystem</w:t>
      </w:r>
    </w:p>
    <w:p w14:paraId="00000002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Subsystem: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Remote Control Dashboard &amp; RF Ground Station</w:t>
      </w:r>
    </w:p>
    <w:p w14:paraId="00000003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Responsible Engineer: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REII 327</w:t>
      </w:r>
    </w:p>
    <w:p w14:paraId="00000004" w14:textId="77777777" w:rsidR="0085263A" w:rsidRPr="00585BCD" w:rsidRDefault="00000000">
      <w:pPr>
        <w:pStyle w:val="Heading2"/>
        <w:spacing w:before="0" w:after="0" w:line="275" w:lineRule="auto"/>
        <w:rPr>
          <w:rFonts w:asciiTheme="majorHAnsi" w:hAnsiTheme="majorHAnsi" w:cstheme="majorHAnsi"/>
          <w:color w:val="1F1F1F"/>
          <w:sz w:val="32"/>
          <w:szCs w:val="32"/>
        </w:rPr>
      </w:pPr>
      <w:r w:rsidRPr="00585BCD">
        <w:rPr>
          <w:rFonts w:asciiTheme="majorHAnsi" w:hAnsiTheme="majorHAnsi" w:cstheme="majorHAnsi"/>
          <w:color w:val="1F1F1F"/>
          <w:sz w:val="32"/>
          <w:szCs w:val="32"/>
        </w:rPr>
        <w:t>1. Hardware &amp; Physical Interfaces</w:t>
      </w:r>
    </w:p>
    <w:p w14:paraId="00000005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This section defines the physical hardware connections between the microcontroller processing units and the RF communication modules.</w:t>
      </w:r>
    </w:p>
    <w:p w14:paraId="00000006" w14:textId="77777777" w:rsidR="0085263A" w:rsidRPr="00585B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Ground Station (Controller):</w:t>
      </w:r>
    </w:p>
    <w:p w14:paraId="00000007" w14:textId="77777777" w:rsidR="0085263A" w:rsidRPr="00585BC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Hardware: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Custom STM32F411 dongle.</w:t>
      </w:r>
    </w:p>
    <w:p w14:paraId="00000008" w14:textId="77777777" w:rsidR="0085263A" w:rsidRPr="00585BC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Power Interface: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The module will be strictly USB-bus-powered directly from the host PC. It will draw no power from the shared crane system.</w:t>
      </w:r>
    </w:p>
    <w:p w14:paraId="00000009" w14:textId="77777777" w:rsidR="0085263A" w:rsidRPr="00585BC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Data Interface: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Communicates with the host PC via native USB/USB bridging. Communicates with the ground-side nRF24L01+ module via hardware SPI.</w:t>
      </w:r>
    </w:p>
    <w:p w14:paraId="0000000A" w14:textId="77777777" w:rsidR="0085263A" w:rsidRPr="00585B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Crane Controller (Receiver):</w:t>
      </w:r>
    </w:p>
    <w:p w14:paraId="0000000B" w14:textId="77777777" w:rsidR="0085263A" w:rsidRPr="00585B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Hardware: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NWU Engineering ESP32-S3 Dev Board.</w:t>
      </w:r>
    </w:p>
    <w:p w14:paraId="0000000C" w14:textId="77777777" w:rsidR="0085263A" w:rsidRPr="00585B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Data Interface: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The crane-side nRF24L01+ module will connect via the "ESP IO header". This header provides direct microcontroller GPIO access required for high-speed SPI communication. </w:t>
      </w:r>
      <w:r w:rsidRPr="00585BCD">
        <w:rPr>
          <w:rFonts w:asciiTheme="majorHAnsi" w:hAnsiTheme="majorHAnsi" w:cstheme="majorHAnsi"/>
          <w:i/>
          <w:iCs/>
          <w:color w:val="1F1F1F"/>
          <w:sz w:val="20"/>
          <w:szCs w:val="20"/>
        </w:rPr>
        <w:t>(Exact pins to be finalized based on EEII/MCTR usage).</w:t>
      </w:r>
    </w:p>
    <w:p w14:paraId="0000000D" w14:textId="77777777" w:rsidR="0085263A" w:rsidRPr="00585B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Mandatory RF Hardware Modification:</w:t>
      </w:r>
    </w:p>
    <w:p w14:paraId="0000000E" w14:textId="77777777" w:rsidR="0085263A" w:rsidRPr="00585BC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To prevent system brownouts during 115 mA transmission bursts at PA_MAX, </w:t>
      </w: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both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the STM32F411 and ESP32-S3 nRF24L01+ modules must feature a 10 µF electrolytic (or tantalum) capacitor and a 100 </w:t>
      </w:r>
      <w:proofErr w:type="spellStart"/>
      <w:r w:rsidRPr="00585BCD">
        <w:rPr>
          <w:rFonts w:asciiTheme="majorHAnsi" w:hAnsiTheme="majorHAnsi" w:cstheme="majorHAnsi"/>
          <w:color w:val="1F1F1F"/>
          <w:sz w:val="20"/>
          <w:szCs w:val="20"/>
        </w:rPr>
        <w:t>nF</w:t>
      </w:r>
      <w:proofErr w:type="spellEnd"/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ceramic capacitor wired directly in parallel across their VCC and GND pins.</w:t>
      </w:r>
    </w:p>
    <w:p w14:paraId="0000000F" w14:textId="77777777" w:rsidR="0085263A" w:rsidRPr="00585BC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Both nRF24L01+ modules must be powered strictly by 3.3V.</w:t>
      </w:r>
    </w:p>
    <w:p w14:paraId="00000010" w14:textId="77777777" w:rsidR="0085263A" w:rsidRPr="00585BCD" w:rsidRDefault="00000000">
      <w:pPr>
        <w:pStyle w:val="Heading2"/>
        <w:spacing w:before="0" w:after="0" w:line="275" w:lineRule="auto"/>
        <w:rPr>
          <w:rFonts w:asciiTheme="majorHAnsi" w:hAnsiTheme="majorHAnsi" w:cstheme="majorHAnsi"/>
          <w:color w:val="1F1F1F"/>
          <w:sz w:val="32"/>
          <w:szCs w:val="32"/>
        </w:rPr>
      </w:pPr>
      <w:r w:rsidRPr="00585BCD">
        <w:rPr>
          <w:rFonts w:asciiTheme="majorHAnsi" w:hAnsiTheme="majorHAnsi" w:cstheme="majorHAnsi"/>
          <w:color w:val="1F1F1F"/>
          <w:sz w:val="32"/>
          <w:szCs w:val="32"/>
        </w:rPr>
        <w:t>2. RF Data Link Configuration (Data Link Layer)</w:t>
      </w:r>
    </w:p>
    <w:p w14:paraId="00000011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To ensure reliable communication in the high-interference campus environment (bypassing overlapping Wi-Fi channels 1, 6, and 11), the nRF24L01+ hardware shall be locked to the following configuration:</w:t>
      </w:r>
    </w:p>
    <w:p w14:paraId="00000012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Operating Frequency: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Channel 77 (2477 MHz).</w:t>
      </w:r>
    </w:p>
    <w:p w14:paraId="00000013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Data Rate: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2000 kbps (ensures minimum time-on-air and 0.00% packet loss at the 5-10m operational range).</w:t>
      </w:r>
    </w:p>
    <w:p w14:paraId="00000014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Transmit Power: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PA_MAX (Note: must be dropped to PA_LOW for bench testing under 1 meter to avoid LNA saturation).</w:t>
      </w:r>
    </w:p>
    <w:p w14:paraId="00000015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Auto-Retry Limit (ARC):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5 retries maximum.</w:t>
      </w:r>
    </w:p>
    <w:p w14:paraId="00000016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Auto-Retry Delay (ARD):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500 µs.</w:t>
      </w:r>
    </w:p>
    <w:p w14:paraId="00000017" w14:textId="77777777" w:rsidR="0085263A" w:rsidRPr="00585B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Addressing &amp; CRC: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5-byte address width, 16-bit CRC.</w:t>
      </w:r>
    </w:p>
    <w:p w14:paraId="00000018" w14:textId="77777777" w:rsidR="0085263A" w:rsidRPr="00585BCD" w:rsidRDefault="00000000">
      <w:pPr>
        <w:pStyle w:val="Heading2"/>
        <w:spacing w:before="0" w:after="0" w:line="275" w:lineRule="auto"/>
        <w:rPr>
          <w:rFonts w:asciiTheme="majorHAnsi" w:hAnsiTheme="majorHAnsi" w:cstheme="majorHAnsi"/>
          <w:color w:val="1F1F1F"/>
          <w:sz w:val="32"/>
          <w:szCs w:val="32"/>
        </w:rPr>
      </w:pPr>
      <w:r w:rsidRPr="00585BCD">
        <w:rPr>
          <w:rFonts w:asciiTheme="majorHAnsi" w:hAnsiTheme="majorHAnsi" w:cstheme="majorHAnsi"/>
          <w:color w:val="1F1F1F"/>
          <w:sz w:val="32"/>
          <w:szCs w:val="32"/>
        </w:rPr>
        <w:t>3. Application-Layer Protocol</w:t>
      </w:r>
    </w:p>
    <w:p w14:paraId="00000019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To minimize transmission latency (worst-case radio delay capped at ~4.1 ms) and eliminate complex software-level ARQ handling, the system will utilize the nRF24’s native Enhanced ShockBurst hardware Auto-ACK feature.</w:t>
      </w:r>
    </w:p>
    <w:p w14:paraId="0000001A" w14:textId="77777777" w:rsidR="0085263A" w:rsidRPr="00585B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Downstream (PC Dashboard -&gt; Crane):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Command instructions will be transmitted as standard data packets.</w:t>
      </w:r>
    </w:p>
    <w:p w14:paraId="0000001B" w14:textId="77777777" w:rsidR="0085263A" w:rsidRPr="00585B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Upstream (Crane -&gt; PC Dashboard):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Operational telemetry will be transmitted using ACK-payloads. The ESP32-S3 will piggyback sensor and state data onto the automatic hardware acknowledgments triggered by downstream commands.</w:t>
      </w:r>
    </w:p>
    <w:p w14:paraId="0000001C" w14:textId="77777777" w:rsidR="0085263A" w:rsidRPr="00585BCD" w:rsidRDefault="00000000">
      <w:pPr>
        <w:pStyle w:val="Heading2"/>
        <w:spacing w:before="0" w:after="0" w:line="275" w:lineRule="auto"/>
        <w:rPr>
          <w:rFonts w:asciiTheme="majorHAnsi" w:hAnsiTheme="majorHAnsi" w:cstheme="majorHAnsi"/>
          <w:color w:val="1F1F1F"/>
          <w:sz w:val="32"/>
          <w:szCs w:val="32"/>
        </w:rPr>
      </w:pPr>
      <w:r w:rsidRPr="00585BCD">
        <w:rPr>
          <w:rFonts w:asciiTheme="majorHAnsi" w:hAnsiTheme="majorHAnsi" w:cstheme="majorHAnsi"/>
          <w:color w:val="1F1F1F"/>
          <w:sz w:val="32"/>
          <w:szCs w:val="32"/>
        </w:rPr>
        <w:lastRenderedPageBreak/>
        <w:t>4. Data Payload Structures (TBD - Cross-Discipline Agreement Required)</w:t>
      </w:r>
    </w:p>
    <w:p w14:paraId="0000001D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i/>
          <w:iCs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i/>
          <w:iCs/>
          <w:color w:val="1F1F1F"/>
          <w:sz w:val="20"/>
          <w:szCs w:val="20"/>
        </w:rPr>
        <w:t xml:space="preserve">This section defines the maximum 32-byte data payloads. </w:t>
      </w:r>
      <w:r w:rsidRPr="00585BCD">
        <w:rPr>
          <w:rFonts w:asciiTheme="majorHAnsi" w:hAnsiTheme="majorHAnsi" w:cstheme="majorHAnsi"/>
          <w:b/>
          <w:bCs/>
          <w:i/>
          <w:iCs/>
          <w:color w:val="1F1F1F"/>
          <w:sz w:val="20"/>
          <w:szCs w:val="20"/>
        </w:rPr>
        <w:t>[ACTION REQUIRED]</w:t>
      </w:r>
      <w:r w:rsidRPr="00585BCD">
        <w:rPr>
          <w:rFonts w:asciiTheme="majorHAnsi" w:hAnsiTheme="majorHAnsi" w:cstheme="majorHAnsi"/>
          <w:i/>
          <w:iCs/>
          <w:color w:val="1F1F1F"/>
          <w:sz w:val="20"/>
          <w:szCs w:val="20"/>
        </w:rPr>
        <w:t>: The exact bit/byte assignments, data types, and scaling factors must be agreed upon with MCTR (Mechatronics) and EEII (Electrical/Electronics) team members.</w:t>
      </w:r>
    </w:p>
    <w:p w14:paraId="0000001E" w14:textId="77777777" w:rsidR="0085263A" w:rsidRPr="00585BCD" w:rsidRDefault="00000000">
      <w:pPr>
        <w:pStyle w:val="Heading3"/>
        <w:spacing w:before="0" w:after="0" w:line="275" w:lineRule="auto"/>
        <w:rPr>
          <w:rFonts w:asciiTheme="majorHAnsi" w:hAnsiTheme="majorHAnsi" w:cstheme="majorHAnsi"/>
          <w:color w:val="1F1F1F"/>
          <w:sz w:val="24"/>
          <w:szCs w:val="24"/>
        </w:rPr>
      </w:pPr>
      <w:r w:rsidRPr="00585BCD">
        <w:rPr>
          <w:rFonts w:asciiTheme="majorHAnsi" w:hAnsiTheme="majorHAnsi" w:cstheme="majorHAnsi"/>
          <w:color w:val="1F1F1F"/>
          <w:sz w:val="24"/>
          <w:szCs w:val="24"/>
        </w:rPr>
        <w:t>4.1 Downstream Command Payload (Max 32 Bytes)</w:t>
      </w:r>
    </w:p>
    <w:p w14:paraId="0000001F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b/>
          <w:bCs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[PENDING AGREEMENT WITH MCTR &amp; EEII]</w:t>
      </w:r>
    </w:p>
    <w:p w14:paraId="00000020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We need to agree on how the PC will send motion commands and configuration data to the crane.</w:t>
      </w:r>
    </w:p>
    <w:p w14:paraId="00000021" w14:textId="77777777" w:rsidR="0085263A" w:rsidRPr="00585B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Crane Motion Commands (MCTR):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How are we formatting the open-loop feedforward profiles for anti-sway? Do you need me to send ramp-rates, target velocities, or raw positional waypoints?</w:t>
      </w:r>
    </w:p>
    <w:p w14:paraId="00000022" w14:textId="77777777" w:rsidR="0085263A" w:rsidRPr="00585B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Obstacle Avoidance (MCTR):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When the dashboard plans a path around a known obstacle, what specific motion command format does your drive control expect?</w:t>
      </w:r>
    </w:p>
    <w:p w14:paraId="00000023" w14:textId="77777777" w:rsidR="0085263A" w:rsidRPr="00585B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Actuator States (EEII/MCTR):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What is the data structure for toggling the electromagnetic attachment mechanism on/off?</w:t>
      </w:r>
    </w:p>
    <w:p w14:paraId="00000024" w14:textId="77777777" w:rsidR="0085263A" w:rsidRPr="00585B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System States: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Flags for E-stop, System Reset, and Mode selection (Manual vs. Auto).</w:t>
      </w:r>
    </w:p>
    <w:p w14:paraId="00000025" w14:textId="77777777" w:rsidR="0085263A" w:rsidRPr="00585BCD" w:rsidRDefault="00000000">
      <w:pPr>
        <w:pStyle w:val="Heading3"/>
        <w:spacing w:before="0" w:after="0" w:line="275" w:lineRule="auto"/>
        <w:rPr>
          <w:rFonts w:asciiTheme="majorHAnsi" w:hAnsiTheme="majorHAnsi" w:cstheme="majorHAnsi"/>
          <w:color w:val="1F1F1F"/>
          <w:sz w:val="24"/>
          <w:szCs w:val="24"/>
        </w:rPr>
      </w:pPr>
      <w:r w:rsidRPr="00585BCD">
        <w:rPr>
          <w:rFonts w:asciiTheme="majorHAnsi" w:hAnsiTheme="majorHAnsi" w:cstheme="majorHAnsi"/>
          <w:color w:val="1F1F1F"/>
          <w:sz w:val="24"/>
          <w:szCs w:val="24"/>
        </w:rPr>
        <w:t>4.2 Upstream Telemetry ACK-Payload (Max 32 Bytes)</w:t>
      </w:r>
    </w:p>
    <w:p w14:paraId="00000026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b/>
          <w:bCs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[PENDING AGREEMENT WITH MCTR &amp; EEII]</w:t>
      </w:r>
    </w:p>
    <w:p w14:paraId="00000027" w14:textId="77777777" w:rsidR="0085263A" w:rsidRPr="00585B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color w:val="1F1F1F"/>
          <w:sz w:val="20"/>
          <w:szCs w:val="20"/>
        </w:rPr>
      </w:pPr>
      <w:r w:rsidRPr="00585BCD">
        <w:rPr>
          <w:rFonts w:asciiTheme="majorHAnsi" w:hAnsiTheme="majorHAnsi" w:cstheme="majorHAnsi"/>
          <w:color w:val="1F1F1F"/>
          <w:sz w:val="20"/>
          <w:szCs w:val="20"/>
        </w:rPr>
        <w:t>We need to agree on what live operational telemetry the dashboard is required to monitor.</w:t>
      </w:r>
    </w:p>
    <w:p w14:paraId="00000028" w14:textId="77777777" w:rsidR="0085263A" w:rsidRPr="00585BC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Kinematic State (MCTR):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What data are you providing back for live monitoring? (e.g., X/Y position coordinates, current velocity, hoist height/spooling status).</w:t>
      </w:r>
    </w:p>
    <w:p w14:paraId="00000029" w14:textId="77777777" w:rsidR="0085263A" w:rsidRPr="00585BC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Electrical/Sensor State (EEII):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Are you reading temperatures, current draw from the 3-phase induction motor, or limit switch statuses? How are these packed into bytes?</w:t>
      </w:r>
    </w:p>
    <w:p w14:paraId="0000002A" w14:textId="77777777" w:rsidR="0085263A" w:rsidRPr="00585BC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  <w:sz w:val="20"/>
          <w:szCs w:val="20"/>
        </w:rPr>
      </w:pPr>
      <w:r w:rsidRPr="00585BCD">
        <w:rPr>
          <w:rFonts w:asciiTheme="majorHAnsi" w:hAnsiTheme="majorHAnsi" w:cstheme="majorHAnsi"/>
          <w:b/>
          <w:bCs/>
          <w:color w:val="1F1F1F"/>
          <w:sz w:val="20"/>
          <w:szCs w:val="20"/>
        </w:rPr>
        <w:t>System Health:</w:t>
      </w:r>
      <w:r w:rsidRPr="00585BCD">
        <w:rPr>
          <w:rFonts w:asciiTheme="majorHAnsi" w:hAnsiTheme="majorHAnsi" w:cstheme="majorHAnsi"/>
          <w:color w:val="1F1F1F"/>
          <w:sz w:val="20"/>
          <w:szCs w:val="20"/>
        </w:rPr>
        <w:t xml:space="preserve"> Which error codes or fault conditions from the motor/inverter control need to be pushed up to the dashboard?</w:t>
      </w:r>
    </w:p>
    <w:sectPr w:rsidR="0085263A" w:rsidRPr="00585BC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7A31A0-1159-47D1-AD9F-F354850E2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7EB9E3-DD36-45D6-B9B4-750EE287BFC0}"/>
    <w:embedBold r:id="rId3" w:fontKey="{C00786F3-0F26-4C61-8379-C612DCCF2D7A}"/>
    <w:embedItalic r:id="rId4" w:fontKey="{0C668F7B-02AD-4550-A67E-E8C77927EAC1}"/>
    <w:embedBoldItalic r:id="rId5" w:fontKey="{5F895E98-E0A5-4A97-9BE0-BE903E8904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7A115D-F993-410C-8079-6A2C98C8B3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3D3"/>
    <w:multiLevelType w:val="multilevel"/>
    <w:tmpl w:val="7FF8D8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1726E7"/>
    <w:multiLevelType w:val="multilevel"/>
    <w:tmpl w:val="5C98AD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7025FF"/>
    <w:multiLevelType w:val="multilevel"/>
    <w:tmpl w:val="AC360E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2DA552F"/>
    <w:multiLevelType w:val="multilevel"/>
    <w:tmpl w:val="831437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7211F6"/>
    <w:multiLevelType w:val="multilevel"/>
    <w:tmpl w:val="941EC4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745485"/>
    <w:multiLevelType w:val="multilevel"/>
    <w:tmpl w:val="6A6655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BE25534"/>
    <w:multiLevelType w:val="multilevel"/>
    <w:tmpl w:val="060A30E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F8F5AB6"/>
    <w:multiLevelType w:val="multilevel"/>
    <w:tmpl w:val="6ABADA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4336609">
    <w:abstractNumId w:val="1"/>
  </w:num>
  <w:num w:numId="2" w16cid:durableId="1789853878">
    <w:abstractNumId w:val="4"/>
  </w:num>
  <w:num w:numId="3" w16cid:durableId="274099170">
    <w:abstractNumId w:val="6"/>
  </w:num>
  <w:num w:numId="4" w16cid:durableId="132872325">
    <w:abstractNumId w:val="7"/>
  </w:num>
  <w:num w:numId="5" w16cid:durableId="123353258">
    <w:abstractNumId w:val="3"/>
  </w:num>
  <w:num w:numId="6" w16cid:durableId="1734698196">
    <w:abstractNumId w:val="5"/>
  </w:num>
  <w:num w:numId="7" w16cid:durableId="209852133">
    <w:abstractNumId w:val="2"/>
  </w:num>
  <w:num w:numId="8" w16cid:durableId="116381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3A"/>
    <w:rsid w:val="00482231"/>
    <w:rsid w:val="00585BCD"/>
    <w:rsid w:val="0085263A"/>
    <w:rsid w:val="00B1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36B4504-1A01-4DD7-B6A0-669EA252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</dc:creator>
  <cp:lastModifiedBy>RN Nel</cp:lastModifiedBy>
  <cp:revision>2</cp:revision>
  <dcterms:created xsi:type="dcterms:W3CDTF">2026-09-09T21:22:00Z</dcterms:created>
  <dcterms:modified xsi:type="dcterms:W3CDTF">2026-09-09T21:22:00Z</dcterms:modified>
</cp:coreProperties>
</file>