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 w:line="520" w:lineRule="exact"/>
        <w:jc w:val="center"/>
        <w:pBdr>
          <w:bottom w:val="nil"/>
        </w:pBdr>
      </w:pPr>
      <w:r>
        <w:rPr>
          <w:rFonts w:ascii="黑体" w:hAnsi="黑体" w:eastAsia="黑体"/>
          <w:b/>
          <w:color w:val="000000"/>
          <w:sz w:val="40"/>
        </w:rPr>
        <w:t>《决策仿真》课程实践</w:t>
        <w:br/>
        <w:t>第2次课阶段性成果提交表</w:t>
      </w:r>
    </w:p>
    <w:p>
      <w:pPr>
        <w:spacing w:after="100" w:line="340" w:lineRule="exact"/>
        <w:jc w:val="center"/>
      </w:pPr>
      <w:r>
        <w:rPr>
          <w:b/>
          <w:sz w:val="24"/>
        </w:rPr>
        <w:t>成果主题：概念模型构建与逻辑确认</w:t>
      </w:r>
    </w:p>
    <w:p>
      <w:pPr>
        <w:spacing w:after="100" w:line="280" w:lineRule="exact"/>
        <w:jc w:val="center"/>
        <w:snapToGrid w:val="0"/>
      </w:pPr>
      <w:r>
        <w:rPr>
          <w:rFonts w:ascii="宋体" w:hAnsi="宋体" w:eastAsia="宋体"/>
          <w:b w:val="0"/>
          <w:sz w:val="21"/>
        </w:rPr>
        <w:t>案例22  多品种小批量柔性生产线调度优化</w:t>
      </w:r>
    </w:p>
    <w:p>
      <w:pPr>
        <w:pStyle w:val="Heading1"/>
        <w:keepNext/>
        <w:spacing w:before="200" w:after="100" w:line="380" w:lineRule="exact"/>
        <w:snapToGrid w:val="0"/>
      </w:pPr>
      <w:r>
        <w:t>一、项目基本信息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512"/>
        <w:gridCol w:w="3601"/>
        <w:gridCol w:w="1325"/>
        <w:gridCol w:w="2968"/>
      </w:tblGrid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小组编号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案例编号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案例名称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多品种小批量柔性生产线调度优化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组长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倪伟丰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小组成员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范雨欣、施婧、李晓涵、王雪嫣、李宇亮、王宇阳、倪伟丰、吴魏薇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邵志芳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第1次课成果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已完成问题定义与仿真研究任务书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提交日期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2026年10月22日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建模软件</w:t>
            </w:r>
          </w:p>
        </w:tc>
        <w:tc>
          <w:tcPr>
            <w:tcW w:type="dxa" w:w="36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SimPy；Arena映射见第十三部分</w:t>
            </w:r>
          </w:p>
        </w:tc>
        <w:tc>
          <w:tcPr>
            <w:tcW w:type="dxa" w:w="1325"/>
            <w:vAlign w:val="center"/>
            <w:shd w:fill="D9EAF7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模型版本</w:t>
            </w:r>
          </w:p>
        </w:tc>
        <w:tc>
          <w:tcPr>
            <w:tcW w:type="dxa" w:w="29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  <w:br/>
              <w:t>2026-10-22代码状态</w:t>
            </w:r>
          </w:p>
        </w:tc>
      </w:tr>
    </w:tbl>
    <w:p>
      <w:pPr>
        <w:pStyle w:val="Heading1"/>
        <w:keepNext/>
        <w:spacing w:before="200" w:after="100" w:line="380" w:lineRule="exact"/>
        <w:snapToGrid w:val="0"/>
      </w:pPr>
      <w:r>
        <w:t>二、本次课程任务与成果要求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本次以现有SimPy模型确认案例22的实体、资源、事件与调度逻辑，供后续Arena搭建参照。模型以单件工件流转，保留共享机床、有限缓冲、换模、故障和加工后阻塞。本报告明确实现规则、补充假设与核验依据，不预设最优方案。</w:t>
      </w:r>
    </w:p>
    <w:p>
      <w:pPr>
        <w:pStyle w:val="Heading1"/>
        <w:keepNext/>
        <w:spacing w:before="200" w:after="100" w:line="380" w:lineRule="exact"/>
        <w:snapToGrid w:val="0"/>
      </w:pPr>
      <w:r>
        <w:t>三、仿真对象与系统边界确认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729"/>
        <w:gridCol w:w="3673"/>
        <w:gridCol w:w="691"/>
        <w:gridCol w:w="3313"/>
      </w:tblGrid>
      <w:tr>
        <w:trPr>
          <w:cantSplit/>
          <w:tblHeader/>
        </w:trPr>
        <w:tc>
          <w:tcPr>
            <w:tcW w:type="dxa" w:w="1729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3673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  <w:tc>
          <w:tcPr>
            <w:tcW w:type="dxa" w:w="69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纳入</w:t>
            </w:r>
          </w:p>
        </w:tc>
        <w:tc>
          <w:tcPr>
            <w:tcW w:type="dxa" w:w="3313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系统入口及到达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批次到达、拆分定型、线外待投料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外部到达不因缓冲满而停止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核心加工过程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指定路线加工、异类换模、故障修复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每台机床独立运行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资源与容量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M1—M5共8台机床；每工位缓冲50件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加工中的工件不占缓冲位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排队与等待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准入等待、缓冲内等待、占机阻塞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不设拒收、丢弃或超时离开</w:t>
            </w:r>
          </w:p>
        </w:tc>
      </w:tr>
      <w:tr>
        <w:trPr>
          <w:cantSplit/>
        </w:trPr>
        <w:tc>
          <w:tcPr>
            <w:tcW w:type="dxa" w:w="1729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系统出口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完成全部工序后按单件计产量并离开</w:t>
            </w:r>
          </w:p>
        </w:tc>
        <w:tc>
          <w:tcPr>
            <w:tcW w:type="dxa" w:w="691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</w:t>
            </w:r>
          </w:p>
        </w:tc>
        <w:tc>
          <w:tcPr>
            <w:tcW w:type="dxa" w:w="331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期末未完成件保留为积压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研究边界沿用第1次课，本次细化准入、缓冲和占机阻塞三种等待位置，将模具与故障明确到单台机床。暂不建模运输、检验返工、人员班次及共享维修工，经济评价限于已知售价和运行费。</w:t>
      </w:r>
    </w:p>
    <w:p>
      <w:pPr>
        <w:pStyle w:val="Heading1"/>
        <w:keepNext/>
        <w:spacing w:before="200" w:after="100" w:line="380" w:lineRule="exact"/>
        <w:pageBreakBefore/>
        <w:snapToGrid w:val="0"/>
      </w:pPr>
      <w:r>
        <w:t>四、实体（Entity）定义</w:t>
      </w:r>
    </w:p>
    <w:p>
      <w:pPr>
        <w:spacing w:after="8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  <w:t>四类产品均为单件实体。共有属性为工件号、批次号、产品类型、到达时刻、工序序号、当前位置及各工序时间戳；下表括号内为加工均值，单位为分钟。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152"/>
        <w:gridCol w:w="3904"/>
        <w:gridCol w:w="1945"/>
        <w:gridCol w:w="1771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实体名称</w:t>
            </w:r>
          </w:p>
        </w:tc>
        <w:tc>
          <w:tcPr>
            <w:tcW w:type="dxa" w:w="390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实体属性及工艺路线</w:t>
            </w:r>
          </w:p>
        </w:tc>
        <w:tc>
          <w:tcPr>
            <w:tcW w:type="dxa" w:w="194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到达方式/来源</w:t>
            </w:r>
          </w:p>
        </w:tc>
        <w:tc>
          <w:tcPr>
            <w:tcW w:type="dxa" w:w="177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离开条件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P1工件</w:t>
            </w:r>
          </w:p>
        </w:tc>
        <w:tc>
          <w:tcPr>
            <w:tcW w:type="dxa" w:w="390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M1(5)→M2(8)→M3(6)→M4(4)→M5(3)</w:t>
            </w:r>
          </w:p>
        </w:tc>
        <w:tc>
          <w:tcPr>
            <w:tcW w:type="dxa" w:w="194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批次拆分</w:t>
              <w:br/>
              <w:t>独立抽型30%</w:t>
            </w:r>
          </w:p>
        </w:tc>
        <w:tc>
          <w:tcPr>
            <w:tcW w:type="dxa" w:w="177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5道工序完成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P2工件</w:t>
            </w:r>
          </w:p>
        </w:tc>
        <w:tc>
          <w:tcPr>
            <w:tcW w:type="dxa" w:w="390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M1(4)→M3(7)→M4(5)→M5(6)</w:t>
            </w:r>
          </w:p>
        </w:tc>
        <w:tc>
          <w:tcPr>
            <w:tcW w:type="dxa" w:w="194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批次拆分</w:t>
              <w:br/>
              <w:t>独立抽型25%</w:t>
            </w:r>
          </w:p>
        </w:tc>
        <w:tc>
          <w:tcPr>
            <w:tcW w:type="dxa" w:w="177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4道工序完成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P3工件</w:t>
            </w:r>
          </w:p>
        </w:tc>
        <w:tc>
          <w:tcPr>
            <w:tcW w:type="dxa" w:w="390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M2(6)→M3(5)→M5(8)</w:t>
            </w:r>
          </w:p>
        </w:tc>
        <w:tc>
          <w:tcPr>
            <w:tcW w:type="dxa" w:w="194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批次拆分</w:t>
              <w:br/>
              <w:t>独立抽型25%</w:t>
            </w:r>
          </w:p>
        </w:tc>
        <w:tc>
          <w:tcPr>
            <w:tcW w:type="dxa" w:w="177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3道工序完成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P4工件</w:t>
            </w:r>
          </w:p>
        </w:tc>
        <w:tc>
          <w:tcPr>
            <w:tcW w:type="dxa" w:w="390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M1(3)→M4(9)→M5(4)</w:t>
            </w:r>
          </w:p>
        </w:tc>
        <w:tc>
          <w:tcPr>
            <w:tcW w:type="dxa" w:w="194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批次拆分</w:t>
              <w:br/>
              <w:t>独立抽型20%</w:t>
            </w:r>
          </w:p>
        </w:tc>
        <w:tc>
          <w:tcPr>
            <w:tcW w:type="dxa" w:w="177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3道工序完成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批次仅组织外部到达，拆分后不再合并，产品类型保持不变。首批在首个指数间隔后出现；同类优先是逐件派工，不等待凑齐批量，也不将一批计为一件成品。</w:t>
      </w:r>
    </w:p>
    <w:p>
      <w:pPr>
        <w:pStyle w:val="Heading1"/>
        <w:keepNext/>
        <w:spacing w:before="200" w:after="100" w:line="380" w:lineRule="exact"/>
        <w:snapToGrid w:val="0"/>
      </w:pPr>
      <w:r>
        <w:t>五、资源（Resource）与容量约束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124"/>
        <w:gridCol w:w="1152"/>
        <w:gridCol w:w="1556"/>
        <w:gridCol w:w="2290"/>
        <w:gridCol w:w="2650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12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资源名称</w:t>
            </w:r>
          </w:p>
        </w:tc>
        <w:tc>
          <w:tcPr>
            <w:tcW w:type="dxa" w:w="115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数量/容量</w:t>
            </w:r>
          </w:p>
        </w:tc>
        <w:tc>
          <w:tcPr>
            <w:tcW w:type="dxa" w:w="1556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服务对象</w:t>
            </w:r>
          </w:p>
        </w:tc>
        <w:tc>
          <w:tcPr>
            <w:tcW w:type="dxa" w:w="229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服务规则</w:t>
            </w:r>
          </w:p>
        </w:tc>
        <w:tc>
          <w:tcPr>
            <w:tcW w:type="dxa" w:w="265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瓶颈判断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M1机床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P1、P2、P4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共享缓冲，逐台派工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结合状态与队列判断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M2机床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P1、P3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同上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重点观察单机负荷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M3机床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P1、P2、P3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同上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观察上下游约束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M4机床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P1、P2、P4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扩容对照增至2台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增机对象，效果待比较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M5机床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2台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P1—P4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共用末工序工位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观察汇流与等待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12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工位缓冲</w:t>
            </w:r>
          </w:p>
        </w:tc>
        <w:tc>
          <w:tcPr>
            <w:tcW w:type="dxa" w:w="115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各50件</w:t>
            </w:r>
          </w:p>
        </w:tc>
        <w:tc>
          <w:tcPr>
            <w:tcW w:type="dxa" w:w="15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本站所有可加工件</w:t>
            </w:r>
          </w:p>
        </w:tc>
        <w:tc>
          <w:tcPr>
            <w:tcW w:type="dxa" w:w="229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只限制已入缓冲件数</w:t>
            </w:r>
          </w:p>
        </w:tc>
        <w:tc>
          <w:tcPr>
            <w:tcW w:type="dxa" w:w="265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满缓冲可向上游传递阻塞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同工位各产品竞争同一组机床和缓冲，不按产品复制资源。每台机床一次占有一个工件；换模、加工、维修、阻塞均不能另取新件。模具由该机床上一次产品决定，首次装模免费。空闲机床按发出取件请求的先后参与派工。</w:t>
      </w:r>
    </w:p>
    <w:p>
      <w:pPr>
        <w:pStyle w:val="Heading1"/>
        <w:keepNext/>
        <w:spacing w:before="200" w:after="100" w:line="380" w:lineRule="exact"/>
        <w:snapToGrid w:val="0"/>
      </w:pPr>
      <w:r>
        <w:t>六、事件（Event）与活动（Activity）识别</w:t>
      </w:r>
    </w:p>
    <w:p>
      <w:pPr>
        <w:spacing w:after="8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  <w:t>事件表示瞬时状态变化；表中时间是相应间隔或活动时长。μ取第四部分对应工序均值，全部时间统一为分钟。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368"/>
        <w:gridCol w:w="1656"/>
        <w:gridCol w:w="2406"/>
        <w:gridCol w:w="2132"/>
        <w:gridCol w:w="1210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368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事件名称</w:t>
            </w:r>
          </w:p>
        </w:tc>
        <w:tc>
          <w:tcPr>
            <w:tcW w:type="dxa" w:w="1656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触发条件</w:t>
            </w:r>
          </w:p>
        </w:tc>
        <w:tc>
          <w:tcPr>
            <w:tcW w:type="dxa" w:w="2406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系统状态变化</w:t>
            </w:r>
          </w:p>
        </w:tc>
        <w:tc>
          <w:tcPr>
            <w:tcW w:type="dxa" w:w="213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间隔/活动时间</w:t>
            </w:r>
          </w:p>
        </w:tc>
        <w:tc>
          <w:tcPr>
            <w:tcW w:type="dxa" w:w="121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涉及资源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批次到达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下一到达时刻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新增5—20个单件，提交首工位准入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间隔EXPO(10)；批量离散均匀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首工位缓冲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缓冲准入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轮到该请求且缓冲未满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记录入队；转序件释放上游机床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即时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目标缓冲、上游机床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开始服务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有空闲机床且缓冲非空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选件出队、占用机床；必要时换模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异类15；首次或同类0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被选中的单台机床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开始加工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无需换模或换模完成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机床转为加工，记录所需工时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正态：均值μ，标准差0.1μ；非正重抽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当前机床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发生故障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加工/换模用尽剩余寿命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本机维修，保留工件和未完成工作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寿命EXPO(6000)；修复EXPO(240)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故障机床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修复完成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维修时长结束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重置寿命，回到中断阶段续作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不重抽本工序加工时长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同一台机床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工序完成及交接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加工剩余时间归零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有后续工序则申请准入；成功前占机阻塞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转移0；等待由下游决定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本机及下一缓冲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8</w:t>
            </w:r>
          </w:p>
        </w:tc>
        <w:tc>
          <w:tcPr>
            <w:tcW w:type="dxa" w:w="136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成品离开/截止</w:t>
            </w:r>
          </w:p>
        </w:tc>
        <w:tc>
          <w:tcPr>
            <w:tcW w:type="dxa" w:w="165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末道完成，或到达2400</w:t>
            </w:r>
          </w:p>
        </w:tc>
        <w:tc>
          <w:tcPr>
            <w:tcW w:type="dxa" w:w="240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末道完成即计产量；截止时保留未完工件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观察窗[0,2400)</w:t>
            </w:r>
          </w:p>
        </w:tc>
        <w:tc>
          <w:tcPr>
            <w:tcW w:type="dxa" w:w="121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整线统计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若工作完成与寿命耗尽恰好同刻，先完成该段工作，下一段工作前维修。截止时刻的普通事件不执行；恰在2400分钟完成的产品不计入本期成品。</w:t>
      </w:r>
    </w:p>
    <w:p>
      <w:pPr>
        <w:pStyle w:val="Heading1"/>
        <w:keepNext/>
        <w:spacing w:before="200" w:after="100" w:line="380" w:lineRule="exact"/>
        <w:snapToGrid w:val="0"/>
      </w:pPr>
      <w:r>
        <w:t>七、队列与等待逻辑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512"/>
        <w:gridCol w:w="1584"/>
        <w:gridCol w:w="1801"/>
        <w:gridCol w:w="2377"/>
        <w:gridCol w:w="2132"/>
      </w:tblGrid>
      <w:tr>
        <w:trPr>
          <w:cantSplit/>
          <w:tblHeader/>
        </w:trPr>
        <w:tc>
          <w:tcPr>
            <w:tcW w:type="dxa" w:w="151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队列位置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等待对象</w:t>
            </w:r>
          </w:p>
        </w:tc>
        <w:tc>
          <w:tcPr>
            <w:tcW w:type="dxa" w:w="180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进入条件</w:t>
            </w:r>
          </w:p>
        </w:tc>
        <w:tc>
          <w:tcPr>
            <w:tcW w:type="dxa" w:w="237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排队规则</w:t>
            </w:r>
          </w:p>
        </w:tc>
        <w:tc>
          <w:tcPr>
            <w:tcW w:type="dxa" w:w="213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离开/放弃条件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首工位准入</w:t>
            </w:r>
          </w:p>
        </w:tc>
        <w:tc>
          <w:tcPr>
            <w:tcW w:type="dxa" w:w="158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线外毛坯</w:t>
            </w:r>
          </w:p>
        </w:tc>
        <w:tc>
          <w:tcPr>
            <w:tcW w:type="dxa" w:w="18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尚未获首工位缓冲位</w:t>
            </w:r>
          </w:p>
        </w:tc>
        <w:tc>
          <w:tcPr>
            <w:tcW w:type="dxa" w:w="237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与转序请求共用本站FIFO准入序列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获准入后进入；不丢弃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下一工位准入</w:t>
            </w:r>
          </w:p>
        </w:tc>
        <w:tc>
          <w:tcPr>
            <w:tcW w:type="dxa" w:w="158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已完成当前工序的在制品</w:t>
            </w:r>
          </w:p>
        </w:tc>
        <w:tc>
          <w:tcPr>
            <w:tcW w:type="dxa" w:w="18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提交下一工位请求</w:t>
            </w:r>
          </w:p>
        </w:tc>
        <w:tc>
          <w:tcPr>
            <w:tcW w:type="dxa" w:w="237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同上；同刻按请求进入次序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获准入后释放上游；此前占机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M1—M5缓冲</w:t>
            </w:r>
          </w:p>
        </w:tc>
        <w:tc>
          <w:tcPr>
            <w:tcW w:type="dxa" w:w="158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已经准入的本站工件</w:t>
            </w:r>
          </w:p>
        </w:tc>
        <w:tc>
          <w:tcPr>
            <w:tcW w:type="dxa" w:w="18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取得空缓冲位</w:t>
            </w:r>
          </w:p>
        </w:tc>
        <w:tc>
          <w:tcPr>
            <w:tcW w:type="dxa" w:w="237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FIFO／同类优先／超时优先，见下表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被派给空闲机床；不放弃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机床内部等待</w:t>
            </w:r>
          </w:p>
        </w:tc>
        <w:tc>
          <w:tcPr>
            <w:tcW w:type="dxa" w:w="158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故障时尚未完成的工件</w:t>
            </w:r>
          </w:p>
        </w:tc>
        <w:tc>
          <w:tcPr>
            <w:tcW w:type="dxa" w:w="180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本机发生故障</w:t>
            </w:r>
          </w:p>
        </w:tc>
        <w:tc>
          <w:tcPr>
            <w:tcW w:type="dxa" w:w="237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原件保留，不重新排缓冲队列</w:t>
            </w:r>
          </w:p>
        </w:tc>
        <w:tc>
          <w:tcPr>
            <w:tcW w:type="dxa" w:w="213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修复后续作；无共享维修队列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准入序列中的工件仍在线外或上游机床，不占目标缓冲位。缓冲容量只计等待派工件；派工腾出位置后立即尝试准入。120分钟仅是超时优先的触发阈值，不是最大等待时间。</w:t>
      </w:r>
    </w:p>
    <w:p>
      <w:pPr>
        <w:pStyle w:val="Heading1"/>
        <w:keepNext/>
        <w:spacing w:before="200" w:after="100" w:line="380" w:lineRule="exact"/>
        <w:snapToGrid w:val="0"/>
      </w:pPr>
      <w:r>
        <w:t>八、决策规则与逻辑判断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440"/>
        <w:gridCol w:w="2622"/>
        <w:gridCol w:w="2276"/>
        <w:gridCol w:w="2434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决策节点</w:t>
            </w:r>
          </w:p>
        </w:tc>
        <w:tc>
          <w:tcPr>
            <w:tcW w:type="dxa" w:w="262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判断条件</w:t>
            </w:r>
          </w:p>
        </w:tc>
        <w:tc>
          <w:tcPr>
            <w:tcW w:type="dxa" w:w="2276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条件A的处理</w:t>
            </w:r>
          </w:p>
        </w:tc>
        <w:tc>
          <w:tcPr>
            <w:tcW w:type="dxa" w:w="24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条件B的处理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选择目标工位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是否首次投料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是：按类型取首工位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否：取路线下一工位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缓冲准入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请求到队首且队长&lt;50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是：入缓冲并记录时刻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否：保留原位置等待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机床派工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有空闲机床且有等待件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是：按下述规则选一件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否：机床或工件继续等待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是否换模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上次类型存在且与本件不同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是：换模15分钟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否：直接开始加工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中断处理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工作中剩余寿命耗尽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是：修复后续做余量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否：完成本段工作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是否离开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已完成全部工序</w:t>
            </w:r>
          </w:p>
        </w:tc>
        <w:tc>
          <w:tcPr>
            <w:tcW w:type="dxa" w:w="2276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是：计成品、释放本机</w:t>
            </w:r>
          </w:p>
        </w:tc>
        <w:tc>
          <w:tcPr>
            <w:tcW w:type="dxa" w:w="243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否：申请下一缓冲并等待交接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FIFO按入缓冲时刻、工件号排序。同类优先先选与本机上次产品相同的等待件，类内及无同类时用FIFO。超时优先先从等待≥120分钟者中选最早者，否则采用同类优先；本机尚无上次产品时均用FIFO。三种规则均已实现，售价优先尚未实现。</w:t>
      </w:r>
    </w:p>
    <w:p>
      <w:pPr>
        <w:pStyle w:val="Heading1"/>
        <w:keepNext/>
        <w:spacing w:before="200" w:after="100" w:line="380" w:lineRule="exact"/>
        <w:snapToGrid w:val="0"/>
      </w:pPr>
      <w:r>
        <w:t>九、系统状态变量与关键指标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1757"/>
        <w:gridCol w:w="2910"/>
        <w:gridCol w:w="907"/>
        <w:gridCol w:w="3198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175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状态变量/指标</w:t>
            </w:r>
          </w:p>
        </w:tc>
        <w:tc>
          <w:tcPr>
            <w:tcW w:type="dxa" w:w="291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定义</w:t>
            </w:r>
          </w:p>
        </w:tc>
        <w:tc>
          <w:tcPr>
            <w:tcW w:type="dxa" w:w="90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单位</w:t>
            </w:r>
          </w:p>
        </w:tc>
        <w:tc>
          <w:tcPr>
            <w:tcW w:type="dxa" w:w="3198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记录或计算方式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数量与位置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累计到达A、成品Q、线内在制W、线外待投E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件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A=Q+W+E；独立核对缓冲件与占机件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产出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总量及P1—P4分产品完工量；小时吞吐量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件</w:t>
              <w:br/>
              <w:t>件/h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只计全部工序完成件；总量÷40小时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队长与队列等待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缓冲平均/最大队长；入队至派工的平均等待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件；分钟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队长按时间加权；均值仅含已派工工序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周期与未完成等待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到达至完工周期；线外投料等待；期末缓冲已等待时长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分钟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周期仅含成品；未完成等待单列，避免截尾误读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机床状态与控制量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加工、换模、维修、阻塞、空闲；上次类型、剩余寿命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%；次</w:t>
              <w:br/>
              <w:t>分钟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五态时间÷机床数÷2400；另计换模、故障次数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完工产值与结余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R按售价加权；C按加工＋换模计费；B=R−C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元/周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售价200/180/250/300；费率100元/台·小时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7</w:t>
            </w:r>
          </w:p>
        </w:tc>
        <w:tc>
          <w:tcPr>
            <w:tcW w:type="dxa" w:w="175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增量投资与回收</w:t>
            </w:r>
          </w:p>
        </w:tc>
        <w:tc>
          <w:tcPr>
            <w:tcW w:type="dxa" w:w="2910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相对基准增量结余ΔB；新增购机支出I</w:t>
            </w:r>
          </w:p>
        </w:tc>
        <w:tc>
          <w:tcPr>
            <w:tcW w:type="dxa" w:w="907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元；周</w:t>
            </w:r>
          </w:p>
        </w:tc>
        <w:tc>
          <w:tcPr>
            <w:tcW w:type="dxa" w:w="319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新增每台50万元；平均ΔB&gt;0时才估算I/平均ΔB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经济主口径为machine_active，维修、阻塞和空闲不计运行费；期末未完工件已经耗用的加工与换模时间仍计费。R在全部成品售出假设下对应收入，B不等同净利润；回收期依赖增量可持续且未计折现。无交期或流失规则，不报告准时交付率。</w:t>
      </w:r>
    </w:p>
    <w:p>
      <w:pPr>
        <w:pStyle w:val="Heading1"/>
        <w:keepNext/>
        <w:spacing w:before="200" w:after="100" w:line="380" w:lineRule="exact"/>
        <w:snapToGrid w:val="0"/>
      </w:pPr>
      <w:r>
        <w:t>十、概念模型流程图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完整流程图见附页图1。批次到达后拆为单件，依次经过FIFO准入、缓冲派工、换模与加工，再转序或完工；故障时维修后续作，准入失败时保留原位置和排队次序。</w:t>
      </w:r>
    </w:p>
    <w:p>
      <w:pPr>
        <w:pStyle w:val="Heading1"/>
        <w:keepNext/>
        <w:spacing w:before="200" w:after="100" w:line="380" w:lineRule="exact"/>
        <w:snapToGrid w:val="0"/>
      </w:pPr>
      <w:r>
        <w:t>十一、概念模型假设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634"/>
        <w:gridCol w:w="3673"/>
        <w:gridCol w:w="2694"/>
        <w:gridCol w:w="2405"/>
      </w:tblGrid>
      <w:tr>
        <w:trPr>
          <w:cantSplit/>
          <w:tblHeader/>
        </w:trPr>
        <w:tc>
          <w:tcPr>
            <w:tcW w:type="dxa" w:w="63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673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模型假设</w:t>
            </w:r>
          </w:p>
        </w:tc>
        <w:tc>
          <w:tcPr>
            <w:tcW w:type="dxa" w:w="2694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依据</w:t>
            </w:r>
          </w:p>
        </w:tc>
        <w:tc>
          <w:tcPr>
            <w:tcW w:type="dxa" w:w="240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可能影响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空系统起始，连续累计2400分钟，无预热或夜间停机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案例周工时及空初态；连续累计为实现约定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描述空线启动的一周，不能直接当稳态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每件独立抽型，批次可混合；首次装模不耗时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案例给定比例；混合批与首装为补充假设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影响产品波动和初期换模损失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故障寿命为指数分布，仅累计加工和换模；维修后续作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案例给MTBF/MTTR；故障分布与时钟为补充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与按日历时间故障、重做工序有别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4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模具与故障按单机；维修不受共享人员限制；运输为零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未提供维修人员和运输参数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可能低估维修或搬运竞争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有限缓冲、加工后占机阻塞；线外与转序FIFO准入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现有模型对有限容量的明确化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外部可积压；同类优先不改变准入次序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36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正态工时非正重抽；成品按售价售出，成本只含已知费率</w:t>
            </w:r>
          </w:p>
        </w:tc>
        <w:tc>
          <w:tcPr>
            <w:tcW w:type="dxa" w:w="2694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正加工时约束；售价与费率来自案例补充</w:t>
            </w:r>
          </w:p>
        </w:tc>
        <w:tc>
          <w:tcPr>
            <w:tcW w:type="dxa" w:w="24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售价不等于利润；缺失成本与销量约束待补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待进一步核定：混合批还是同类批、首装时间、故障计时方式、换模是否计费及运行费覆盖项目。当前报告按已实现口径表述；若确认不同，应同时修改模型、实验配置和指标解释。</w:t>
      </w:r>
    </w:p>
    <w:p>
      <w:pPr>
        <w:pStyle w:val="Heading1"/>
        <w:keepNext/>
        <w:spacing w:before="200" w:after="100" w:line="380" w:lineRule="exact"/>
        <w:snapToGrid w:val="0"/>
      </w:pPr>
      <w:r>
        <w:t>十二、概念模型与决策问题的对应关系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2161"/>
        <w:gridCol w:w="1873"/>
        <w:gridCol w:w="2305"/>
        <w:gridCol w:w="3067"/>
      </w:tblGrid>
      <w:tr>
        <w:trPr>
          <w:cantSplit/>
          <w:tblHeader/>
        </w:trPr>
        <w:tc>
          <w:tcPr>
            <w:tcW w:type="dxa" w:w="216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核心决策问题</w:t>
            </w:r>
          </w:p>
        </w:tc>
        <w:tc>
          <w:tcPr>
            <w:tcW w:type="dxa" w:w="1873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涉及过程</w:t>
            </w:r>
          </w:p>
        </w:tc>
        <w:tc>
          <w:tcPr>
            <w:tcW w:type="dxa" w:w="230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关键变量/资源</w:t>
            </w:r>
          </w:p>
        </w:tc>
        <w:tc>
          <w:tcPr>
            <w:tcW w:type="dxa" w:w="306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仿真回答方式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基准产量、瓶颈与经营结余如何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全路线、排队、状态累计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分产品量、五态、队长、R/C/B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基准运行，结合负荷、积压和阻塞识别约束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M4增机是否值得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M4并行服务与上下游交接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M4由1到2台；新增50万元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与同种子基准作配对差，联看产量、ΔB及回收条件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排序规则是否改善产出与公平性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缓冲派工、换模、超时优先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FIFO、同类、超时阈值120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比较产量、换模、分产品完成与未完成等待；售价优先待扩展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换模和故障带来多少损失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换模、工作中断及续作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换模15→0；故障开→关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分别作理想对照；不把缺少改造费用的改善量当净收益</w:t>
            </w:r>
          </w:p>
        </w:tc>
      </w:tr>
      <w:tr>
        <w:trPr>
          <w:cantSplit/>
        </w:trPr>
        <w:tc>
          <w:tcPr>
            <w:tcW w:type="dxa" w:w="21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价格与计费变化是否改变判断</w:t>
            </w:r>
          </w:p>
        </w:tc>
        <w:tc>
          <w:tcPr>
            <w:tcW w:type="dxa" w:w="1873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完工计值、机床状态计费</w:t>
            </w:r>
          </w:p>
        </w:tc>
        <w:tc>
          <w:tcPr>
            <w:tcW w:type="dxa" w:w="230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售价、费率、三种成本口径</w:t>
            </w:r>
          </w:p>
        </w:tc>
        <w:tc>
          <w:tcPr>
            <w:tcW w:type="dxa" w:w="306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在相同生产轨迹上复算；仅加工计费尚需扩展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现有实验入口支持基准、M4增机、同类优先、零换模、无故障5组比较；默认每组10次、种子42—51。方案间共享到达清单和按工件/工序绑定的加工样本，采用配对差的95% t区间。超时优先可另配；本次不作最优方案结论。</w:t>
      </w:r>
    </w:p>
    <w:p>
      <w:pPr>
        <w:pStyle w:val="Heading1"/>
        <w:keepNext/>
        <w:spacing w:before="200" w:after="100" w:line="380" w:lineRule="exact"/>
        <w:snapToGrid w:val="0"/>
      </w:pPr>
      <w:r>
        <w:t>十三、Arena实现映射（初步）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498"/>
        <w:gridCol w:w="2189"/>
        <w:gridCol w:w="3097"/>
        <w:gridCol w:w="2622"/>
      </w:tblGrid>
      <w:tr>
        <w:trPr>
          <w:cantSplit/>
          <w:tblHeader/>
        </w:trPr>
        <w:tc>
          <w:tcPr>
            <w:tcW w:type="dxa" w:w="1498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概念模型要素</w:t>
            </w:r>
          </w:p>
        </w:tc>
        <w:tc>
          <w:tcPr>
            <w:tcW w:type="dxa" w:w="2189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Arena模块（初步）</w:t>
            </w:r>
          </w:p>
        </w:tc>
        <w:tc>
          <w:tcPr>
            <w:tcW w:type="dxa" w:w="3097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主要设置</w:t>
            </w:r>
          </w:p>
        </w:tc>
        <w:tc>
          <w:tcPr>
            <w:tcW w:type="dxa" w:w="262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重点核对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实体到达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Create＋Separate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EXPO(10)；批量离散均匀5—20；拆分单件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最终保留单件数等于批量，首批不在0时刻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属性赋值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Assign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工件号、批次号、类型、路线、工序号、时刻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拆分后逐件独立抽型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判断与分流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Decide＋Assign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按类型及工序号决定首站、下一站和末道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P3从M2进入，不重复或跳过工序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加工及换模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Seize＋Delay＋Release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逐机占用；按类型决定换模和工时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Release须在下游准入成功后执行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排队与等待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Hold＋Queue控制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50件缓冲；FIFO准入与缓冲内派工分别控制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准入计数/预留须原子化，防止容量超限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设备资源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Resource/Set＋状态变量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数量2/1/2/1/2；逐机记录模具和故障寿命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故障时钟含加工与换模，修复后继续余量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结果记录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Record＋变量累计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单件成品、时刻、队长积分、逐机五态时间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完成数守恒、五态合计、经济口径一致</w:t>
            </w:r>
          </w:p>
        </w:tc>
      </w:tr>
      <w:tr>
        <w:trPr>
          <w:cantSplit/>
        </w:trPr>
        <w:tc>
          <w:tcPr>
            <w:tcW w:type="dxa" w:w="149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实体离开</w:t>
            </w:r>
          </w:p>
        </w:tc>
        <w:tc>
          <w:tcPr>
            <w:tcW w:type="dxa" w:w="2189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Record＋Dispose</w:t>
            </w:r>
          </w:p>
        </w:tc>
        <w:tc>
          <w:tcPr>
            <w:tcW w:type="dxa" w:w="3097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末工序完成后记录，再移除单件实体</w:t>
            </w:r>
          </w:p>
        </w:tc>
        <w:tc>
          <w:tcPr>
            <w:tcW w:type="dxa" w:w="2622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2400时刻边界与SimPy一致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Arena映射尚需核验共享派工、逐机模具、故障工作时钟和占机交接，不能用“加工后立即释放”替代。本报告提供实现约束，尚不构成Arena等价验证结果。</w:t>
      </w:r>
    </w:p>
    <w:p>
      <w:pPr>
        <w:pStyle w:val="Heading1"/>
        <w:keepNext/>
        <w:spacing w:before="200" w:after="100" w:line="380" w:lineRule="exact"/>
        <w:snapToGrid w:val="0"/>
      </w:pPr>
      <w:r>
        <w:t>十四、模型逻辑自检清单</w:t>
      </w:r>
    </w:p>
    <w:p>
      <w:pPr>
        <w:spacing w:after="4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入口、路线与出口明确。　　　　</w:t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活动的资源与时间明确。</w:t>
      </w:r>
    </w:p>
    <w:p>
      <w:pPr>
        <w:spacing w:after="4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等待位置及无放弃规则明确。　　</w:t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分流与主要判断条件明确。</w:t>
      </w:r>
    </w:p>
    <w:p>
      <w:pPr>
        <w:spacing w:after="40" w:line="280" w:lineRule="exact"/>
        <w:keepNext/>
        <w:snapToGrid w:val="0"/>
      </w:pPr>
      <w:r>
        <w:rPr>
          <w:rFonts w:ascii="宋体" w:hAnsi="宋体" w:eastAsia="宋体"/>
          <w:b w:val="0"/>
          <w:sz w:val="21"/>
        </w:rPr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机床及缓冲容量约束明确。　　　</w:t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决策问题与过程、指标对应。</w:t>
      </w:r>
    </w:p>
    <w:p>
      <w:pPr>
        <w:spacing w:after="40" w:line="280" w:lineRule="exact"/>
        <w:keepNext w:val="0"/>
        <w:snapToGrid w:val="0"/>
      </w:pPr>
      <w:r>
        <w:rPr>
          <w:rFonts w:ascii="宋体" w:hAnsi="宋体" w:eastAsia="宋体"/>
          <w:b w:val="0"/>
          <w:sz w:val="21"/>
        </w:rPr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已区分给定条件与补充假设。　　</w:t>
      </w:r>
      <w:r>
        <w:rPr>
          <w:rFonts w:ascii="DejaVu Sans" w:hAnsi="DejaVu Sans" w:eastAsia="DejaVu Sans"/>
          <w:b w:val="0"/>
          <w:sz w:val="21"/>
        </w:rPr>
        <w:t>☑</w:t>
      </w:r>
      <w:r>
        <w:rPr>
          <w:rFonts w:ascii="宋体" w:hAnsi="宋体" w:eastAsia="宋体"/>
          <w:b w:val="0"/>
          <w:sz w:val="21"/>
        </w:rPr>
        <w:t xml:space="preserve"> Arena映射与核验要求明确。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2026年10月22日复跑38项自动化测试均通过。空系统、无故障、确定性工时，各产品于t=0单独投一件，P1—P4分别在26、22、19、16分钟完工。单机t=0开工、加工需10分钟，第4分钟故障并维修2分钟，完工于12分钟。另通过持续到达、占机阻塞、派工唯一性及数量和状态时间守恒检查。</w:t>
      </w:r>
    </w:p>
    <w:p>
      <w:pPr>
        <w:pStyle w:val="Heading1"/>
        <w:keepNext/>
        <w:spacing w:before="200" w:after="100" w:line="380" w:lineRule="exact"/>
        <w:snapToGrid w:val="0"/>
      </w:pPr>
      <w:r>
        <w:t>十五、AI辅助使用记录（如使用）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440"/>
        <w:gridCol w:w="3385"/>
        <w:gridCol w:w="4581"/>
      </w:tblGrid>
      <w:tr>
        <w:trPr>
          <w:cantSplit/>
          <w:tblHeader/>
        </w:trPr>
        <w:tc>
          <w:tcPr>
            <w:tcW w:type="dxa" w:w="1440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使用环节</w:t>
            </w:r>
          </w:p>
        </w:tc>
        <w:tc>
          <w:tcPr>
            <w:tcW w:type="dxa" w:w="338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AI辅助内容</w:t>
            </w:r>
          </w:p>
        </w:tc>
        <w:tc>
          <w:tcPr>
            <w:tcW w:type="dxa" w:w="458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本次核验依据及小组复核事项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概念整理</w:t>
            </w:r>
          </w:p>
        </w:tc>
        <w:tc>
          <w:tcPr>
            <w:tcW w:type="dxa" w:w="338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按代码整理实体与事件</w:t>
            </w:r>
          </w:p>
        </w:tc>
        <w:tc>
          <w:tcPr>
            <w:tcW w:type="dxa" w:w="458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案例、首份任务书及代码；小组复核假设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流程图</w:t>
            </w:r>
          </w:p>
        </w:tc>
        <w:tc>
          <w:tcPr>
            <w:tcW w:type="dxa" w:w="338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绘制流转、阻塞与故障续作</w:t>
            </w:r>
          </w:p>
        </w:tc>
        <w:tc>
          <w:tcPr>
            <w:tcW w:type="dxa" w:w="458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对照Station、Machine、Simulation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指标口径</w:t>
            </w:r>
          </w:p>
        </w:tc>
        <w:tc>
          <w:tcPr>
            <w:tcW w:type="dxa" w:w="338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核对等待位置和计费状态</w:t>
            </w:r>
          </w:p>
        </w:tc>
        <w:tc>
          <w:tcPr>
            <w:tcW w:type="dxa" w:w="458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对照统计与经济模块；小组核定费用范围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逻辑与编排</w:t>
            </w:r>
          </w:p>
        </w:tc>
        <w:tc>
          <w:tcPr>
            <w:tcW w:type="dxa" w:w="3385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执行测试并检查表格分页</w:t>
            </w:r>
          </w:p>
        </w:tc>
        <w:tc>
          <w:tcPr>
            <w:tcW w:type="dxa" w:w="458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38项测试日志及文档预览；小组提交前审阅</w:t>
            </w:r>
          </w:p>
        </w:tc>
      </w:tr>
    </w:tbl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以上为AI辅助与代码核对记录；提交前仍需小组结合案例复核补充假设、经济口径和Arena映射。</w:t>
      </w:r>
    </w:p>
    <w:p>
      <w:pPr>
        <w:pStyle w:val="Heading1"/>
        <w:keepNext/>
        <w:spacing w:before="200" w:after="100" w:line="380" w:lineRule="exact"/>
        <w:snapToGrid w:val="0"/>
      </w:pPr>
      <w:r>
        <w:t>十六、小组提交说明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本报告明确了现有SimPy的实体、资源、容量与时间口径。后续Arena实现应先通过可手算情景和守恒检查，再进行同条件方案比较；售价优先和滚动优化仍属后续扩展。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依据：《案例二十二》、第7组首份任务书及2026年10月22日本地SimPy代码（配置、到达、工位、机床、调度、统计与经济模块）。</w:t>
      </w:r>
    </w:p>
    <w:p>
      <w:pPr>
        <w:pStyle w:val="Heading1"/>
        <w:keepNext/>
        <w:spacing w:before="200" w:after="100" w:line="380" w:lineRule="exact"/>
        <w:snapToGrid w:val="0"/>
      </w:pPr>
      <w:r>
        <w:t>十七、教师评价</w:t>
      </w:r>
    </w:p>
    <w:tbl>
      <w:tblPr>
        <w:tblStyle w:val="TableGrid"/>
        <w:tblW w:type="dxa" w:w="9406"/>
        <w:jc w:val="center"/>
        <w:tblLayout w:type="fixed"/>
        <w:tblLook w:firstColumn="1" w:firstRow="1" w:lastColumn="0" w:lastRow="0" w:noHBand="0" w:noVBand="1" w:val="04A0"/>
        <w:tblCellMar>
          <w:top w:w="48" w:type="dxa"/>
          <w:bottom w:w="48" w:type="dxa"/>
          <w:left w:w="65" w:type="dxa"/>
          <w:right w:w="65" w:type="dxa"/>
        </w:tblCellMar>
      </w:tblPr>
      <w:tblGrid>
        <w:gridCol w:w="1988"/>
        <w:gridCol w:w="3961"/>
        <w:gridCol w:w="792"/>
        <w:gridCol w:w="2665"/>
      </w:tblGrid>
      <w:tr>
        <w:trPr>
          <w:cantSplit/>
          <w:tblHeader/>
        </w:trPr>
        <w:tc>
          <w:tcPr>
            <w:tcW w:type="dxa" w:w="1988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评价维度</w:t>
            </w:r>
          </w:p>
        </w:tc>
        <w:tc>
          <w:tcPr>
            <w:tcW w:type="dxa" w:w="3961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评价要点</w:t>
            </w:r>
          </w:p>
        </w:tc>
        <w:tc>
          <w:tcPr>
            <w:tcW w:type="dxa" w:w="792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得分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教师评语</w:t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实体与资源识别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主要实体、资源及属性识别完整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事件与流程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事件、活动及流程逻辑清晰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队列与决策规则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排队、优先级、分流、放弃等规则明确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概念模型完整性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模型边界和关键假设合理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决策问题对应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概念模型能够支撑决策问题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rPr>
          <w:cantSplit/>
        </w:trPr>
        <w:tc>
          <w:tcPr>
            <w:tcW w:type="dxa" w:w="1988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规范性</w:t>
            </w:r>
          </w:p>
        </w:tc>
        <w:tc>
          <w:tcPr>
            <w:tcW w:type="dxa" w:w="3961"/>
            <w:vAlign w:val="center"/>
          </w:tcPr>
          <w:p>
            <w:pPr>
              <w:spacing w:after="0" w:line="280" w:lineRule="exact"/>
              <w:snapToGrid w:val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表格完整、表达清楚、分工合理</w:t>
            </w:r>
          </w:p>
        </w:tc>
        <w:tc>
          <w:tcPr>
            <w:tcW w:type="dxa" w:w="792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____</w:t>
            </w:r>
          </w:p>
        </w:tc>
        <w:tc>
          <w:tcPr>
            <w:tcW w:type="dxa" w:w="2665"/>
            <w:vAlign w:val="center"/>
          </w:tcPr>
          <w:p>
            <w:pPr>
              <w:spacing w:after="0" w:line="280" w:lineRule="exact"/>
              <w:snapToGrid w:val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before="160" w:after="0"/>
        <w:jc w:val="center"/>
      </w:pPr>
      <w:r>
        <w:rPr>
          <w:b/>
          <w:sz w:val="21"/>
        </w:rPr>
        <w:t>第2次课提交成果：概念模型与逻辑确认表</w:t>
      </w:r>
    </w:p>
    <w:p>
      <w:pPr>
        <w:pStyle w:val="Heading1"/>
        <w:keepNext/>
        <w:spacing w:before="200" w:after="120" w:line="380" w:lineRule="exact"/>
        <w:pageBreakBefore/>
        <w:snapToGrid w:val="0"/>
        <w:snapToGrid w:val="0"/>
      </w:pPr>
      <w:r>
        <w:rPr>
          <w:rFonts w:ascii="黑体" w:hAnsi="黑体" w:eastAsia="黑体"/>
          <w:b/>
          <w:color w:val="365F91"/>
          <w:sz w:val="28"/>
        </w:rPr>
        <w:t>附页  概念模型流程图</w:t>
      </w:r>
    </w:p>
    <w:p>
      <w:pPr>
        <w:spacing w:after="100" w:line="280" w:lineRule="exact"/>
        <w:keepNext/>
        <w:snapToGrid w:val="0"/>
        <w:snapToGrid w:val="0"/>
      </w:pPr>
      <w:r>
        <w:rPr>
          <w:rFonts w:ascii="宋体" w:hAnsi="宋体" w:eastAsia="宋体"/>
          <w:b w:val="0"/>
          <w:sz w:val="21"/>
        </w:rPr>
        <w:t>浅黄色区分流程模块，蓝色框标明实体、队列与资源设置。实线表示工件流转，红色虚线表示故障中断与续作；时间单位为分钟。</w:t>
      </w:r>
    </w:p>
    <w:p>
      <w:pPr>
        <w:spacing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6587490"/>
            <wp:docPr id="1" name="Picture 1" descr="Arena模块风格概念模型：Create、Assign、Process、Decide、Dispose使用不同形状；另示实体、准入队列、工位缓冲和机床资源。包含产品类别独立赋值、换模、故障后续作及占机阻塞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7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80" w:lineRule="exact"/>
        <w:snapToGrid w:val="0"/>
        <w:jc w:val="center"/>
      </w:pPr>
      <w:r>
        <w:rPr>
          <w:rFonts w:ascii="宋体" w:hAnsi="宋体" w:eastAsia="宋体"/>
          <w:b/>
          <w:sz w:val="21"/>
        </w:rPr>
        <w:t>图1  Arena模块风格的多品种柔性生产线概念模型</w:t>
      </w:r>
    </w:p>
    <w:p>
      <w:pPr>
        <w:spacing w:after="80" w:line="280" w:lineRule="exact"/>
        <w:snapToGrid w:val="0"/>
      </w:pPr>
      <w:r>
        <w:rPr>
          <w:rFonts w:ascii="宋体" w:hAnsi="宋体" w:eastAsia="宋体"/>
          <w:b w:val="0"/>
          <w:sz w:val="21"/>
        </w:rPr>
        <w:t>外部批次到达不受准入等待影响。缓冲满时，转序件占用上游机床直至成功入队；维修期间保留工件与机床，恢复后续作原换模或加工余量。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