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¡Hola (Nombre Aspirante)!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Soy 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Licenciatura en Psicología en modalidad Presencial.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PSICOLOGÍA.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Biblioteca Virtual con más de 100.000 ejemplares con la que podés armar tu propia biblioteca.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 sedes de cursada</w:t>
      </w:r>
      <w:r w:rsidDel="00000000" w:rsidR="00000000" w:rsidRPr="00000000">
        <w:rPr>
          <w:rtl w:val="0"/>
        </w:rPr>
        <w:t xml:space="preserve"> disponibles este cuatrimestre son: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 CABA: Piedras 655 (Turno Noche)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-San Isidro: Av. Edison 3243 (Turno  Noche)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(una materia en cada cuatrimestre se cursa obligatoriamente en la Sede CABA)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</w:t>
      </w:r>
      <w:r w:rsidDel="00000000" w:rsidR="00000000" w:rsidRPr="00000000">
        <w:rPr>
          <w:rtl w:val="0"/>
        </w:rPr>
        <w:t xml:space="preserve"> del año.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clases se dictan de forma presencial, es una clase semanal por materia que se dicta en el cuatrimestre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Tenemos Unidad Asistencial abierta a la comunidad, donde desarrollarás prácticas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ARANCELES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6 materias éste cuatrimestre) o por materia individual.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$76.800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</w:t>
      </w:r>
      <w:r w:rsidDel="00000000" w:rsidR="00000000" w:rsidRPr="00000000">
        <w:rPr>
          <w:rtl w:val="0"/>
        </w:rPr>
        <w:t xml:space="preserve"> abonando de Contado o Tarjeta de Crédito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$821.621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$350.558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$ 213.621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$193.323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$ 82.484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$50.264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 queda alguna consulta o querés avanzar con tu inscripción podes: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  <w:tab/>
        <w:t xml:space="preserve"> </w:t>
        <w:tab/>
        <w:tab/>
        <w:tab/>
        <w:t xml:space="preserve"> </w:t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DESAR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kennedy.edu.ar/" TargetMode="External"/><Relationship Id="rId10" Type="http://schemas.openxmlformats.org/officeDocument/2006/relationships/hyperlink" Target="https://www.kennedy.edu.ar/ingresantes/insercion-a-la-vida-universitaria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licenciatura-en-psicologia/" TargetMode="External"/><Relationship Id="rId8" Type="http://schemas.openxmlformats.org/officeDocument/2006/relationships/hyperlink" Target="https://www.kennedy.edu.ar/ingresantes/inscripcion-gr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