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💻 Respecto a la Modalidad, vas a tener acceso a una plataforma Virtual mediante un usuario y contraseña personal. Allí encontrarás  material de estudio, videos explicativos, trabajos prácticos y un foro de consulta entre alumno y profesor para que puedas consultar todas tus dudas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🗓️El año se divide en 2 cuatrimestres: 1er CUATRIMESTRE Marzo a Julio, y 2do CUATRIMESTRE Agosto a Noviembre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📖  Las clases de cada materia son virtuales y  en vivo, con una duración de 2 horas por materia. Tenes dos turnos para elegir: Mañana de 8:30 a 12:30 o Noche de 18:30 a 22:30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 ⏭️En estas clases la asistencia no es obligatoria, y en el caso de no poder conectarte vas a tener disponibles estas clases grabadas durante 7 días para que puedas visualizarlas.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📚Además, tendrás acceso a la Biblioteca Virtual, donde encontrarás más de 100.000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ejemplares a tu disposición que podrás descargar en formato PDF.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🏛️Durante la carrera tendras  muchas instancias de actividades prácticas:  realizacion de escritos administrativos y judiciales,  simulacros de juicio y competencia de alegatos para tu práctica profesional.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🎓 Tu carrera tiene una duración de 4 años, y  para obtener tu título solo debes contar con el programa de materias aprobado, sin necesidad de presentar tesis!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