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C2E8AA" w14:textId="27F773E2" w:rsidR="00454F7E" w:rsidRPr="00E3534B" w:rsidRDefault="00454F7E" w:rsidP="00E3534B">
      <w:pPr>
        <w:rPr>
          <w:b/>
          <w:bCs/>
          <w:sz w:val="28"/>
          <w:szCs w:val="28"/>
        </w:rPr>
        <w:spacing w:before="0" w:after="120" w:line="240" w:lineRule="auto"/>
      </w:pPr>
      <w:r w:rsidRPr="00E3534B">
        <w:rPr>
          <w:noProof/>
        </w:rPr>
        <w:drawing>
          <wp:anchor distT="0" distB="0" distL="114300" distR="114300" simplePos="0" relativeHeight="251660288" behindDoc="0" locked="0" layoutInCell="1" allowOverlap="1" wp14:anchorId="4E21EA0B" wp14:editId="22F5D310">
            <wp:simplePos x="0" y="0"/>
            <wp:positionH relativeFrom="margin">
              <wp:posOffset>2910381</wp:posOffset>
            </wp:positionH>
            <wp:positionV relativeFrom="paragraph">
              <wp:posOffset>3459</wp:posOffset>
            </wp:positionV>
            <wp:extent cx="884712" cy="871538"/>
            <wp:effectExtent l="0" t="0" r="0" b="5080"/>
            <wp:wrapNone/>
            <wp:docPr id="16" name="Picture 16" descr="C:\Users\ahmed\Downloads\FUTA-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hmed\Downloads\FUTA-Logo.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4712" cy="871538"/>
                    </a:xfrm>
                    <a:prstGeom prst="rect">
                      <a:avLst/>
                    </a:prstGeom>
                    <a:noFill/>
                    <a:ln>
                      <a:noFill/>
                    </a:ln>
                  </pic:spPr>
                </pic:pic>
              </a:graphicData>
            </a:graphic>
          </wp:anchor>
        </w:drawing>
      </w:r>
      <w:r w:rsidRPr="00E3534B">
        <w:rPr>
          <w:noProof/>
        </w:rPr>
        <w:drawing>
          <wp:anchor distT="0" distB="0" distL="114300" distR="114300" simplePos="0" relativeHeight="251659264" behindDoc="0" locked="0" layoutInCell="1" allowOverlap="1" wp14:anchorId="7026EC5D" wp14:editId="48179706">
            <wp:simplePos x="0" y="0"/>
            <wp:positionH relativeFrom="margin">
              <wp:posOffset>1770380</wp:posOffset>
            </wp:positionH>
            <wp:positionV relativeFrom="paragraph">
              <wp:posOffset>190</wp:posOffset>
            </wp:positionV>
            <wp:extent cx="857250" cy="810895"/>
            <wp:effectExtent l="0" t="0" r="0" b="8255"/>
            <wp:wrapTopAndBottom/>
            <wp:docPr id="14" name="Picture 14" descr="C:\Users\ahmed\Downloads\arcsste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hmed\Downloads\arcsstee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7250" cy="810895"/>
                    </a:xfrm>
                    <a:prstGeom prst="rect">
                      <a:avLst/>
                    </a:prstGeom>
                    <a:noFill/>
                    <a:ln>
                      <a:noFill/>
                    </a:ln>
                  </pic:spPr>
                </pic:pic>
              </a:graphicData>
            </a:graphic>
          </wp:anchor>
        </w:drawing>
      </w:r>
    </w:p>
    <w:p>
      <w:pPr>
        <w:jc w:val="center"/>
        <w:spacing w:before="0" w:after="40" w:line="240" w:lineRule="auto"/>
        <w:widowControl/>
      </w:pPr>
      <w:r>
        <w:rPr>
          <w:rFonts w:ascii="Times New Roman" w:hAnsi="Times New Roman" w:eastAsia="Times New Roman" w:cs="Times New Roman"/>
          <w:sz w:val="28"/>
          <w:szCs w:val="28"/>
          <w:color w:val="000000"/>
          <w:b/>
        </w:rPr>
        <w:t xml:space="preserve">FEDERAL UNIVERSITY OF TECHNOLOGY, AKURE</w:t>
      </w:r>
    </w:p>
    <w:p>
      <w:pPr>
        <w:jc w:val="center"/>
        <w:spacing w:before="0" w:after="40" w:line="240" w:lineRule="auto"/>
        <w:widowControl/>
      </w:pPr>
      <w:r>
        <w:rPr>
          <w:rFonts w:ascii="Times New Roman" w:hAnsi="Times New Roman" w:eastAsia="Times New Roman" w:cs="Times New Roman"/>
          <w:sz w:val="28"/>
          <w:szCs w:val="28"/>
          <w:color w:val="000000"/>
          <w:b/>
        </w:rPr>
        <w:t xml:space="preserve">CENTRE FOR SPACE SCIENCE AND TECHNOLOGY EDUCATION</w:t>
      </w:r>
    </w:p>
    <w:p>
      <w:pPr>
        <w:jc w:val="center"/>
        <w:spacing w:before="0" w:after="200" w:line="240" w:lineRule="auto"/>
        <w:widowControl/>
      </w:pPr>
      <w:r>
        <w:rPr>
          <w:rFonts w:ascii="Times New Roman" w:hAnsi="Times New Roman" w:eastAsia="Times New Roman" w:cs="Times New Roman"/>
          <w:sz w:val="26"/>
          <w:szCs w:val="26"/>
          <w:color w:val="000000"/>
          <w:b/>
        </w:rPr>
        <w:t xml:space="preserve">UNITED NATIONS – AFRICAN REGIONAL CENTRE FOR SPACE SCIENCE AND TECHNOLOGY EDUCATION IN ENGLISH (ARCSSTEE)</w:t>
      </w:r>
    </w:p>
    <w:p>
      <w:pPr>
        <w:jc w:val="center"/>
        <w:spacing w:before="160" w:after="100" w:line="240" w:lineRule="auto"/>
        <w:widowControl/>
      </w:pPr>
      <w:r>
        <w:rPr>
          <w:rFonts w:ascii="Times New Roman" w:hAnsi="Times New Roman" w:eastAsia="Times New Roman" w:cs="Times New Roman"/>
          <w:sz w:val="28"/>
          <w:szCs w:val="28"/>
          <w:color w:val="000000"/>
          <w:b/>
        </w:rPr>
        <w:t xml:space="preserve">MSc RESEARCH PROPOSAL</w:t>
      </w:r>
    </w:p>
    <w:p>
      <w:pPr>
        <w:jc w:val="center"/>
        <w:spacing w:before="0" w:after="240" w:line="240" w:lineRule="auto"/>
        <w:widowControl/>
      </w:pPr>
      <w:r>
        <w:rPr>
          <w:rFonts w:ascii="Times New Roman" w:hAnsi="Times New Roman" w:eastAsia="Times New Roman" w:cs="Times New Roman"/>
          <w:sz w:val="26"/>
          <w:szCs w:val="26"/>
          <w:color w:val="000000"/>
        </w:rPr>
        <w:t xml:space="preserve">Remote Sensing and GIS</w:t>
      </w:r>
    </w:p>
    <w:p>
      <w:pPr>
        <w:pStyle w:val="Title"/>
        <w:jc w:val="center"/>
        <w:spacing w:before="0" w:after="240" w:line="280" w:lineRule="auto"/>
        <w:widowControl/>
      </w:pPr>
      <w:r>
        <w:rPr>
          <w:rFonts w:ascii="Times New Roman" w:hAnsi="Times New Roman" w:eastAsia="Times New Roman" w:cs="Times New Roman"/>
          <w:sz w:val="28"/>
          <w:szCs w:val="28"/>
          <w:color w:val="000000"/>
          <w:b/>
        </w:rPr>
        <w:t xml:space="preserve">GIS-Based Multi-Criteria Assessment of Border Outpost Suitability and Terrain Accessibility Along the Nigeria–Benin Border in Ogun State, Nigeria</w:t>
      </w:r>
    </w:p>
    <w:p>
      <w:pPr>
        <w:jc w:val="center"/>
        <w:spacing w:before="0" w:after="60" w:line="240" w:lineRule="auto"/>
        <w:widowControl/>
      </w:pPr>
      <w:r>
        <w:rPr>
          <w:rFonts w:ascii="Times New Roman" w:hAnsi="Times New Roman" w:eastAsia="Times New Roman" w:cs="Times New Roman"/>
          <w:sz w:val="26"/>
          <w:szCs w:val="26"/>
          <w:color w:val="000000"/>
          <w:b/>
        </w:rPr>
        <w:t xml:space="preserve">SUBMITTED BY</w:t>
      </w:r>
    </w:p>
    <w:p>
      <w:pPr>
        <w:jc w:val="center"/>
        <w:spacing w:before="0" w:after="60" w:line="240" w:lineRule="auto"/>
        <w:widowControl/>
      </w:pPr>
      <w:r>
        <w:rPr>
          <w:rFonts w:ascii="Times New Roman" w:hAnsi="Times New Roman" w:eastAsia="Times New Roman" w:cs="Times New Roman"/>
          <w:sz w:val="26"/>
          <w:szCs w:val="26"/>
          <w:color w:val="000000"/>
        </w:rPr>
        <w:t xml:space="preserve">[Candidate name]</w:t>
      </w:r>
    </w:p>
    <w:p>
      <w:pPr>
        <w:jc w:val="center"/>
        <w:spacing w:before="0" w:after="200" w:line="240" w:lineRule="auto"/>
        <w:widowControl/>
      </w:pPr>
      <w:r>
        <w:rPr>
          <w:rFonts w:ascii="Times New Roman" w:hAnsi="Times New Roman" w:eastAsia="Times New Roman" w:cs="Times New Roman"/>
          <w:sz w:val="24"/>
          <w:szCs w:val="24"/>
          <w:color w:val="000000"/>
        </w:rPr>
        <w:t xml:space="preserve">[Matriculation number]</w:t>
      </w:r>
    </w:p>
    <w:p>
      <w:pPr>
        <w:jc w:val="center"/>
        <w:spacing w:before="0" w:after="60" w:line="240" w:lineRule="auto"/>
        <w:widowControl/>
      </w:pPr>
      <w:r>
        <w:rPr>
          <w:rFonts w:ascii="Times New Roman" w:hAnsi="Times New Roman" w:eastAsia="Times New Roman" w:cs="Times New Roman"/>
          <w:sz w:val="26"/>
          <w:szCs w:val="26"/>
          <w:color w:val="000000"/>
          <w:b/>
        </w:rPr>
        <w:t xml:space="preserve">SUPERVISOR</w:t>
      </w:r>
    </w:p>
    <w:p>
      <w:pPr>
        <w:jc w:val="center"/>
        <w:spacing w:before="0" w:after="200" w:line="240" w:lineRule="auto"/>
        <w:widowControl/>
      </w:pPr>
      <w:r>
        <w:rPr>
          <w:rFonts w:ascii="Times New Roman" w:hAnsi="Times New Roman" w:eastAsia="Times New Roman" w:cs="Times New Roman"/>
          <w:sz w:val="24"/>
          <w:szCs w:val="24"/>
          <w:color w:val="000000"/>
        </w:rPr>
        <w:t xml:space="preserve">[Supervisor name]</w:t>
      </w:r>
    </w:p>
    <w:p>
      <w:pPr>
        <w:jc w:val="center"/>
        <w:spacing w:before="0" w:after="100" w:line="240" w:lineRule="auto"/>
        <w:widowControl/>
      </w:pPr>
      <w:r>
        <w:rPr>
          <w:rFonts w:ascii="Times New Roman" w:hAnsi="Times New Roman" w:eastAsia="Times New Roman" w:cs="Times New Roman"/>
          <w:sz w:val="24"/>
          <w:szCs w:val="24"/>
          <w:color w:val="000000"/>
        </w:rPr>
        <w:t xml:space="preserve">September 2026</w:t>
      </w:r>
    </w:p>
    <w:p>
      <w:pPr>
        <w:pStyle w:val="Heading1"/>
        <w:jc w:val="center"/>
        <w:spacing w:before="0" w:after="160" w:line="280" w:lineRule="auto"/>
        <w:widowControl/>
        <w:keepNext/>
        <w:pageBreakBefore/>
      </w:pPr>
      <w:r>
        <w:rPr>
          <w:rFonts w:ascii="Times New Roman" w:hAnsi="Times New Roman" w:eastAsia="Times New Roman" w:cs="Times New Roman"/>
          <w:sz w:val="30"/>
          <w:szCs w:val="30"/>
          <w:color w:val="000000"/>
          <w:b/>
        </w:rPr>
        <w:t xml:space="preserve">CHAPTER ONE</w:t>
      </w:r>
    </w:p>
    <w:p>
      <w:pPr>
        <w:pStyle w:val="Heading1"/>
        <w:jc w:val="center"/>
        <w:spacing w:before="0" w:after="160" w:line="280" w:lineRule="auto"/>
        <w:widowControl/>
        <w:keepNext/>
      </w:pPr>
      <w:r>
        <w:rPr>
          <w:rFonts w:ascii="Times New Roman" w:hAnsi="Times New Roman" w:eastAsia="Times New Roman" w:cs="Times New Roman"/>
          <w:sz w:val="30"/>
          <w:szCs w:val="30"/>
          <w:color w:val="000000"/>
          <w:b/>
        </w:rPr>
        <w:t xml:space="preserve">INTRODUCTION</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1.1 Background to the Study</w:t>
      </w:r>
    </w:p>
    <w:p>
      <w:pPr>
        <w:jc w:val="left"/>
        <w:spacing w:before="0" w:after="100" w:line="360" w:lineRule="auto"/>
        <w:widowControl/>
      </w:pPr>
      <w:r>
        <w:rPr>
          <w:rFonts w:ascii="Times New Roman" w:hAnsi="Times New Roman" w:eastAsia="Times New Roman" w:cs="Times New Roman"/>
          <w:sz w:val="24"/>
          <w:szCs w:val="24"/>
          <w:color w:val="000000"/>
        </w:rPr>
        <w:t xml:space="preserve">Infrastructure planning requires an understanding of the physical landscape, surrounding development and access to services. In border regions, these considerations intersect with communities whose livelihoods and social relationships extend across administrative boundaries. Research in rural border communities of Ogun and Oyo States identifies migration, livelihoods and integration as relevant planning concerns (Popoola, 2016). This context supports examining border infrastructure within a wider inhabited landscape rather than treating settlement proximity as evidence of unlawful activity.</w:t>
      </w:r>
    </w:p>
    <w:p>
      <w:pPr>
        <w:jc w:val="left"/>
        <w:spacing w:before="0" w:after="100" w:line="360" w:lineRule="auto"/>
        <w:widowControl/>
      </w:pPr>
      <w:r>
        <w:rPr>
          <w:rFonts w:ascii="Times New Roman" w:hAnsi="Times New Roman" w:eastAsia="Times New Roman" w:cs="Times New Roman"/>
          <w:sz w:val="24"/>
          <w:szCs w:val="24"/>
          <w:color w:val="000000"/>
        </w:rPr>
        <w:t xml:space="preserve">Geographic Information Systems (GIS) provide a means of organising and comparing spatial evidence. Multi-criteria decision analysis adds an explicit framework for evaluating several factors measured on different scales. Malczewski (2006) establishes GIS-based multi-criteria decision analysis as a substantial area of GIScience, while Saaty (2008) explains how the Analytic Hierarchy Process (AHP) structures pairwise judgments. These methods can support transparent assessment, but their outputs depend on the criteria, preferences and data adopted.</w:t>
      </w:r>
    </w:p>
    <w:p>
      <w:pPr>
        <w:jc w:val="left"/>
        <w:spacing w:before="0" w:after="100" w:line="360" w:lineRule="auto"/>
        <w:widowControl/>
      </w:pPr>
      <w:r>
        <w:rPr>
          <w:rFonts w:ascii="Times New Roman" w:hAnsi="Times New Roman" w:eastAsia="Times New Roman" w:cs="Times New Roman"/>
          <w:sz w:val="24"/>
          <w:szCs w:val="24"/>
          <w:color w:val="000000"/>
        </w:rPr>
        <w:t xml:space="preserve">Remote sensing contributes information about land cover and surface conditions without requiring field access. Sentinel-2 Level-2A imagery provides atmospherically corrected surface reflectance, with bands supplied at different spatial resolutions (Copernicus Data Space Ecosystem, n.d.). Elevation products and public mapping can complement imagery by describing terrain and mapped infrastructure. Their availability does not remove the need to assess date, coverage and uncertainty.</w:t>
      </w:r>
    </w:p>
    <w:p>
      <w:pPr>
        <w:jc w:val="left"/>
        <w:spacing w:before="0" w:after="100" w:line="360" w:lineRule="auto"/>
        <w:widowControl/>
      </w:pPr>
      <w:r>
        <w:rPr>
          <w:rFonts w:ascii="Times New Roman" w:hAnsi="Times New Roman" w:eastAsia="Times New Roman" w:cs="Times New Roman"/>
          <w:sz w:val="24"/>
          <w:szCs w:val="24"/>
          <w:color w:val="000000"/>
        </w:rPr>
        <w:t xml:space="preserve">This study will integrate these sources in QGIS to assess relative border-outpost suitability and broad terrain accessibility in the Ogun State sector of the Nigeria–Benin border. Its emphasis will be on environmental screening and reproducible spatial analysis. It will evaluate the stability of model outputs rather than presume that a high suitability score proves operational effectiveness.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1.2 Statement of the Problem</w:t>
      </w:r>
    </w:p>
    <w:p>
      <w:pPr>
        <w:jc w:val="left"/>
        <w:spacing w:before="0" w:after="100" w:line="360" w:lineRule="auto"/>
        <w:widowControl/>
      </w:pPr>
      <w:r>
        <w:rPr>
          <w:rFonts w:ascii="Times New Roman" w:hAnsi="Times New Roman" w:eastAsia="Times New Roman" w:cs="Times New Roman"/>
          <w:sz w:val="24"/>
          <w:szCs w:val="24"/>
          <w:color w:val="000000"/>
        </w:rPr>
        <w:t xml:space="preserve">The central methodological problem is that a suitability map can appear precise even when its inputs and judgments are uncertain. Dataset age, incomplete feature mapping, land-cover errors, criterion redundancy and weighting choices can alter the areas classified as suitable. Without an explicit evaluation framework, readers cannot determine whether a result is stable or largely an artefact of selected assumptions.</w:t>
      </w:r>
    </w:p>
    <w:p>
      <w:pPr>
        <w:jc w:val="left"/>
        <w:spacing w:before="0" w:after="100" w:line="360" w:lineRule="auto"/>
        <w:widowControl/>
      </w:pPr>
      <w:r>
        <w:rPr>
          <w:rFonts w:ascii="Times New Roman" w:hAnsi="Times New Roman" w:eastAsia="Times New Roman" w:cs="Times New Roman"/>
          <w:sz w:val="24"/>
          <w:szCs w:val="24"/>
          <w:color w:val="000000"/>
        </w:rPr>
        <w:t xml:space="preserve">The reviewed Nigerian literature demonstrates applications of GIS–AHP to infrastructure siting, including Ewekoro and Ikorodu (Adebimpe &amp; Usman, 2022; Onuoha et al., 2025). Borderland studies address social and economic conditions in Ogun and neighbouring areas (Popoola, 2016; Popoola et al., 2017). These studies contribute different kinds of evidence; they do not jointly establish an independently validated model of outpost suitability for the selected study area.</w:t>
      </w:r>
    </w:p>
    <w:p>
      <w:pPr>
        <w:jc w:val="left"/>
        <w:spacing w:before="0" w:after="100" w:line="360" w:lineRule="auto"/>
        <w:widowControl/>
      </w:pPr>
      <w:r>
        <w:rPr>
          <w:rFonts w:ascii="Times New Roman" w:hAnsi="Times New Roman" w:eastAsia="Times New Roman" w:cs="Times New Roman"/>
          <w:sz w:val="24"/>
          <w:szCs w:val="24"/>
          <w:color w:val="000000"/>
        </w:rPr>
        <w:t xml:space="preserve">The research problem is therefore how public environmental and infrastructural data can support a defensible desktop assessment, and how the uncertainty of that assessment should be communicated. The study will not assume that existing outposts are poorly located, that all unmapped areas lack infrastructure, or that terrain characteristics predict unlawful movement. Its contribution will be a documented assessment with explicit tests of sensitivity and clearly bounded conclusions.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1.3 Aim and Objectives of the Study</w:t>
      </w:r>
    </w:p>
    <w:p>
      <w:pPr>
        <w:jc w:val="left"/>
        <w:spacing w:before="0" w:after="100" w:line="360" w:lineRule="auto"/>
        <w:widowControl/>
      </w:pPr>
      <w:r>
        <w:rPr>
          <w:rFonts w:ascii="Times New Roman" w:hAnsi="Times New Roman" w:eastAsia="Times New Roman" w:cs="Times New Roman"/>
          <w:sz w:val="24"/>
          <w:szCs w:val="24"/>
          <w:color w:val="000000"/>
        </w:rPr>
        <w:t xml:space="preserve">The aim is to assess relative border-outpost suitability and terrain accessibility along the Nigeria–Benin border in Ogun State using publicly available geospatial data, remote sensing and GIS-based multi-criteria analysis.</w:t>
      </w:r>
    </w:p>
    <w:p>
      <w:pPr>
        <w:jc w:val="left"/>
        <w:spacing w:before="0" w:after="100" w:line="360" w:lineRule="auto"/>
        <w:widowControl/>
      </w:pPr>
      <w:r>
        <w:rPr>
          <w:rFonts w:ascii="Times New Roman" w:hAnsi="Times New Roman" w:eastAsia="Times New Roman" w:cs="Times New Roman"/>
          <w:sz w:val="24"/>
          <w:szCs w:val="24"/>
          <w:color w:val="000000"/>
        </w:rPr>
        <w:t xml:space="preserve">The specific objectives are:</w:t>
      </w:r>
    </w:p>
    <w:p>
      <w:pPr>
        <w:jc w:val="left"/>
        <w:spacing w:before="0" w:after="100" w:line="360" w:lineRule="auto"/>
        <w:widowControl/>
      </w:pPr>
      <w:r>
        <w:rPr>
          <w:rFonts w:ascii="Times New Roman" w:hAnsi="Times New Roman" w:eastAsia="Times New Roman" w:cs="Times New Roman"/>
          <w:sz w:val="24"/>
          <w:szCs w:val="24"/>
          <w:color w:val="000000"/>
        </w:rPr>
        <w:t xml:space="preserve">1. To acquire, prepare and assess the quality of public environmental and infrastructural datasets for the study area.</w:t>
      </w:r>
    </w:p>
    <w:p>
      <w:pPr>
        <w:jc w:val="left"/>
        <w:spacing w:before="0" w:after="100" w:line="360" w:lineRule="auto"/>
        <w:widowControl/>
      </w:pPr>
      <w:r>
        <w:rPr>
          <w:rFonts w:ascii="Times New Roman" w:hAnsi="Times New Roman" w:eastAsia="Times New Roman" w:cs="Times New Roman"/>
          <w:sz w:val="24"/>
          <w:szCs w:val="24"/>
          <w:color w:val="000000"/>
        </w:rPr>
        <w:t xml:space="preserve">2. To characterise land cover and terrain conditions using satellite imagery and elevation data.</w:t>
      </w:r>
    </w:p>
    <w:p>
      <w:pPr>
        <w:jc w:val="left"/>
        <w:spacing w:before="0" w:after="100" w:line="360" w:lineRule="auto"/>
        <w:widowControl/>
      </w:pPr>
      <w:r>
        <w:rPr>
          <w:rFonts w:ascii="Times New Roman" w:hAnsi="Times New Roman" w:eastAsia="Times New Roman" w:cs="Times New Roman"/>
          <w:sz w:val="24"/>
          <w:szCs w:val="24"/>
          <w:color w:val="000000"/>
        </w:rPr>
        <w:t xml:space="preserve">3. To develop a transparent multi-criteria model of relative border-outpost suitability.</w:t>
      </w:r>
    </w:p>
    <w:p>
      <w:pPr>
        <w:jc w:val="left"/>
        <w:spacing w:before="0" w:after="100" w:line="360" w:lineRule="auto"/>
        <w:widowControl/>
      </w:pPr>
      <w:r>
        <w:rPr>
          <w:rFonts w:ascii="Times New Roman" w:hAnsi="Times New Roman" w:eastAsia="Times New Roman" w:cs="Times New Roman"/>
          <w:sz w:val="24"/>
          <w:szCs w:val="24"/>
          <w:color w:val="000000"/>
        </w:rPr>
        <w:t xml:space="preserve">4. To assess broad spatial patterns of terrain accessibility and their relationship with modelled suitability.</w:t>
      </w:r>
    </w:p>
    <w:p>
      <w:pPr>
        <w:jc w:val="left"/>
        <w:spacing w:before="0" w:after="100" w:line="360" w:lineRule="auto"/>
        <w:widowControl/>
      </w:pPr>
      <w:r>
        <w:rPr>
          <w:rFonts w:ascii="Times New Roman" w:hAnsi="Times New Roman" w:eastAsia="Times New Roman" w:cs="Times New Roman"/>
          <w:sz w:val="24"/>
          <w:szCs w:val="24"/>
          <w:color w:val="000000"/>
        </w:rPr>
        <w:t xml:space="preserve">5. To evaluate sensitivity to criterion weights, standardisation assumptions and analytical resolution.</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1.4 Research Questions</w:t>
      </w:r>
    </w:p>
    <w:p>
      <w:pPr>
        <w:jc w:val="left"/>
        <w:spacing w:before="0" w:after="100" w:line="360" w:lineRule="auto"/>
        <w:widowControl/>
      </w:pPr>
      <w:r>
        <w:rPr>
          <w:rFonts w:ascii="Times New Roman" w:hAnsi="Times New Roman" w:eastAsia="Times New Roman" w:cs="Times New Roman"/>
          <w:sz w:val="24"/>
          <w:szCs w:val="24"/>
          <w:color w:val="000000"/>
        </w:rPr>
        <w:t xml:space="preserve">1. What are the coverage, quality and limitations of the available spatial datasets?</w:t>
      </w:r>
    </w:p>
    <w:p>
      <w:pPr>
        <w:jc w:val="left"/>
        <w:spacing w:before="0" w:after="100" w:line="360" w:lineRule="auto"/>
        <w:widowControl/>
      </w:pPr>
      <w:r>
        <w:rPr>
          <w:rFonts w:ascii="Times New Roman" w:hAnsi="Times New Roman" w:eastAsia="Times New Roman" w:cs="Times New Roman"/>
          <w:sz w:val="24"/>
          <w:szCs w:val="24"/>
          <w:color w:val="000000"/>
        </w:rPr>
        <w:t xml:space="preserve">2. What land-cover and terrain characteristics occur within the selected study area?</w:t>
      </w:r>
    </w:p>
    <w:p>
      <w:pPr>
        <w:jc w:val="left"/>
        <w:spacing w:before="0" w:after="100" w:line="360" w:lineRule="auto"/>
        <w:widowControl/>
      </w:pPr>
      <w:r>
        <w:rPr>
          <w:rFonts w:ascii="Times New Roman" w:hAnsi="Times New Roman" w:eastAsia="Times New Roman" w:cs="Times New Roman"/>
          <w:sz w:val="24"/>
          <w:szCs w:val="24"/>
          <w:color w:val="000000"/>
        </w:rPr>
        <w:t xml:space="preserve">3. How does relative suitability vary under the stated criteria and weighting scenarios?</w:t>
      </w:r>
    </w:p>
    <w:p>
      <w:pPr>
        <w:jc w:val="left"/>
        <w:spacing w:before="0" w:after="100" w:line="360" w:lineRule="auto"/>
        <w:widowControl/>
      </w:pPr>
      <w:r>
        <w:rPr>
          <w:rFonts w:ascii="Times New Roman" w:hAnsi="Times New Roman" w:eastAsia="Times New Roman" w:cs="Times New Roman"/>
          <w:sz w:val="24"/>
          <w:szCs w:val="24"/>
          <w:color w:val="000000"/>
        </w:rPr>
        <w:t xml:space="preserve">4. How do broad accessibility patterns relate to modelled suitability?</w:t>
      </w:r>
    </w:p>
    <w:p>
      <w:pPr>
        <w:jc w:val="left"/>
        <w:spacing w:before="0" w:after="100" w:line="360" w:lineRule="auto"/>
        <w:widowControl/>
      </w:pPr>
      <w:r>
        <w:rPr>
          <w:rFonts w:ascii="Times New Roman" w:hAnsi="Times New Roman" w:eastAsia="Times New Roman" w:cs="Times New Roman"/>
          <w:sz w:val="24"/>
          <w:szCs w:val="24"/>
          <w:color w:val="000000"/>
        </w:rPr>
        <w:t xml:space="preserve">5. Which results remain stable when weights and other modelling assumptions change?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1.5 Justification of the Study</w:t>
      </w:r>
    </w:p>
    <w:p>
      <w:pPr>
        <w:jc w:val="left"/>
        <w:spacing w:before="0" w:after="100" w:line="360" w:lineRule="auto"/>
        <w:widowControl/>
      </w:pPr>
      <w:r>
        <w:rPr>
          <w:rFonts w:ascii="Times New Roman" w:hAnsi="Times New Roman" w:eastAsia="Times New Roman" w:cs="Times New Roman"/>
          <w:sz w:val="24"/>
          <w:szCs w:val="24"/>
          <w:color w:val="000000"/>
        </w:rPr>
        <w:t xml:space="preserve">The research will demonstrate a manageable integration of remote sensing, GIS and multi-criteria analysis using a desktop workflow. Its value for Remote Sensing and GIS lies in linking imagery interpretation and data quality to the reliability of a subsequent spatial model. The research will also show why sensitivity mapping is necessary alongside a single suitability map.</w:t>
      </w:r>
    </w:p>
    <w:p>
      <w:pPr>
        <w:jc w:val="left"/>
        <w:spacing w:before="0" w:after="100" w:line="360" w:lineRule="auto"/>
        <w:widowControl/>
      </w:pPr>
      <w:r>
        <w:rPr>
          <w:rFonts w:ascii="Times New Roman" w:hAnsi="Times New Roman" w:eastAsia="Times New Roman" w:cs="Times New Roman"/>
          <w:sz w:val="24"/>
          <w:szCs w:val="24"/>
          <w:color w:val="000000"/>
        </w:rPr>
        <w:t xml:space="preserve">The outputs may support initial planning discussions and identify where further investigation would be required. They will not replace land surveys, engineering appraisal, consultation or institutional decisions. The researcher's employment as an Immigration Officer provides professional motivation, but no claim of border-posting experience or privileged operational knowledge forms part of the evidence.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1.6 Scope and Limitations of the Study</w:t>
      </w:r>
    </w:p>
    <w:p>
      <w:pPr>
        <w:jc w:val="left"/>
        <w:spacing w:before="0" w:after="100" w:line="360" w:lineRule="auto"/>
        <w:widowControl/>
      </w:pPr>
      <w:r>
        <w:rPr>
          <w:rFonts w:ascii="Times New Roman" w:hAnsi="Times New Roman" w:eastAsia="Times New Roman" w:cs="Times New Roman"/>
          <w:sz w:val="24"/>
          <w:szCs w:val="24"/>
          <w:color w:val="000000"/>
        </w:rPr>
        <w:t xml:space="preserve">The proposed reporting area comprises Imeko Afon, Yewa North, Yewa South and Ipokia LGAs, as selected in the supplied study-area map. Their complete administrative extents will initially define the assessment domain. Adjacency to the international boundary will be checked geometrically; all four will not automatically be described as directly boundary-adjoining LGAs. Distance to the boundary will provide geographic context, not an assumed operational priority.</w:t>
      </w:r>
    </w:p>
    <w:p>
      <w:pPr>
        <w:jc w:val="left"/>
        <w:spacing w:before="0" w:after="100" w:line="360" w:lineRule="auto"/>
        <w:widowControl/>
      </w:pPr>
      <w:r>
        <w:rPr>
          <w:rFonts w:ascii="Times New Roman" w:hAnsi="Times New Roman" w:eastAsia="Times New Roman" w:cs="Times New Roman"/>
          <w:sz w:val="24"/>
          <w:szCs w:val="24"/>
          <w:color w:val="000000"/>
        </w:rPr>
        <w:t xml:space="preserve">The study will use public secondary data and desktop analysis only. It will not collect interviews, questionnaires, GNSS observations, agency records or information on patrol operations. Existing outpost locations will not be a required model input. Results will concern regional environmental and accessibility screening, not tactical routes, surveillance gaps or individual deployment instructions.</w:t>
      </w:r>
    </w:p>
    <w:p>
      <w:pPr>
        <w:jc w:val="left"/>
        <w:spacing w:before="0" w:after="100" w:line="360" w:lineRule="auto"/>
        <w:widowControl/>
      </w:pPr>
      <w:r>
        <w:rPr>
          <w:rFonts w:ascii="Times New Roman" w:hAnsi="Times New Roman" w:eastAsia="Times New Roman" w:cs="Times New Roman"/>
          <w:sz w:val="24"/>
          <w:szCs w:val="24"/>
          <w:color w:val="000000"/>
        </w:rPr>
        <w:t xml:space="preserve">The principal limitations are temporal mismatch, incomplete road and settlement mapping, imagery interpretation error, elevation-product limitations and absence of field verification. Land tenure, community acceptance, construction cost, flood engineering and operational performance cannot be established from the proposed evidence. Reported suitability will therefore remain conditional on the model and its data coverage.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1.7 Description of the Study Area</w:t>
      </w:r>
    </w:p>
    <w:p>
      <w:pPr>
        <w:jc w:val="left"/>
        <w:spacing w:before="0" w:after="100" w:line="360" w:lineRule="auto"/>
        <w:widowControl/>
      </w:pPr>
      <w:r>
        <w:rPr>
          <w:rFonts w:ascii="Times New Roman" w:hAnsi="Times New Roman" w:eastAsia="Times New Roman" w:cs="Times New Roman"/>
          <w:sz w:val="24"/>
          <w:szCs w:val="24"/>
          <w:color w:val="000000"/>
        </w:rPr>
        <w:t xml:space="preserve">The study focuses on western Ogun State and the selected LGAs shown in the researcher's map. The final spatial description will be derived from checked boundary data and verified published sources. It will report the actual area, coordinate extent, land-cover composition and terrain distribution after these quantities have been calculated.</w:t>
      </w:r>
    </w:p>
    <w:p>
      <w:pPr>
        <w:jc w:val="left"/>
        <w:spacing w:before="0" w:after="100" w:line="360" w:lineRule="auto"/>
        <w:widowControl/>
      </w:pPr>
      <w:r>
        <w:rPr>
          <w:rFonts w:ascii="Times New Roman" w:hAnsi="Times New Roman" w:eastAsia="Times New Roman" w:cs="Times New Roman"/>
          <w:sz w:val="24"/>
          <w:szCs w:val="24"/>
          <w:color w:val="000000"/>
        </w:rPr>
        <w:t xml:space="preserve">Boundary naming, geometry and dataset provenance will be reconciled before analysis. The location map will distinguish the selected reporting area from the international boundary and show Nigeria, Ogun State and the selected LGAs at appropriate scales. Every map frame will have its own verified scale information. The final layout will state the full coordinate reference system and source versions.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1.8 Operational Definition of Key Terms</w:t>
      </w:r>
    </w:p>
    <w:p>
      <w:pPr>
        <w:jc w:val="left"/>
        <w:spacing w:before="0" w:after="100" w:line="360" w:lineRule="auto"/>
        <w:widowControl/>
      </w:pPr>
      <w:r>
        <w:rPr>
          <w:rFonts w:ascii="Times New Roman" w:hAnsi="Times New Roman" w:eastAsia="Times New Roman" w:cs="Times New Roman"/>
          <w:sz w:val="24"/>
          <w:szCs w:val="24"/>
          <w:color w:val="000000"/>
        </w:rPr>
        <w:t xml:space="preserve">Suitability is the relative compatibility of a location with the criteria and assumptions used in the assessment. It is not a probability of successful operation.</w:t>
      </w:r>
    </w:p>
    <w:p>
      <w:pPr>
        <w:jc w:val="left"/>
        <w:spacing w:before="0" w:after="100" w:line="360" w:lineRule="auto"/>
        <w:widowControl/>
      </w:pPr>
      <w:r>
        <w:rPr>
          <w:rFonts w:ascii="Times New Roman" w:hAnsi="Times New Roman" w:eastAsia="Times New Roman" w:cs="Times New Roman"/>
          <w:sz w:val="24"/>
          <w:szCs w:val="24"/>
          <w:color w:val="000000"/>
        </w:rPr>
        <w:t xml:space="preserve">Terrain accessibility denotes a relative description of physical movement conditions and mapped infrastructural access. It does not denote measured journey time, legal access or a recommended route.</w:t>
      </w:r>
    </w:p>
    <w:p>
      <w:pPr>
        <w:jc w:val="left"/>
        <w:spacing w:before="0" w:after="100" w:line="360" w:lineRule="auto"/>
        <w:widowControl/>
      </w:pPr>
      <w:r>
        <w:rPr>
          <w:rFonts w:ascii="Times New Roman" w:hAnsi="Times New Roman" w:eastAsia="Times New Roman" w:cs="Times New Roman"/>
          <w:sz w:val="24"/>
          <w:szCs w:val="24"/>
          <w:color w:val="000000"/>
        </w:rPr>
        <w:t xml:space="preserve">A factor is an attribute that influences relative preference; a constraint is an explicitly justified condition that excludes an area from assessment. Missing data are neither a factor score nor an exclusion criterion.</w:t>
      </w:r>
    </w:p>
    <w:p>
      <w:pPr>
        <w:jc w:val="left"/>
        <w:spacing w:before="0" w:after="100" w:line="360" w:lineRule="auto"/>
        <w:widowControl/>
      </w:pPr>
      <w:r>
        <w:rPr>
          <w:rFonts w:ascii="Times New Roman" w:hAnsi="Times New Roman" w:eastAsia="Times New Roman" w:cs="Times New Roman"/>
          <w:sz w:val="24"/>
          <w:szCs w:val="24"/>
          <w:color w:val="000000"/>
        </w:rPr>
        <w:t xml:space="preserve">Sensitivity analysis examines how outcomes change when assumptions or inputs vary. Desktop assessment denotes research conducted with existing data and computer-based analysis without field data collection.</w:t>
      </w:r>
    </w:p>
    <w:p>
      <w:pPr>
        <w:pStyle w:val="Heading1"/>
        <w:jc w:val="center"/>
        <w:spacing w:before="0" w:after="160" w:line="280" w:lineRule="auto"/>
        <w:widowControl/>
        <w:keepNext/>
        <w:pageBreakBefore/>
      </w:pPr>
      <w:r>
        <w:rPr>
          <w:rFonts w:ascii="Times New Roman" w:hAnsi="Times New Roman" w:eastAsia="Times New Roman" w:cs="Times New Roman"/>
          <w:sz w:val="30"/>
          <w:szCs w:val="30"/>
          <w:color w:val="000000"/>
          <w:b/>
        </w:rPr>
        <w:t xml:space="preserve">CHAPTER TWO</w:t>
      </w:r>
    </w:p>
    <w:p>
      <w:pPr>
        <w:pStyle w:val="Heading1"/>
        <w:jc w:val="center"/>
        <w:spacing w:before="0" w:after="160" w:line="280" w:lineRule="auto"/>
        <w:widowControl/>
        <w:keepNext/>
      </w:pPr>
      <w:r>
        <w:rPr>
          <w:rFonts w:ascii="Times New Roman" w:hAnsi="Times New Roman" w:eastAsia="Times New Roman" w:cs="Times New Roman"/>
          <w:sz w:val="30"/>
          <w:szCs w:val="30"/>
          <w:color w:val="000000"/>
          <w:b/>
        </w:rPr>
        <w:t xml:space="preserve">LITERATURE REVIEW</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2.1 Theoretical and Conceptual Framework</w:t>
      </w:r>
    </w:p>
    <w:p>
      <w:pPr>
        <w:jc w:val="left"/>
        <w:spacing w:before="0" w:after="100" w:line="360" w:lineRule="auto"/>
        <w:widowControl/>
      </w:pPr>
      <w:r>
        <w:rPr>
          <w:rFonts w:ascii="Times New Roman" w:hAnsi="Times New Roman" w:eastAsia="Times New Roman" w:cs="Times New Roman"/>
          <w:sz w:val="24"/>
          <w:szCs w:val="24"/>
          <w:color w:val="000000"/>
        </w:rPr>
        <w:t xml:space="preserve">The study adopts spatial decision support and multi-criteria assessment as its organising framework. GIS handles spatial representation and analysis; decision analysis makes the evaluation rules explicit. The framework comprises data selection, environmental characterisation, criteria definition, standardisation, weighting, aggregation and evaluation. Decisions made at each stage must be traceable because an apparently plausible final map can conceal weaknesses introduced earlier.</w:t>
      </w:r>
    </w:p>
    <w:p>
      <w:pPr>
        <w:jc w:val="left"/>
        <w:spacing w:before="0" w:after="100" w:line="360" w:lineRule="auto"/>
        <w:widowControl/>
      </w:pPr>
      <w:r>
        <w:rPr>
          <w:rFonts w:ascii="Times New Roman" w:hAnsi="Times New Roman" w:eastAsia="Times New Roman" w:cs="Times New Roman"/>
          <w:sz w:val="24"/>
          <w:szCs w:val="24"/>
          <w:color w:val="000000"/>
        </w:rPr>
        <w:t xml:space="preserve">Suitability and accessibility are related but distinct. A location may have favourable physical conditions but poor mapped access, while an accessible location may conflict with existing land uses. The proposed framework will therefore retain the component maps and examine their relationship rather than interpret one composite score as a complete account of feasibility. Physical screening can indicate where further evidence is needed, but cannot establish land availability or institutional preference.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2.2 GIS and Multi-Criteria Suitability Assessment</w:t>
      </w:r>
    </w:p>
    <w:p>
      <w:pPr>
        <w:jc w:val="left"/>
        <w:spacing w:before="0" w:after="100" w:line="360" w:lineRule="auto"/>
        <w:widowControl/>
      </w:pPr>
      <w:r>
        <w:rPr>
          <w:rFonts w:ascii="Times New Roman" w:hAnsi="Times New Roman" w:eastAsia="Times New Roman" w:cs="Times New Roman"/>
          <w:sz w:val="24"/>
          <w:szCs w:val="24"/>
          <w:color w:val="000000"/>
        </w:rPr>
        <w:t xml:space="preserve">Malczewski (2006) reviews GIS-based multi-criteria approaches and their development across application areas. The methodological relevance is the combination of spatially distributed criteria with stated preferences. For this study, the lesson is that the model is a decision aid whose assumptions must be exposed, rather than a mechanism that automatically discovers a uniquely correct location.</w:t>
      </w:r>
    </w:p>
    <w:p>
      <w:pPr>
        <w:jc w:val="left"/>
        <w:spacing w:before="0" w:after="100" w:line="360" w:lineRule="auto"/>
        <w:widowControl/>
      </w:pPr>
      <w:r>
        <w:rPr>
          <w:rFonts w:ascii="Times New Roman" w:hAnsi="Times New Roman" w:eastAsia="Times New Roman" w:cs="Times New Roman"/>
          <w:sz w:val="24"/>
          <w:szCs w:val="24"/>
          <w:color w:val="000000"/>
        </w:rPr>
        <w:t xml:space="preserve">A compensatory aggregation rule permits a favourable score on one factor to offset an unfavourable score on another. This can be appropriate for trade-offs, but not for conditions designated as exclusions. The proposed assessment will therefore maintain a separate eligibility mask and a separate missing-data mask. It will also retain continuous scores so that the interpretation is not controlled solely by a small number of map classes. These are design choices for this research, to be documented before final model production.</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2.3 AHP and the Interpretation of Weights</w:t>
      </w:r>
    </w:p>
    <w:p>
      <w:pPr>
        <w:jc w:val="left"/>
        <w:spacing w:before="0" w:after="100" w:line="360" w:lineRule="auto"/>
        <w:widowControl/>
      </w:pPr>
      <w:r>
        <w:rPr>
          <w:rFonts w:ascii="Times New Roman" w:hAnsi="Times New Roman" w:eastAsia="Times New Roman" w:cs="Times New Roman"/>
          <w:sz w:val="24"/>
          <w:szCs w:val="24"/>
          <w:color w:val="000000"/>
        </w:rPr>
        <w:t xml:space="preserve">Saaty (2008) presents AHP as a measurement approach based on pairwise comparisons and discusses inconsistency in judgments. The method provides a transparent hierarchy of preferences, but does not establish that the preferences accurately represent all affected institutions or communities. A satisfactory consistency ratio concerns the coherence of comparisons, not empirical validity.</w:t>
      </w:r>
    </w:p>
    <w:p>
      <w:pPr>
        <w:jc w:val="left"/>
        <w:spacing w:before="0" w:after="100" w:line="360" w:lineRule="auto"/>
        <w:widowControl/>
      </w:pPr>
      <w:r>
        <w:rPr>
          <w:rFonts w:ascii="Times New Roman" w:hAnsi="Times New Roman" w:eastAsia="Times New Roman" w:cs="Times New Roman"/>
          <w:sz w:val="24"/>
          <w:szCs w:val="24"/>
          <w:color w:val="000000"/>
        </w:rPr>
        <w:t xml:space="preserve">Because no expert survey is planned, the present research will use equal weights as a baseline and researcher-assigned, literature-informed AHP judgments as an alternative. Where evidence does not justify a particular preference, that uncertainty will be retained and tested. Weights from another application will not be imported as universal constants: a criterion's importance for solar-energy development cannot be assumed to represent its importance for border infrastructure.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2.4 Remote Sensing and Environmental Characterisation</w:t>
      </w:r>
    </w:p>
    <w:p>
      <w:pPr>
        <w:jc w:val="left"/>
        <w:spacing w:before="0" w:after="100" w:line="360" w:lineRule="auto"/>
        <w:widowControl/>
      </w:pPr>
      <w:r>
        <w:rPr>
          <w:rFonts w:ascii="Times New Roman" w:hAnsi="Times New Roman" w:eastAsia="Times New Roman" w:cs="Times New Roman"/>
          <w:sz w:val="24"/>
          <w:szCs w:val="24"/>
          <w:color w:val="000000"/>
        </w:rPr>
        <w:t xml:space="preserve">The contribution of remote sensing will be a land-cover characterisation whose provenance and interpretive limits are recorded. Optical imagery describes surface reflectance, while land-cover classes are interpretations of that evidence. Seasonal vegetation, cloud contamination and mixed pixels can complicate separation of cultivated land, open vegetation and built surfaces. The final class scheme must therefore match what can be distinguished reliably, rather than include fine categories merely because they would be convenient for a model.</w:t>
      </w:r>
    </w:p>
    <w:p>
      <w:pPr>
        <w:jc w:val="left"/>
        <w:spacing w:before="0" w:after="100" w:line="360" w:lineRule="auto"/>
        <w:widowControl/>
      </w:pPr>
      <w:r>
        <w:rPr>
          <w:rFonts w:ascii="Times New Roman" w:hAnsi="Times New Roman" w:eastAsia="Times New Roman" w:cs="Times New Roman"/>
          <w:sz w:val="24"/>
          <w:szCs w:val="24"/>
          <w:color w:val="000000"/>
        </w:rPr>
        <w:t xml:space="preserve">ESA WorldCover supplies an existing global land-cover product that can support contextual comparison (European Space Agency, n.d.). It will not be treated as unquestionable local truth, and its observation date will be distinguished from the date of newly selected imagery. Agreement between two remotely sensed products can reflect shared information or shared errors. Consequently, product agreement, independent reference assessment and field validation will remain separate concepts.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2.5 Terrain Accessibility and Scale</w:t>
      </w:r>
    </w:p>
    <w:p>
      <w:pPr>
        <w:jc w:val="left"/>
        <w:spacing w:before="0" w:after="100" w:line="360" w:lineRule="auto"/>
        <w:widowControl/>
      </w:pPr>
      <w:r>
        <w:rPr>
          <w:rFonts w:ascii="Times New Roman" w:hAnsi="Times New Roman" w:eastAsia="Times New Roman" w:cs="Times New Roman"/>
          <w:sz w:val="24"/>
          <w:szCs w:val="24"/>
          <w:color w:val="000000"/>
        </w:rPr>
        <w:t xml:space="preserve">Weiss et al. (2018) integrated large spatial datasets to map travel time to cities globally for 2015. Their study demonstrates that accessibility depends on movement assumptions and destination definitions, rather than distance alone. Its global scope is valuable methodologically, but its scale and urban-access purpose do not establish local outpost accessibility in Ogun State.</w:t>
      </w:r>
    </w:p>
    <w:p>
      <w:pPr>
        <w:jc w:val="left"/>
        <w:spacing w:before="0" w:after="100" w:line="360" w:lineRule="auto"/>
        <w:widowControl/>
      </w:pPr>
      <w:r>
        <w:rPr>
          <w:rFonts w:ascii="Times New Roman" w:hAnsi="Times New Roman" w:eastAsia="Times New Roman" w:cs="Times New Roman"/>
          <w:sz w:val="24"/>
          <w:szCs w:val="24"/>
          <w:color w:val="000000"/>
        </w:rPr>
        <w:t xml:space="preserve">For the present study, mapped road proximity and terrain characteristics will be interpreted as relative indicators. The analysis will not report calibrated travel times without appropriate speed and journey evidence. It will also distinguish native data resolution from output cell size. A finer display grid cannot recover physical detail absent from the original elevation or infrastructure data. Accessibility summaries will therefore be accompanied by information on scale and the completeness of mapped inputs.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2.6 Empirical Studies in Nigeria and the Borderlands</w:t>
      </w:r>
    </w:p>
    <w:p>
      <w:pPr>
        <w:pStyle w:val="Heading3"/>
        <w:jc w:val="left"/>
        <w:spacing w:before="100" w:after="60" w:line="280" w:lineRule="auto"/>
        <w:widowControl/>
        <w:keepNext/>
      </w:pPr>
      <w:r>
        <w:rPr>
          <w:rFonts w:ascii="Times New Roman" w:hAnsi="Times New Roman" w:eastAsia="Times New Roman" w:cs="Times New Roman"/>
          <w:sz w:val="24"/>
          <w:szCs w:val="24"/>
          <w:color w:val="000000"/>
          <w:b/>
        </w:rPr>
        <w:t xml:space="preserve">2.6.1 Infrastructure suitability in Ewekoro</w:t>
      </w:r>
    </w:p>
    <w:p>
      <w:pPr>
        <w:jc w:val="left"/>
        <w:spacing w:before="0" w:after="100" w:line="360" w:lineRule="auto"/>
        <w:widowControl/>
      </w:pPr>
      <w:r>
        <w:rPr>
          <w:rFonts w:ascii="Times New Roman" w:hAnsi="Times New Roman" w:eastAsia="Times New Roman" w:cs="Times New Roman"/>
          <w:sz w:val="24"/>
          <w:szCs w:val="24"/>
          <w:color w:val="000000"/>
        </w:rPr>
        <w:t xml:space="preserve">Adebimpe and Usman (2022) combined GIS and AHP for solar-plant suitability in Ewekoro LGA, Ogun State. Their criteria included roads, transmission lines, slope and land use. The published results classified 15% of the study area as best suitable, 17% as suitable and 68% as unsuitable. The study provides a geographically relevant example of a criteria-to-overlay workflow. Its percentages and preferences are specific to energy infrastructure, however, and provide neither transferable border-outpost weights nor evidence of actual outpost performance. This proposal adapts the principle of explicit multi-criteria assessment, not the original decision rules.</w:t>
      </w:r>
    </w:p>
    <w:p>
      <w:pPr>
        <w:pStyle w:val="Heading3"/>
        <w:jc w:val="left"/>
        <w:spacing w:before="100" w:after="60" w:line="280" w:lineRule="auto"/>
        <w:widowControl/>
        <w:keepNext/>
      </w:pPr>
      <w:r>
        <w:rPr>
          <w:rFonts w:ascii="Times New Roman" w:hAnsi="Times New Roman" w:eastAsia="Times New Roman" w:cs="Times New Roman"/>
          <w:sz w:val="24"/>
          <w:szCs w:val="24"/>
          <w:color w:val="000000"/>
          <w:b/>
        </w:rPr>
        <w:t xml:space="preserve">2.6.2 Infrastructure suitability in Ikorodu</w:t>
      </w:r>
    </w:p>
    <w:p>
      <w:pPr>
        <w:jc w:val="left"/>
        <w:spacing w:before="0" w:after="100" w:line="360" w:lineRule="auto"/>
        <w:widowControl/>
      </w:pPr>
      <w:r>
        <w:rPr>
          <w:rFonts w:ascii="Times New Roman" w:hAnsi="Times New Roman" w:eastAsia="Times New Roman" w:cs="Times New Roman"/>
          <w:sz w:val="24"/>
          <w:szCs w:val="24"/>
          <w:color w:val="000000"/>
        </w:rPr>
        <w:t xml:space="preserve">Onuoha et al. (2025) used GIS–AHP to evaluate photovoltaic-farm suitability in Ikorodu, Lagos State. The article integrates several categories of criteria and reports that 18% of its study area was highly suitable. It also identifies sensitivity analysis as further work. This is relevant because a suitability classification alone does not show how dependent the result is on assigned weights. The present study will include scenario comparison from the outset. The difference in infrastructure purpose remains important: physical or social proxies adopted for photovoltaic facilities will not automatically be appropriate here.</w:t>
      </w:r>
    </w:p>
    <w:p>
      <w:pPr>
        <w:pStyle w:val="Heading3"/>
        <w:jc w:val="left"/>
        <w:spacing w:before="100" w:after="60" w:line="280" w:lineRule="auto"/>
        <w:widowControl/>
        <w:keepNext/>
      </w:pPr>
      <w:r>
        <w:rPr>
          <w:rFonts w:ascii="Times New Roman" w:hAnsi="Times New Roman" w:eastAsia="Times New Roman" w:cs="Times New Roman"/>
          <w:sz w:val="24"/>
          <w:szCs w:val="24"/>
          <w:color w:val="000000"/>
          <w:b/>
        </w:rPr>
        <w:t xml:space="preserve">2.6.3 Migration and integration in rural border communities</w:t>
      </w:r>
    </w:p>
    <w:p>
      <w:pPr>
        <w:jc w:val="left"/>
        <w:spacing w:before="0" w:after="100" w:line="360" w:lineRule="auto"/>
        <w:widowControl/>
      </w:pPr>
      <w:r>
        <w:rPr>
          <w:rFonts w:ascii="Times New Roman" w:hAnsi="Times New Roman" w:eastAsia="Times New Roman" w:cs="Times New Roman"/>
          <w:sz w:val="24"/>
          <w:szCs w:val="24"/>
          <w:color w:val="000000"/>
        </w:rPr>
        <w:t xml:space="preserve">Popoola (2016) examined migrant integration in rural border communities of Ogun and Oyo States using 173 completed household questionnaires. The study highlights socioeconomic and cultural considerations in planning for border communities. Its evidence is contextual rather than a spatial inventory of infrastructure needs. The sampling design and historical period also limit extrapolation to all current residents. For this research, the implication is that settlement layers represent communities with diverse activities; their presence must not be converted into a proxy for unlawful movement.</w:t>
      </w:r>
    </w:p>
    <w:p>
      <w:pPr>
        <w:pStyle w:val="Heading3"/>
        <w:jc w:val="left"/>
        <w:spacing w:before="100" w:after="60" w:line="280" w:lineRule="auto"/>
        <w:widowControl/>
        <w:keepNext/>
      </w:pPr>
      <w:r>
        <w:rPr>
          <w:rFonts w:ascii="Times New Roman" w:hAnsi="Times New Roman" w:eastAsia="Times New Roman" w:cs="Times New Roman"/>
          <w:sz w:val="24"/>
          <w:szCs w:val="24"/>
          <w:color w:val="000000"/>
          <w:b/>
        </w:rPr>
        <w:t xml:space="preserve">2.6.4 Gender and migration in Ipokia</w:t>
      </w:r>
    </w:p>
    <w:p>
      <w:pPr>
        <w:jc w:val="left"/>
        <w:spacing w:before="0" w:after="100" w:line="360" w:lineRule="auto"/>
        <w:widowControl/>
      </w:pPr>
      <w:r>
        <w:rPr>
          <w:rFonts w:ascii="Times New Roman" w:hAnsi="Times New Roman" w:eastAsia="Times New Roman" w:cs="Times New Roman"/>
          <w:sz w:val="24"/>
          <w:szCs w:val="24"/>
          <w:color w:val="000000"/>
        </w:rPr>
        <w:t xml:space="preserve">Popoola et al. (2017) studied 184 migrants in rural communities of Ipokia and identified differences in migration motivations and patterns between men and women. This directly relevant local study demonstrates that mobility has differentiated household and livelihood contexts. It does not provide a calibrated spatial suitability surface, and it does not justify treating terrain as a predictor of migrant behaviour. Its contribution to this proposal is to bound the interpretation of environmental outputs: a GIS model of physical conditions cannot substitute for social research that the present desktop design will not undertake.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2.7 Sensitivity and Uncertainty in Spatial Models</w:t>
      </w:r>
    </w:p>
    <w:p>
      <w:pPr>
        <w:jc w:val="left"/>
        <w:spacing w:before="0" w:after="100" w:line="360" w:lineRule="auto"/>
        <w:widowControl/>
      </w:pPr>
      <w:r>
        <w:rPr>
          <w:rFonts w:ascii="Times New Roman" w:hAnsi="Times New Roman" w:eastAsia="Times New Roman" w:cs="Times New Roman"/>
          <w:sz w:val="24"/>
          <w:szCs w:val="24"/>
          <w:color w:val="000000"/>
        </w:rPr>
        <w:t xml:space="preserve">Ligmann-Zielinska and Jankowski (2014) used spatially explicit uncertainty and sensitivity analysis in a habitat-suitability application. Multiple model runs were summarised to distinguish consistently favourable areas from areas whose apparent suitability was uncertain. The methodological lesson is that instability has a location and should be mapped, not reduced to a single overall statistic. Their habitat-specific criteria are not transferable to this study.</w:t>
      </w:r>
    </w:p>
    <w:p>
      <w:pPr>
        <w:jc w:val="left"/>
        <w:spacing w:before="0" w:after="100" w:line="360" w:lineRule="auto"/>
        <w:widowControl/>
      </w:pPr>
      <w:r>
        <w:rPr>
          <w:rFonts w:ascii="Times New Roman" w:hAnsi="Times New Roman" w:eastAsia="Times New Roman" w:cs="Times New Roman"/>
          <w:sz w:val="24"/>
          <w:szCs w:val="24"/>
          <w:color w:val="000000"/>
        </w:rPr>
        <w:t xml:space="preserve">Jankowski et al. (2023) extend the discussion by considering uncertainty in both criterion values and weights in a geodiversity case study. This is important for the present proposal because varying weights alone leaves classification, standardisation and resolution assumptions unchanged. The proposed MSc analysis will use a manageable set of deterministic scenarios. It will not describe these scenarios as a complete global uncertainty analysis or interpret scenario frequencies as probabilities.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2.8 Accuracy Assessment and Validation</w:t>
      </w:r>
    </w:p>
    <w:p>
      <w:pPr>
        <w:jc w:val="left"/>
        <w:spacing w:before="0" w:after="100" w:line="360" w:lineRule="auto"/>
        <w:widowControl/>
      </w:pPr>
      <w:r>
        <w:rPr>
          <w:rFonts w:ascii="Times New Roman" w:hAnsi="Times New Roman" w:eastAsia="Times New Roman" w:cs="Times New Roman"/>
          <w:sz w:val="24"/>
          <w:szCs w:val="24"/>
          <w:color w:val="000000"/>
        </w:rPr>
        <w:t xml:space="preserve">Olofsson et al. (2014) set out good-practice principles for sampling, reference information and analysis in remote-sensing accuracy assessment. They emphasise reference quality and the consistency of sampling and estimation. For the proposed classification, assessment samples must be separate from training samples and labels must be supported by sufficiently detailed information. Unequal allocation across classes requires an estimator that accounts for the sampling design.</w:t>
      </w:r>
    </w:p>
    <w:p>
      <w:pPr>
        <w:jc w:val="left"/>
        <w:spacing w:before="0" w:after="100" w:line="360" w:lineRule="auto"/>
        <w:widowControl/>
      </w:pPr>
      <w:r>
        <w:rPr>
          <w:rFonts w:ascii="Times New Roman" w:hAnsi="Times New Roman" w:eastAsia="Times New Roman" w:cs="Times New Roman"/>
          <w:sz w:val="24"/>
          <w:szCs w:val="24"/>
          <w:color w:val="000000"/>
        </w:rPr>
        <w:t xml:space="preserve">Validation has several meanings in this proposal. Land-cover assessment concerns map labels; sensitivity analysis concerns model stability; real-world feasibility concerns whether infrastructure could actually be established and function. A classification error matrix cannot validate the final suitability model, and stability across weights cannot prove suitability on the ground. Where independent reference information is inadequate, the research will report interpretation confidence or cross-product agreement rather than an unsupported accuracy claim.</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2.9 Synthesis and Research Gap</w:t>
      </w:r>
    </w:p>
    <w:p>
      <w:pPr>
        <w:jc w:val="left"/>
        <w:spacing w:before="0" w:after="100" w:line="360" w:lineRule="auto"/>
        <w:widowControl/>
      </w:pPr>
      <w:r>
        <w:rPr>
          <w:rFonts w:ascii="Times New Roman" w:hAnsi="Times New Roman" w:eastAsia="Times New Roman" w:cs="Times New Roman"/>
          <w:sz w:val="24"/>
          <w:szCs w:val="24"/>
          <w:color w:val="000000"/>
        </w:rPr>
        <w:t xml:space="preserve">The reviewed studies establish three complementary bodies of evidence: Nigerian GIS applications demonstrate multi-criteria workflows; borderland research provides social context; and methodological research explains spatial uncertainty and map assessment. The selected sources do not constitute evidence that no previous border-suitability study exists. The defensible gap is narrower: the proposed research will examine how public environmental data and explicit modelling choices affect a reproducible desktop screening assessment for the selected Ogun State area.</w:t>
      </w:r>
    </w:p>
    <w:p>
      <w:pPr>
        <w:jc w:val="left"/>
        <w:spacing w:before="0" w:after="100" w:line="360" w:lineRule="auto"/>
        <w:widowControl/>
      </w:pPr>
      <w:r>
        <w:rPr>
          <w:rFonts w:ascii="Times New Roman" w:hAnsi="Times New Roman" w:eastAsia="Times New Roman" w:cs="Times New Roman"/>
          <w:sz w:val="24"/>
          <w:szCs w:val="24"/>
          <w:color w:val="000000"/>
        </w:rPr>
        <w:t xml:space="preserve">The contribution will be the documented connection between input quality, remotely sensed land cover, weighting assumptions and the spatial stability of outputs. It is an application and evaluation contribution, not a claim to invent AHP or to prove an operational deployment strategy. The literature will be updated during the thesis, with particular attention to studies that could change the criteria rationale or weaken the proposed gap.</w:t>
      </w:r>
    </w:p>
    <w:p>
      <w:pPr>
        <w:pStyle w:val="Heading1"/>
        <w:jc w:val="center"/>
        <w:spacing w:before="0" w:after="160" w:line="280" w:lineRule="auto"/>
        <w:widowControl/>
        <w:keepNext/>
        <w:pageBreakBefore/>
      </w:pPr>
      <w:r>
        <w:rPr>
          <w:rFonts w:ascii="Times New Roman" w:hAnsi="Times New Roman" w:eastAsia="Times New Roman" w:cs="Times New Roman"/>
          <w:sz w:val="30"/>
          <w:szCs w:val="30"/>
          <w:color w:val="000000"/>
          <w:b/>
        </w:rPr>
        <w:t xml:space="preserve">CHAPTER THREE</w:t>
      </w:r>
    </w:p>
    <w:p>
      <w:pPr>
        <w:pStyle w:val="Heading1"/>
        <w:jc w:val="center"/>
        <w:spacing w:before="0" w:after="160" w:line="280" w:lineRule="auto"/>
        <w:widowControl/>
        <w:keepNext/>
      </w:pPr>
      <w:r>
        <w:rPr>
          <w:rFonts w:ascii="Times New Roman" w:hAnsi="Times New Roman" w:eastAsia="Times New Roman" w:cs="Times New Roman"/>
          <w:sz w:val="30"/>
          <w:szCs w:val="30"/>
          <w:color w:val="000000"/>
          <w:b/>
        </w:rPr>
        <w:t xml:space="preserve">RESEARCH METHODOLOGY</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3.1 Research Design</w:t>
      </w:r>
    </w:p>
    <w:p>
      <w:pPr>
        <w:jc w:val="left"/>
        <w:spacing w:before="0" w:after="100" w:line="360" w:lineRule="auto"/>
        <w:widowControl/>
      </w:pPr>
      <w:r>
        <w:rPr>
          <w:rFonts w:ascii="Times New Roman" w:hAnsi="Times New Roman" w:eastAsia="Times New Roman" w:cs="Times New Roman"/>
          <w:sz w:val="24"/>
          <w:szCs w:val="24"/>
          <w:color w:val="000000"/>
        </w:rPr>
        <w:t xml:space="preserve">A quantitative desktop geospatial design will be adopted. Public secondary datasets will be processed in QGIS and evaluated through alternative modelling scenarios. The unit of analysis will be an aligned raster cell within the verified study domain; LGA summaries will support reporting. No human-participant recruitment or collection of internal institutional data is planned.</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3.2 Data Requirements and Sources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200"/>
        <w:gridCol w:w="2600"/>
        <w:gridCol w:w="4226"/>
      </w:tblGrid>
      <w:tr>
        <w:trPr>
          <w:cantSplit/>
          <w:tblHeader/>
        </w:trPr>
        <w:tc>
          <w:tcPr>
            <w:tcW w:w="2200" w:type="dxa"/>
            <w:vAlign w:val="center"/>
            <w:shd w:fill="E7E6E6" w:val="clear"/>
          </w:tcPr>
          <w:p>
            <w:pPr>
              <w:jc w:val="left"/>
              <w:spacing w:after="0" w:line="260" w:lineRule="auto"/>
              <w:widowControl/>
            </w:pPr>
            <w:r>
              <w:rPr>
                <w:rFonts w:ascii="Times New Roman" w:hAnsi="Times New Roman" w:eastAsia="Times New Roman" w:cs="Times New Roman"/>
                <w:sz w:val="22"/>
                <w:szCs w:val="22"/>
                <w:color w:val="000000"/>
                <w:b/>
              </w:rPr>
              <w:t xml:space="preserve">Dataset</w:t>
            </w:r>
          </w:p>
        </w:tc>
        <w:tc>
          <w:tcPr>
            <w:tcW w:w="2600" w:type="dxa"/>
            <w:vAlign w:val="center"/>
            <w:shd w:fill="E7E6E6" w:val="clear"/>
          </w:tcPr>
          <w:p>
            <w:pPr>
              <w:jc w:val="left"/>
              <w:spacing w:after="0" w:line="260" w:lineRule="auto"/>
              <w:widowControl/>
            </w:pPr>
            <w:r>
              <w:rPr>
                <w:rFonts w:ascii="Times New Roman" w:hAnsi="Times New Roman" w:eastAsia="Times New Roman" w:cs="Times New Roman"/>
                <w:sz w:val="22"/>
                <w:szCs w:val="22"/>
                <w:color w:val="000000"/>
                <w:b/>
              </w:rPr>
              <w:t xml:space="preserve">Proposed source</w:t>
            </w:r>
          </w:p>
        </w:tc>
        <w:tc>
          <w:tcPr>
            <w:tcW w:w="4226" w:type="dxa"/>
            <w:vAlign w:val="center"/>
            <w:shd w:fill="E7E6E6" w:val="clear"/>
          </w:tcPr>
          <w:p>
            <w:pPr>
              <w:jc w:val="left"/>
              <w:spacing w:after="0" w:line="260" w:lineRule="auto"/>
              <w:widowControl/>
            </w:pPr>
            <w:r>
              <w:rPr>
                <w:rFonts w:ascii="Times New Roman" w:hAnsi="Times New Roman" w:eastAsia="Times New Roman" w:cs="Times New Roman"/>
                <w:sz w:val="22"/>
                <w:szCs w:val="22"/>
                <w:color w:val="000000"/>
                <w:b/>
              </w:rPr>
              <w:t xml:space="preserve">Role and checks</w:t>
            </w:r>
          </w:p>
        </w:tc>
      </w:tr>
      <w:tr>
        <w:trPr>
          <w:cantSplit/>
        </w:trPr>
        <w:tc>
          <w:tcPr>
            <w:tcW w:w="2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Administrative boundaries</w:t>
            </w:r>
          </w:p>
        </w:tc>
        <w:tc>
          <w:tcPr>
            <w:tcW w:w="26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GRID3 Nigeria; a documented alternative if necessary</w:t>
            </w:r>
          </w:p>
        </w:tc>
        <w:tc>
          <w:tcPr>
            <w:tcW w:w="42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Study extent and reporting units; verify names, geometry, release and adjacency</w:t>
            </w:r>
          </w:p>
        </w:tc>
      </w:tr>
      <w:tr>
        <w:trPr>
          <w:cantSplit/>
        </w:trPr>
        <w:tc>
          <w:tcPr>
            <w:tcW w:w="2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Optical imagery</w:t>
            </w:r>
          </w:p>
        </w:tc>
        <w:tc>
          <w:tcPr>
            <w:tcW w:w="26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Copernicus Sentinel-2 Level-2A</w:t>
            </w:r>
          </w:p>
        </w:tc>
        <w:tc>
          <w:tcPr>
            <w:tcW w:w="42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Land-cover interpretation; record bands, dates, cloud masks and product metadata</w:t>
            </w:r>
          </w:p>
        </w:tc>
      </w:tr>
      <w:tr>
        <w:trPr>
          <w:cantSplit/>
        </w:trPr>
        <w:tc>
          <w:tcPr>
            <w:tcW w:w="2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Elevation</w:t>
            </w:r>
          </w:p>
        </w:tc>
        <w:tc>
          <w:tcPr>
            <w:tcW w:w="26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NASA SRTMGL1 V003</w:t>
            </w:r>
          </w:p>
        </w:tc>
        <w:tc>
          <w:tcPr>
            <w:tcW w:w="42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Terrain characterisation; inspect voids, units, surface effects and acquisition age</w:t>
            </w:r>
          </w:p>
        </w:tc>
      </w:tr>
      <w:tr>
        <w:trPr>
          <w:cantSplit/>
        </w:trPr>
        <w:tc>
          <w:tcPr>
            <w:tcW w:w="2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Roads and settlements</w:t>
            </w:r>
          </w:p>
        </w:tc>
        <w:tc>
          <w:tcPr>
            <w:tcW w:w="26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OpenStreetMap via Geofabrik; relevant GRID3 products</w:t>
            </w:r>
          </w:p>
        </w:tc>
        <w:tc>
          <w:tcPr>
            <w:tcW w:w="42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Public infrastructure context; check duplicates, completeness and date</w:t>
            </w:r>
          </w:p>
        </w:tc>
      </w:tr>
      <w:tr>
        <w:trPr>
          <w:cantSplit/>
        </w:trPr>
        <w:tc>
          <w:tcPr>
            <w:tcW w:w="2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Land-cover comparison</w:t>
            </w:r>
          </w:p>
        </w:tc>
        <w:tc>
          <w:tcPr>
            <w:tcW w:w="26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ESA WorldCover 2021 v200</w:t>
            </w:r>
          </w:p>
        </w:tc>
        <w:tc>
          <w:tcPr>
            <w:tcW w:w="42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Contextual comparison; reconcile class definitions and observation periods</w:t>
            </w:r>
          </w:p>
        </w:tc>
      </w:tr>
      <w:tr>
        <w:trPr>
          <w:cantSplit/>
        </w:trPr>
        <w:tc>
          <w:tcPr>
            <w:tcW w:w="2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Desktop reference evidence</w:t>
            </w:r>
          </w:p>
        </w:tc>
        <w:tc>
          <w:tcPr>
            <w:tcW w:w="26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Publicly accessible imagery with documented date and permitted use</w:t>
            </w:r>
          </w:p>
        </w:tc>
        <w:tc>
          <w:tcPr>
            <w:tcW w:w="42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Independent assessment only when detail and temporal suitability are adequate</w:t>
            </w:r>
          </w:p>
        </w:tc>
      </w:tr>
    </w:tbl>
    <w:p>
      <w:pPr>
        <w:jc w:val="left"/>
        <w:spacing w:before="0" w:after="60" w:line="100" w:lineRule="auto"/>
        <w:widowControl/>
      </w:pPr>
      <w:r>
        <w:rPr>
          <w:rFonts w:ascii="Times New Roman" w:hAnsi="Times New Roman" w:eastAsia="Times New Roman" w:cs="Times New Roman"/>
          <w:sz w:val="4"/>
          <w:szCs w:val="4"/>
          <w:color w:val="000000"/>
        </w:rPr>
        <w:t xml:space="preserve"/>
      </w:r>
    </w:p>
    <w:p>
      <w:pPr>
        <w:jc w:val="left"/>
        <w:spacing w:before="0" w:after="100" w:line="360" w:lineRule="auto"/>
        <w:widowControl/>
      </w:pPr>
      <w:r>
        <w:rPr>
          <w:rFonts w:ascii="Times New Roman" w:hAnsi="Times New Roman" w:eastAsia="Times New Roman" w:cs="Times New Roman"/>
          <w:sz w:val="24"/>
          <w:szCs w:val="24"/>
          <w:color w:val="000000"/>
        </w:rPr>
        <w:t xml:space="preserve">GRID3 (n.d.) lists Nigerian spatial products, while Geofabrik (n.d.) provides downloadable OpenStreetMap extracts. The exact releases will be entered in a data register after acquisition. SRTMGL1 V003 is an approximately 30 m elevation product derived principally from the February 2000 mission (NASA JPL, 2013). These dates will not be represented as contemporary observations of all surface conditions.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3.3 Study Extent and Data Preparation</w:t>
      </w:r>
    </w:p>
    <w:p>
      <w:pPr>
        <w:jc w:val="left"/>
        <w:spacing w:before="0" w:after="100" w:line="360" w:lineRule="auto"/>
        <w:widowControl/>
      </w:pPr>
      <w:r>
        <w:rPr>
          <w:rFonts w:ascii="Times New Roman" w:hAnsi="Times New Roman" w:eastAsia="Times New Roman" w:cs="Times New Roman"/>
          <w:sz w:val="24"/>
          <w:szCs w:val="24"/>
          <w:color w:val="000000"/>
        </w:rPr>
        <w:t xml:space="preserve">The four selected LGA polygons will be checked for valid geometry, overlaps, gaps and consistent names. Their relationship with the international boundary will be inspected. The full selected area will be retained as the reporting domain; proximity-to-boundary summaries will clarify its geography without pretending that all cells lie directly on the border.</w:t>
      </w:r>
    </w:p>
    <w:p>
      <w:pPr>
        <w:jc w:val="left"/>
        <w:spacing w:before="0" w:after="100" w:line="360" w:lineRule="auto"/>
        <w:widowControl/>
      </w:pPr>
      <w:r>
        <w:rPr>
          <w:rFonts w:ascii="Times New Roman" w:hAnsi="Times New Roman" w:eastAsia="Times New Roman" w:cs="Times New Roman"/>
          <w:sz w:val="24"/>
          <w:szCs w:val="24"/>
          <w:color w:val="000000"/>
        </w:rPr>
        <w:t xml:space="preserve">WGS 84 / UTM zone 31N is the proposed projected coordinate reference system, subject to confirmation against the checked extent. Distances and areas will be calculated in metric units. A provisional 30 m grid will be used for combined analysis, with a common origin, extent and cell alignment. Land-cover classification may use a finer grid before aggregation. Continuous elevation data will use an appropriate continuous-data resampling method; class rasters will use nearest-neighbour or documented majority aggregation as appropriate.</w:t>
      </w:r>
    </w:p>
    <w:p>
      <w:pPr>
        <w:jc w:val="left"/>
        <w:spacing w:before="0" w:after="100" w:line="360" w:lineRule="auto"/>
        <w:widowControl/>
      </w:pPr>
      <w:r>
        <w:rPr>
          <w:rFonts w:ascii="Times New Roman" w:hAnsi="Times New Roman" w:eastAsia="Times New Roman" w:cs="Times New Roman"/>
          <w:sz w:val="24"/>
          <w:szCs w:val="24"/>
          <w:color w:val="000000"/>
        </w:rPr>
        <w:t xml:space="preserve">Processing margins will be retained when calculating terrain derivatives and proximity measures so that clipping does not remove relevant nearby features. Final outputs will be clipped to the study domain. NoData will be distinguished from low scores and from explicit exclusions. For every dataset, the register will record source URL, product ID, observation period, download date, licence, native resolution, coordinate reference system and processing history.</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3.4 Software and Project Organisation</w:t>
      </w:r>
    </w:p>
    <w:p>
      <w:pPr>
        <w:jc w:val="left"/>
        <w:spacing w:before="0" w:after="100" w:line="360" w:lineRule="auto"/>
        <w:widowControl/>
      </w:pPr>
      <w:r>
        <w:rPr>
          <w:rFonts w:ascii="Times New Roman" w:hAnsi="Times New Roman" w:eastAsia="Times New Roman" w:cs="Times New Roman"/>
          <w:sz w:val="24"/>
          <w:szCs w:val="24"/>
          <w:color w:val="000000"/>
        </w:rPr>
        <w:t xml:space="preserve">QGIS will be used for data preparation, analysis and map production. The installed QGIS build and provider versions will be recorded at the start of analysis. Required plugin compatibility will be tested before the workflow is fixed; no dependency on a particular unverified plugin version is assumed. Core raster calculation, reprojection and terrain-processing functions are documented by QGIS.org (n.d.).</w:t>
      </w:r>
    </w:p>
    <w:p>
      <w:pPr>
        <w:jc w:val="left"/>
        <w:spacing w:before="0" w:after="100" w:line="360" w:lineRule="auto"/>
        <w:widowControl/>
      </w:pPr>
      <w:r>
        <w:rPr>
          <w:rFonts w:ascii="Times New Roman" w:hAnsi="Times New Roman" w:eastAsia="Times New Roman" w:cs="Times New Roman"/>
          <w:sz w:val="24"/>
          <w:szCs w:val="24"/>
          <w:color w:val="000000"/>
        </w:rPr>
        <w:t xml:space="preserve">Raw data will remain unchanged. Separate folders will contain prepared layers, classification samples, scenarios, maps and metadata. Vector data will be organised in GeoPackage format where practicable, with raster outputs retained as GeoTIFF. Saved processing settings and a short run log will make each scenario reproducible.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3.5 Remote-Sensing Analysis</w:t>
      </w:r>
    </w:p>
    <w:p>
      <w:pPr>
        <w:jc w:val="left"/>
        <w:spacing w:before="0" w:after="100" w:line="360" w:lineRule="auto"/>
        <w:widowControl/>
      </w:pPr>
      <w:r>
        <w:rPr>
          <w:rFonts w:ascii="Times New Roman" w:hAnsi="Times New Roman" w:eastAsia="Times New Roman" w:cs="Times New Roman"/>
          <w:sz w:val="24"/>
          <w:szCs w:val="24"/>
          <w:color w:val="000000"/>
        </w:rPr>
        <w:t xml:space="preserve">Sentinel-2 Level-2A images will be selected from a consistent recent seasonal window preceding analysis. Exact dates will depend on coverage and usable cloud-free observations within the study area. Scene-level cloud percentages will be supplemented by local inspection and masking of clouds and shadows. The final composite will document how gaps and residual contamination were handled.</w:t>
      </w:r>
    </w:p>
    <w:p>
      <w:pPr>
        <w:jc w:val="left"/>
        <w:spacing w:before="0" w:after="100" w:line="360" w:lineRule="auto"/>
        <w:widowControl/>
      </w:pPr>
      <w:r>
        <w:rPr>
          <w:rFonts w:ascii="Times New Roman" w:hAnsi="Times New Roman" w:eastAsia="Times New Roman" w:cs="Times New Roman"/>
          <w:sz w:val="24"/>
          <w:szCs w:val="24"/>
          <w:color w:val="000000"/>
        </w:rPr>
        <w:t xml:space="preserve">A broad land-cover scheme will be tested using spectrally separable classes. Candidate classes are built-up land, woody vegetation, cultivated or open vegetation, bare surfaces and water. Classes that cannot be reliably separated will be merged with justification. Bands and derived indices, where used, will be documented. A supervised classifier available through a compatible QGIS workflow will be selected after a small pilot; the classifier, settings and training sample counts will then be fixed and reported. The Semi-Automatic Classification Plugin is one candidate implementation (QGIS Plugins, n.d.).</w:t>
      </w:r>
    </w:p>
    <w:p>
      <w:pPr>
        <w:jc w:val="left"/>
        <w:spacing w:before="0" w:after="100" w:line="360" w:lineRule="auto"/>
        <w:widowControl/>
      </w:pPr>
      <w:r>
        <w:rPr>
          <w:rFonts w:ascii="Times New Roman" w:hAnsi="Times New Roman" w:eastAsia="Times New Roman" w:cs="Times New Roman"/>
          <w:sz w:val="24"/>
          <w:szCs w:val="24"/>
          <w:color w:val="000000"/>
        </w:rPr>
        <w:t xml:space="preserve">Training labels will be interpreted from public imagery rather than presented as field observations. Assessment locations will be selected separately, with spatial separation from training areas where feasible. Class-based stratified sampling will ensure that uncommon classes are represented. A pilot will inform sample size and practical interpretation effort; final allocation and inclusion probabilities will be recorded before assessment. Where adequate independent reference data exist, area-weighted error estimates, overall accuracy, user's accuracy and producer's accuracy will be reported with uncertainty appropriate to the sampling design.</w:t>
      </w:r>
    </w:p>
    <w:p>
      <w:pPr>
        <w:jc w:val="left"/>
        <w:spacing w:before="0" w:after="100" w:line="360" w:lineRule="auto"/>
        <w:widowControl/>
      </w:pPr>
      <w:r>
        <w:rPr>
          <w:rFonts w:ascii="Times New Roman" w:hAnsi="Times New Roman" w:eastAsia="Times New Roman" w:cs="Times New Roman"/>
          <w:sz w:val="24"/>
          <w:szCs w:val="24"/>
          <w:color w:val="000000"/>
        </w:rPr>
        <w:t xml:space="preserve">If reference detail or dates are inadequate, ambiguous locations will be recorded rather than silently removed. The research will use an interpretation-confidence assessment and clearly labelled comparison with WorldCover where appropriate. It will not report ground-truth accuracy without supporting reference evidence. Uncertain or merged classes will also be reflected in suitability scenarios.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3.6 Criteria and Weighting</w:t>
      </w:r>
    </w:p>
    <w:p>
      <w:pPr>
        <w:jc w:val="left"/>
        <w:spacing w:before="0" w:after="100" w:line="360" w:lineRule="auto"/>
        <w:widowControl/>
      </w:pPr>
      <w:r>
        <w:rPr>
          <w:rFonts w:ascii="Times New Roman" w:hAnsi="Times New Roman" w:eastAsia="Times New Roman" w:cs="Times New Roman"/>
          <w:sz w:val="24"/>
          <w:szCs w:val="24"/>
          <w:color w:val="000000"/>
        </w:rPr>
        <w:t xml:space="preserve">The criteria will describe general environmental compatibility and mapped infrastructural access. Candidate dimensions include terrain conditions, broad land cover and proximity to mapped public infrastructure. Each will have a written rationale, direction of preference, source, standardisation rule and limitation. No weights, exclusion distances or physical thresholds will be presented as institutional standards unless an applicable published standard has been verified.</w:t>
      </w:r>
    </w:p>
    <w:p>
      <w:pPr>
        <w:jc w:val="left"/>
        <w:spacing w:before="0" w:after="100" w:line="360" w:lineRule="auto"/>
        <w:widowControl/>
      </w:pPr>
      <w:r>
        <w:rPr>
          <w:rFonts w:ascii="Times New Roman" w:hAnsi="Times New Roman" w:eastAsia="Times New Roman" w:cs="Times New Roman"/>
          <w:sz w:val="24"/>
          <w:szCs w:val="24"/>
          <w:color w:val="000000"/>
        </w:rPr>
        <w:t xml:space="preserve">The final criteria register will be completed before the principal model runs. Correlated or conceptually overlapping indicators will be examined to avoid repeated representation of the same property. Conditional preferences will be documented where closer proximity is not necessarily always preferable. Land-cover membership will not establish land ownership or construction permission.</w:t>
      </w:r>
    </w:p>
    <w:p>
      <w:pPr>
        <w:jc w:val="left"/>
        <w:spacing w:before="0" w:after="100" w:line="360" w:lineRule="auto"/>
        <w:widowControl/>
      </w:pPr>
      <w:r>
        <w:rPr>
          <w:rFonts w:ascii="Times New Roman" w:hAnsi="Times New Roman" w:eastAsia="Times New Roman" w:cs="Times New Roman"/>
          <w:sz w:val="24"/>
          <w:szCs w:val="24"/>
          <w:color w:val="000000"/>
        </w:rPr>
        <w:t xml:space="preserve">An equal-weight baseline will assign each retained factor the same importance. A second scenario will use a reciprocal AHP matrix, with researcher-assigned judgments supported by the reviewed evidence. Weights will be normalised to sum to one. The largest eigenvalue, consistency index and consistency ratio will be recorded; a ratio below 0.10 will be used as a conventional consistency screen, not proof of correctness. If comparisons are revised, the original judgments and substantive reasons for revision will be retained. Unsupported rankings will remain uncertain rather than being adjusted solely to obtain a desirable map (Saaty, 2008).</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3.7 Suitability and Accessibility Outputs</w:t>
      </w:r>
    </w:p>
    <w:p>
      <w:pPr>
        <w:jc w:val="left"/>
        <w:spacing w:before="0" w:after="100" w:line="360" w:lineRule="auto"/>
        <w:widowControl/>
      </w:pPr>
      <w:r>
        <w:rPr>
          <w:rFonts w:ascii="Times New Roman" w:hAnsi="Times New Roman" w:eastAsia="Times New Roman" w:cs="Times New Roman"/>
          <w:sz w:val="24"/>
          <w:szCs w:val="24"/>
          <w:color w:val="000000"/>
        </w:rPr>
        <w:t xml:space="preserve">Standardised factor scores will be combined by a weighted linear combination within the eligible, data-covered area. The score is the sum of each factor score multiplied by its normalised weight. Explicit exclusions and missing data will be represented separately. Scores will be interpreted relatively, with no claim that a numerical value measures operational success.</w:t>
      </w:r>
    </w:p>
    <w:p>
      <w:pPr>
        <w:jc w:val="left"/>
        <w:spacing w:before="0" w:after="100" w:line="360" w:lineRule="auto"/>
        <w:widowControl/>
      </w:pPr>
      <w:r>
        <w:rPr>
          <w:rFonts w:ascii="Times New Roman" w:hAnsi="Times New Roman" w:eastAsia="Times New Roman" w:cs="Times New Roman"/>
          <w:sz w:val="24"/>
          <w:szCs w:val="24"/>
          <w:color w:val="000000"/>
        </w:rPr>
        <w:t xml:space="preserve">The continuous index will be retained. For communication, low, moderate and high classes will use documented fixed thresholds applied identically across comparable scenarios. Class area and percentage will be calculated using the eligible domain as the stated denominator; excluded and unassessed areas will be reported separately.</w:t>
      </w:r>
    </w:p>
    <w:p>
      <w:pPr>
        <w:jc w:val="left"/>
        <w:spacing w:before="0" w:after="100" w:line="360" w:lineRule="auto"/>
        <w:widowControl/>
      </w:pPr>
      <w:r>
        <w:rPr>
          <w:rFonts w:ascii="Times New Roman" w:hAnsi="Times New Roman" w:eastAsia="Times New Roman" w:cs="Times New Roman"/>
          <w:sz w:val="24"/>
          <w:szCs w:val="24"/>
          <w:color w:val="000000"/>
        </w:rPr>
        <w:t xml:space="preserve">Terrain and public infrastructure layers will also be summarised as broad accessibility indicators. This component will describe relative conditions, not calibrated travel times or recommended patrol pathways. Joint summaries of accessibility and suitability will be interpreted cautiously where the outputs share input variables. Such relationships will not be described as independent validation.</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3.8 Sensitivity Analysis and Evaluation</w:t>
      </w:r>
    </w:p>
    <w:p>
      <w:pPr>
        <w:jc w:val="left"/>
        <w:spacing w:before="0" w:after="100" w:line="360" w:lineRule="auto"/>
        <w:widowControl/>
      </w:pPr>
      <w:r>
        <w:rPr>
          <w:rFonts w:ascii="Times New Roman" w:hAnsi="Times New Roman" w:eastAsia="Times New Roman" w:cs="Times New Roman"/>
          <w:sz w:val="24"/>
          <w:szCs w:val="24"/>
          <w:color w:val="000000"/>
        </w:rPr>
        <w:t xml:space="preserve">The equal-weight and AHP results will be compared first. A deterministic one-at-a-time analysis will then vary each factor weight by relative changes of minus 20%, minus 10%, plus 10% and plus 20%, proportionately renormalising the remaining weights. These are proposed experimental perturbations rather than confidence intervals. Additional scenarios will test plausible class-scoring choices and a 60 m analytical grid. Where computationally feasible, a small set of joint weight changes will supplement the local tests.</w:t>
      </w:r>
    </w:p>
    <w:p>
      <w:pPr>
        <w:jc w:val="left"/>
        <w:spacing w:before="0" w:after="100" w:line="360" w:lineRule="auto"/>
        <w:widowControl/>
      </w:pPr>
      <w:r>
        <w:rPr>
          <w:rFonts w:ascii="Times New Roman" w:hAnsi="Times New Roman" w:eastAsia="Times New Roman" w:cs="Times New Roman"/>
          <w:sz w:val="24"/>
          <w:szCs w:val="24"/>
          <w:color w:val="000000"/>
        </w:rPr>
        <w:t xml:space="preserve">Results will include changes in class area, spatial agreement and score differences. The overlap of high-suitability classes will be measured consistently across scenarios, with undefined empty-set cases reported explicitly. A persistence map will show the proportion of the tested scenarios in which each cell retains its higher suitability classification. That proportion describes the chosen scenario set; it is not a probability that an outpost would succeed. Maps of stable and unstable outcomes will follow the spatial emphasis of Ligmann-Zielinska and Jankowski (2014), while tests of value and resolution assumptions acknowledge the broader uncertainty considered by Jankowski et al. (2023).</w:t>
      </w:r>
    </w:p>
    <w:p>
      <w:pPr>
        <w:jc w:val="left"/>
        <w:spacing w:before="0" w:after="100" w:line="360" w:lineRule="auto"/>
        <w:widowControl/>
      </w:pPr>
      <w:r>
        <w:rPr>
          <w:rFonts w:ascii="Times New Roman" w:hAnsi="Times New Roman" w:eastAsia="Times New Roman" w:cs="Times New Roman"/>
          <w:sz w:val="24"/>
          <w:szCs w:val="24"/>
          <w:color w:val="000000"/>
        </w:rPr>
        <w:t xml:space="preserve">Input-map assessment, model sensitivity and external feasibility will be reported separately. No ROC-AUC test of operational effectiveness will be proposed without a defensible independent outcome dataset. The absence of field evidence will remain a limitation even if the model is internally consistent and stable.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3.9 Workflow and Research Integrity</w:t>
      </w:r>
    </w:p>
    <w:p>
      <w:pPr>
        <w:jc w:val="left"/>
        <w:spacing w:before="0" w:after="100" w:line="360" w:lineRule="auto"/>
        <w:widowControl/>
      </w:pPr>
      <w:r>
        <w:rPr>
          <w:rFonts w:ascii="Times New Roman" w:hAnsi="Times New Roman" w:eastAsia="Times New Roman" w:cs="Times New Roman"/>
          <w:sz w:val="24"/>
          <w:szCs w:val="24"/>
          <w:color w:val="000000"/>
        </w:rPr>
        <w:t xml:space="preserve">The workflow will proceed through boundary verification, data acquisition, quality assessment, imagery preparation, land-cover interpretation, terrain characterisation, criteria documentation, scenario modelling, sensitivity evaluation and cartographic reporting. Any failed quality check will be recorded with its consequence for interpretation.</w:t>
      </w:r>
    </w:p>
    <w:p>
      <w:pPr>
        <w:jc w:val="left"/>
        <w:spacing w:before="0" w:after="100" w:line="360" w:lineRule="auto"/>
        <w:widowControl/>
      </w:pPr>
      <w:r>
        <w:rPr>
          <w:rFonts w:ascii="Times New Roman" w:hAnsi="Times New Roman" w:eastAsia="Times New Roman" w:cs="Times New Roman"/>
          <w:sz w:val="24"/>
          <w:szCs w:val="24"/>
          <w:color w:val="000000"/>
        </w:rPr>
        <w:t xml:space="preserve">Public data licences and attribution will be observed, including OpenStreetMap attribution (OpenStreetMap contributors, n.d.). The research will not infer personal status, unlawful activity or community risk from settlement or land-cover patterns. The final report will distinguish evidence from assumptions and will not portray hypothetical model outcomes as completed findings.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3.10 Expected Outputs and Work Programme</w:t>
      </w:r>
    </w:p>
    <w:p>
      <w:pPr>
        <w:jc w:val="left"/>
        <w:spacing w:before="0" w:after="100" w:line="360" w:lineRule="auto"/>
        <w:widowControl/>
      </w:pPr>
      <w:r>
        <w:rPr>
          <w:rFonts w:ascii="Times New Roman" w:hAnsi="Times New Roman" w:eastAsia="Times New Roman" w:cs="Times New Roman"/>
          <w:sz w:val="24"/>
          <w:szCs w:val="24"/>
          <w:color w:val="000000"/>
        </w:rPr>
        <w:t xml:space="preserve">The expected outputs are a documented spatial database, a land-cover assessment, terrain and accessibility summaries, relative suitability maps, sensitivity maps, and a reproducible QGIS project with a processing log. The final thesis will discuss where the evidence supports interpretation and where additional investigation would be needed.</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00"/>
        <w:gridCol w:w="4200"/>
        <w:gridCol w:w="3026"/>
      </w:tblGrid>
      <w:tr>
        <w:trPr>
          <w:cantSplit/>
          <w:tblHeader/>
        </w:trPr>
        <w:tc>
          <w:tcPr>
            <w:tcW w:w="1800" w:type="dxa"/>
            <w:vAlign w:val="center"/>
            <w:shd w:fill="E7E6E6" w:val="clear"/>
          </w:tcPr>
          <w:p>
            <w:pPr>
              <w:jc w:val="left"/>
              <w:spacing w:after="0" w:line="260" w:lineRule="auto"/>
              <w:widowControl/>
            </w:pPr>
            <w:r>
              <w:rPr>
                <w:rFonts w:ascii="Times New Roman" w:hAnsi="Times New Roman" w:eastAsia="Times New Roman" w:cs="Times New Roman"/>
                <w:sz w:val="22"/>
                <w:szCs w:val="22"/>
                <w:color w:val="000000"/>
                <w:b/>
              </w:rPr>
              <w:t xml:space="preserve">Period</w:t>
            </w:r>
          </w:p>
        </w:tc>
        <w:tc>
          <w:tcPr>
            <w:tcW w:w="4200" w:type="dxa"/>
            <w:vAlign w:val="center"/>
            <w:shd w:fill="E7E6E6" w:val="clear"/>
          </w:tcPr>
          <w:p>
            <w:pPr>
              <w:jc w:val="left"/>
              <w:spacing w:after="0" w:line="260" w:lineRule="auto"/>
              <w:widowControl/>
            </w:pPr>
            <w:r>
              <w:rPr>
                <w:rFonts w:ascii="Times New Roman" w:hAnsi="Times New Roman" w:eastAsia="Times New Roman" w:cs="Times New Roman"/>
                <w:sz w:val="22"/>
                <w:szCs w:val="22"/>
                <w:color w:val="000000"/>
                <w:b/>
              </w:rPr>
              <w:t xml:space="preserve">Main activities</w:t>
            </w:r>
          </w:p>
        </w:tc>
        <w:tc>
          <w:tcPr>
            <w:tcW w:w="3026" w:type="dxa"/>
            <w:vAlign w:val="center"/>
            <w:shd w:fill="E7E6E6" w:val="clear"/>
          </w:tcPr>
          <w:p>
            <w:pPr>
              <w:jc w:val="left"/>
              <w:spacing w:after="0" w:line="260" w:lineRule="auto"/>
              <w:widowControl/>
            </w:pPr>
            <w:r>
              <w:rPr>
                <w:rFonts w:ascii="Times New Roman" w:hAnsi="Times New Roman" w:eastAsia="Times New Roman" w:cs="Times New Roman"/>
                <w:sz w:val="22"/>
                <w:szCs w:val="22"/>
                <w:color w:val="000000"/>
                <w:b/>
              </w:rPr>
              <w:t xml:space="preserve">Completion evidence</w:t>
            </w:r>
          </w:p>
        </w:tc>
      </w:tr>
      <w:tr>
        <w:trPr>
          <w:cantSplit/>
        </w:trPr>
        <w:tc>
          <w:tcPr>
            <w:tcW w:w="18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September 2026</w:t>
            </w:r>
          </w:p>
        </w:tc>
        <w:tc>
          <w:tcPr>
            <w:tcW w:w="4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Supervisor review; literature and source checks</w:t>
            </w:r>
          </w:p>
        </w:tc>
        <w:tc>
          <w:tcPr>
            <w:tcW w:w="30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Agreed scope and data register</w:t>
            </w:r>
          </w:p>
        </w:tc>
      </w:tr>
      <w:tr>
        <w:trPr>
          <w:cantSplit/>
        </w:trPr>
        <w:tc>
          <w:tcPr>
            <w:tcW w:w="18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October 2026</w:t>
            </w:r>
          </w:p>
        </w:tc>
        <w:tc>
          <w:tcPr>
            <w:tcW w:w="4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Data preparation; imagery analysis; pilot</w:t>
            </w:r>
          </w:p>
        </w:tc>
        <w:tc>
          <w:tcPr>
            <w:tcW w:w="30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Prepared layers and pilot record</w:t>
            </w:r>
          </w:p>
        </w:tc>
      </w:tr>
      <w:tr>
        <w:trPr>
          <w:cantSplit/>
        </w:trPr>
        <w:tc>
          <w:tcPr>
            <w:tcW w:w="18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November 2026</w:t>
            </w:r>
          </w:p>
        </w:tc>
        <w:tc>
          <w:tcPr>
            <w:tcW w:w="4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Scenarios; evaluation; thesis drafting</w:t>
            </w:r>
          </w:p>
        </w:tc>
        <w:tc>
          <w:tcPr>
            <w:tcW w:w="30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Analysis and full draft</w:t>
            </w:r>
          </w:p>
        </w:tc>
      </w:tr>
      <w:tr>
        <w:trPr>
          <w:cantSplit/>
        </w:trPr>
        <w:tc>
          <w:tcPr>
            <w:tcW w:w="18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December 2026</w:t>
            </w:r>
          </w:p>
        </w:tc>
        <w:tc>
          <w:tcPr>
            <w:tcW w:w="42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Revisions; final checks; submission</w:t>
            </w:r>
          </w:p>
        </w:tc>
        <w:tc>
          <w:tcPr>
            <w:tcW w:w="30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Corrected thesis submitted</w:t>
            </w:r>
          </w:p>
        </w:tc>
      </w:tr>
    </w:tbl>
    <w:p>
      <w:pPr>
        <w:jc w:val="left"/>
        <w:spacing w:before="0" w:after="60" w:line="100" w:lineRule="auto"/>
        <w:widowControl/>
      </w:pPr>
      <w:r>
        <w:rPr>
          <w:rFonts w:ascii="Times New Roman" w:hAnsi="Times New Roman" w:eastAsia="Times New Roman" w:cs="Times New Roman"/>
          <w:sz w:val="4"/>
          <w:szCs w:val="4"/>
          <w:color w:val="000000"/>
        </w:rPr>
        <w:t xml:space="preserve"/>
      </w:r>
    </w:p>
    <w:p>
      <w:pPr>
        <w:pStyle w:val="Heading1"/>
        <w:jc w:val="center"/>
        <w:spacing w:before="0" w:after="160" w:line="280" w:lineRule="auto"/>
        <w:widowControl/>
        <w:keepNext/>
        <w:pageBreakBefore/>
      </w:pPr>
      <w:r>
        <w:rPr>
          <w:rFonts w:ascii="Times New Roman" w:hAnsi="Times New Roman" w:eastAsia="Times New Roman" w:cs="Times New Roman"/>
          <w:sz w:val="30"/>
          <w:szCs w:val="30"/>
          <w:color w:val="000000"/>
          <w:b/>
        </w:rPr>
        <w:t xml:space="preserve">REFERENCES</w:t>
      </w:r>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Adebimpe, O. A., &amp; Usman, S. O. (2022). A GIS-AHP approach for evaluating site suitability for solar power plant: A case study of Ewekoro LGA., Nigeria. Nigerian Journal of Technology, 41(4), 680–692. </w:t>
      </w:r>
      <w:hyperlink r:id="rIdTask1">
        <w:r>
          <w:rPr>
            <w:rFonts w:ascii="Times New Roman" w:hAnsi="Times New Roman" w:eastAsia="Times New Roman" w:cs="Times New Roman"/>
            <w:sz w:val="24"/>
            <w:szCs w:val="24"/>
            <w:color w:val="000000"/>
          </w:rPr>
          <w:t xml:space="preserve">https://www.nijotech.com/index.php/nijotech/article/view/2967</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Copernicus Data Space Ecosystem. (n.d.). Sentinel-2 documentation. Retrieved September 17, 2026, from </w:t>
      </w:r>
      <w:hyperlink r:id="rIdTask2">
        <w:r>
          <w:rPr>
            <w:rFonts w:ascii="Times New Roman" w:hAnsi="Times New Roman" w:eastAsia="Times New Roman" w:cs="Times New Roman"/>
            <w:sz w:val="24"/>
            <w:szCs w:val="24"/>
            <w:color w:val="000000"/>
          </w:rPr>
          <w:t xml:space="preserve">https://documentation.dataspace.copernicus.eu/Data/Sentinel2.html</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European Space Agency. (n.d.). WorldCover data access. Retrieved September 17, 2026, from </w:t>
      </w:r>
      <w:hyperlink r:id="rIdTask3">
        <w:r>
          <w:rPr>
            <w:rFonts w:ascii="Times New Roman" w:hAnsi="Times New Roman" w:eastAsia="Times New Roman" w:cs="Times New Roman"/>
            <w:sz w:val="24"/>
            <w:szCs w:val="24"/>
            <w:color w:val="000000"/>
          </w:rPr>
          <w:t xml:space="preserve">https://esa-worldcover.org/en/data-access</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Geofabrik. (n.d.). OpenStreetMap data extracts for Nigeria. Retrieved September 17, 2026, from </w:t>
      </w:r>
      <w:hyperlink r:id="rIdTask4">
        <w:r>
          <w:rPr>
            <w:rFonts w:ascii="Times New Roman" w:hAnsi="Times New Roman" w:eastAsia="Times New Roman" w:cs="Times New Roman"/>
            <w:sz w:val="24"/>
            <w:szCs w:val="24"/>
            <w:color w:val="000000"/>
          </w:rPr>
          <w:t xml:space="preserve">https://download.geofabrik.de/africa/nigeria.html</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GRID3. (n.d.). Geospatial data Nigeria. Retrieved September 17, 2026, from </w:t>
      </w:r>
      <w:hyperlink r:id="rIdTask5">
        <w:r>
          <w:rPr>
            <w:rFonts w:ascii="Times New Roman" w:hAnsi="Times New Roman" w:eastAsia="Times New Roman" w:cs="Times New Roman"/>
            <w:sz w:val="24"/>
            <w:szCs w:val="24"/>
            <w:color w:val="000000"/>
          </w:rPr>
          <w:t xml:space="preserve">https://grid3.org/geospatial-data-nigeria</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Jankowski, P., Ligmann-Zielińska, A., Zwoliński, Z., &amp; Najwer, A. (2023). An integrated uncertainty and sensitivity analysis for spatial multicriteria models. In 12th International Conference on Geographic Information Science. LIPIcs, 277, Article 42. </w:t>
      </w:r>
      <w:hyperlink r:id="rIdTask6">
        <w:r>
          <w:rPr>
            <w:rFonts w:ascii="Times New Roman" w:hAnsi="Times New Roman" w:eastAsia="Times New Roman" w:cs="Times New Roman"/>
            <w:sz w:val="24"/>
            <w:szCs w:val="24"/>
            <w:color w:val="000000"/>
          </w:rPr>
          <w:t xml:space="preserve">https://doi.org/10.4230/LIPIcs.GIScience.2023.42</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Ligmann-Zielinska, A., &amp; Jankowski, P. (2014). Spatially-explicit integrated uncertainty and sensitivity analysis of criteria weights in multicriteria land suitability evaluation. Environmental Modelling &amp; Software, 57, 235–247. </w:t>
      </w:r>
      <w:hyperlink r:id="rIdTask7">
        <w:r>
          <w:rPr>
            <w:rFonts w:ascii="Times New Roman" w:hAnsi="Times New Roman" w:eastAsia="Times New Roman" w:cs="Times New Roman"/>
            <w:sz w:val="24"/>
            <w:szCs w:val="24"/>
            <w:color w:val="000000"/>
          </w:rPr>
          <w:t xml:space="preserve">https://doi.org/10.1016/j.envsoft.2014.03.007</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Malczewski, J. (2006). GIS-based multicriteria decision analysis: A survey of the literature. International Journal of Geographical Information Science, 20(7), 703–726. </w:t>
      </w:r>
      <w:hyperlink r:id="rIdTask8">
        <w:r>
          <w:rPr>
            <w:rFonts w:ascii="Times New Roman" w:hAnsi="Times New Roman" w:eastAsia="Times New Roman" w:cs="Times New Roman"/>
            <w:sz w:val="24"/>
            <w:szCs w:val="24"/>
            <w:color w:val="000000"/>
          </w:rPr>
          <w:t xml:space="preserve">https://doi.org/10.1080/13658810600661508</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NASA JPL. (2013). NASA Shuttle Radar Topography Mission Global 1 arc second V003 [Data set]. NASA Land Processes Distributed Active Archive Center. </w:t>
      </w:r>
      <w:hyperlink r:id="rIdTask9">
        <w:r>
          <w:rPr>
            <w:rFonts w:ascii="Times New Roman" w:hAnsi="Times New Roman" w:eastAsia="Times New Roman" w:cs="Times New Roman"/>
            <w:sz w:val="24"/>
            <w:szCs w:val="24"/>
            <w:color w:val="000000"/>
          </w:rPr>
          <w:t xml:space="preserve">https://doi.org/10.5067/MEASURES/SRTM/SRTMGL1.003</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Olofsson, P., Foody, G. M., Herold, M., Stehman, S. V., Woodcock, C. E., &amp; Wulder, M. A. (2014). Good practices for estimating area and assessing accuracy of land change. Remote Sensing of Environment, 148, 42–57. </w:t>
      </w:r>
      <w:hyperlink r:id="rIdTask10">
        <w:r>
          <w:rPr>
            <w:rFonts w:ascii="Times New Roman" w:hAnsi="Times New Roman" w:eastAsia="Times New Roman" w:cs="Times New Roman"/>
            <w:sz w:val="24"/>
            <w:szCs w:val="24"/>
            <w:color w:val="000000"/>
          </w:rPr>
          <w:t xml:space="preserve">https://doi.org/10.1016/j.rse.2014.02.015</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Onuoha, H., Denwigwe, I., Babatunde, O., Abdulsalam, K. A., Adebisi, J., Emezirinwune, M., Okharedia, T., Akindayomi, A., Adisa, K., &amp; Hamam, Y. (2025). Integrating GIS and AHP for photovoltaic farm site selection: A case study of Ikorodu, Nigeria. Processes, 13(1), 164. </w:t>
      </w:r>
      <w:hyperlink r:id="rIdTask11">
        <w:r>
          <w:rPr>
            <w:rFonts w:ascii="Times New Roman" w:hAnsi="Times New Roman" w:eastAsia="Times New Roman" w:cs="Times New Roman"/>
            <w:sz w:val="24"/>
            <w:szCs w:val="24"/>
            <w:color w:val="000000"/>
          </w:rPr>
          <w:t xml:space="preserve">https://doi.org/10.3390/pr13010164</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OpenStreetMap contributors. (n.d.). Copyright and licence. Retrieved September 17, 2026, from </w:t>
      </w:r>
      <w:hyperlink r:id="rIdTask12">
        <w:r>
          <w:rPr>
            <w:rFonts w:ascii="Times New Roman" w:hAnsi="Times New Roman" w:eastAsia="Times New Roman" w:cs="Times New Roman"/>
            <w:sz w:val="24"/>
            <w:szCs w:val="24"/>
            <w:color w:val="000000"/>
          </w:rPr>
          <w:t xml:space="preserve">https://www.openstreetmap.org/copyright</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Popoola, K. O. (2016). Cross-border migrants' integration in rural border communities of South-West Nigeria. Journal of Sustainable Development Studies, 9(2), 138–152. </w:t>
      </w:r>
      <w:hyperlink r:id="rIdTask13">
        <w:r>
          <w:rPr>
            <w:rFonts w:ascii="Times New Roman" w:hAnsi="Times New Roman" w:eastAsia="Times New Roman" w:cs="Times New Roman"/>
            <w:sz w:val="24"/>
            <w:szCs w:val="24"/>
            <w:color w:val="000000"/>
          </w:rPr>
          <w:t xml:space="preserve">https://infinitypress.info/index.php/jsds/article/view/1335</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Popoola, K. O., Oladehinde, G. J., &amp; Fatusin, A. F. (2017). Gender analysis of cross-border migration in rural border communities of Ipokia Local Government Area, Ogun State, Nigeria. Economic and Environmental Studies, 17(2), 165–184. </w:t>
      </w:r>
      <w:hyperlink r:id="rIdTask14">
        <w:r>
          <w:rPr>
            <w:rFonts w:ascii="Times New Roman" w:hAnsi="Times New Roman" w:eastAsia="Times New Roman" w:cs="Times New Roman"/>
            <w:sz w:val="24"/>
            <w:szCs w:val="24"/>
            <w:color w:val="000000"/>
          </w:rPr>
          <w:t xml:space="preserve">https://doi.org/10.25167/ees.2017.42.2</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QGIS.org. (n.d.). QGIS user guide. Retrieved September 17, 2026, from </w:t>
      </w:r>
      <w:hyperlink r:id="rIdTask15">
        <w:r>
          <w:rPr>
            <w:rFonts w:ascii="Times New Roman" w:hAnsi="Times New Roman" w:eastAsia="Times New Roman" w:cs="Times New Roman"/>
            <w:sz w:val="24"/>
            <w:szCs w:val="24"/>
            <w:color w:val="000000"/>
          </w:rPr>
          <w:t xml:space="preserve">https://docs.qgis.org/latest/en/docs/user_manual/</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QGIS Plugins. (n.d.). Semi-Automatic Classification Plugin. Retrieved September 17, 2026, from </w:t>
      </w:r>
      <w:hyperlink r:id="rIdTask16">
        <w:r>
          <w:rPr>
            <w:rFonts w:ascii="Times New Roman" w:hAnsi="Times New Roman" w:eastAsia="Times New Roman" w:cs="Times New Roman"/>
            <w:sz w:val="24"/>
            <w:szCs w:val="24"/>
            <w:color w:val="000000"/>
          </w:rPr>
          <w:t xml:space="preserve">https://plugins.qgis.org/plugins/SemiAutomaticClassificationPlugin/</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Saaty, T. L. (2008). Decision making with the analytic hierarchy process. International Journal of Services Sciences, 1(1), 83–98. </w:t>
      </w:r>
      <w:hyperlink r:id="rIdTask17">
        <w:r>
          <w:rPr>
            <w:rFonts w:ascii="Times New Roman" w:hAnsi="Times New Roman" w:eastAsia="Times New Roman" w:cs="Times New Roman"/>
            <w:sz w:val="24"/>
            <w:szCs w:val="24"/>
            <w:color w:val="000000"/>
          </w:rPr>
          <w:t xml:space="preserve">https://doi.org/10.1504/IJSSCI.2008.017590</w:t>
        </w:r>
      </w:hyperlink>
    </w:p>
    <w:p>
      <w:pPr>
        <w:jc w:val="left"/>
        <w:spacing w:before="0" w:after="140" w:line="280" w:lineRule="auto"/>
        <w:widowControl/>
        <w:ind w:left="360" w:hanging="360"/>
      </w:pPr>
      <w:r>
        <w:rPr>
          <w:rFonts w:ascii="Times New Roman" w:hAnsi="Times New Roman" w:eastAsia="Times New Roman" w:cs="Times New Roman"/>
          <w:sz w:val="24"/>
          <w:szCs w:val="24"/>
          <w:color w:val="000000"/>
        </w:rPr>
        <w:t xml:space="preserve">Weiss, D. J., Nelson, A., Gibson, H. S., Temperley, W., Peedell, S., Lieber, A., Hancher, M., Poyart, E., Belchior, S., Fullman, N., Mappin, B., Dalrymple, U., Rozier, J., Lucas, T. C. D., Howes, R. E., Tusting, L. S., Kang, S. Y., Cameron, E., Bisanzio, D., ... Gething, P. W. (2018). A global map of travel time to cities to assess inequalities in accessibility in 2015. Nature, 553, 333–336. </w:t>
      </w:r>
      <w:hyperlink r:id="rIdTask18">
        <w:r>
          <w:rPr>
            <w:rFonts w:ascii="Times New Roman" w:hAnsi="Times New Roman" w:eastAsia="Times New Roman" w:cs="Times New Roman"/>
            <w:sz w:val="24"/>
            <w:szCs w:val="24"/>
            <w:color w:val="000000"/>
          </w:rPr>
          <w:t xml:space="preserve">https://doi.org/10.1038/nature25181</w:t>
        </w:r>
      </w:hyperlink>
    </w:p>
    <w:sectPr w:rsidR="00B514AD" w:rsidRPr="00E3534B" w:rsidSect="00B139ED">
      <w:pgSz w:w="11906" w:h="16838" w:code="9"/>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08E6CD29-A923-4502-87A9-410EE10EF18C}"/>
    <w:embedBold r:id="rId2" w:fontKey="{F5D2E1DD-1F76-4463-AE3C-7E57B274AD40}"/>
    <w:embedItalic r:id="rId3" w:fontKey="{B9EAD9AE-665F-4641-9BD3-88A61C422A14}"/>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E669E938-69AB-4972-8223-2DADE6CE3F3A}"/>
  </w:font>
  <w:font w:name="Cambria Math">
    <w:panose1 w:val="02040503050406030204"/>
    <w:charset w:val="00"/>
    <w:family w:val="roman"/>
    <w:pitch w:val="variable"/>
    <w:sig w:usb0="E00006FF" w:usb1="420024FF" w:usb2="02000000" w:usb3="00000000" w:csb0="0000019F" w:csb1="00000000"/>
    <w:embedRegular r:id="rId5" w:fontKey="{553B483D-29C3-4865-B98F-490A759A4288}"/>
    <w:embedItalic r:id="rId6" w:fontKey="{39170E96-1247-4170-BB8D-E8CF3C24F9C5}"/>
  </w:font>
  <w:font w:name="Calibri">
    <w:panose1 w:val="020F0502020204030204"/>
    <w:charset w:val="00"/>
    <w:family w:val="swiss"/>
    <w:pitch w:val="variable"/>
    <w:sig w:usb0="E4002EFF" w:usb1="C200247B" w:usb2="00000009" w:usb3="00000000" w:csb0="000001FF" w:csb1="00000000"/>
    <w:embedRegular r:id="rId7" w:fontKey="{7E03B5F8-17EB-41F7-9557-2A9A695B8116}"/>
  </w:font>
  <w:font w:name="Cambria">
    <w:panose1 w:val="02040503050406030204"/>
    <w:charset w:val="00"/>
    <w:family w:val="roman"/>
    <w:pitch w:val="variable"/>
    <w:sig w:usb0="E00006FF" w:usb1="420024FF" w:usb2="02000000" w:usb3="00000000" w:csb0="0000019F" w:csb1="00000000"/>
    <w:embedRegular r:id="rId8" w:fontKey="{817DD8AA-2108-4F18-828F-7B4E9E6B16A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B45A2"/>
    <w:multiLevelType w:val="multilevel"/>
    <w:tmpl w:val="47FAB6D6"/>
    <w:lvl w:ilvl="0">
      <w:start w:val="1"/>
      <w:numFmt w:val="decimal"/>
      <w:lvlText w:val="%1."/>
      <w:lvlJc w:val="left"/>
      <w:pPr>
        <w:ind w:left="720" w:hanging="720"/>
      </w:pPr>
      <w:rPr>
        <w:rFonts w:ascii="Times New Roman" w:eastAsia="Google Sans" w:hAnsi="Times New Roman" w:cs="Arial"/>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4F60FC3"/>
    <w:multiLevelType w:val="multilevel"/>
    <w:tmpl w:val="C742A94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0B252EE3"/>
    <w:multiLevelType w:val="hybridMultilevel"/>
    <w:tmpl w:val="7D06D054"/>
    <w:lvl w:ilvl="0" w:tplc="2FB82CE4">
      <w:start w:val="1"/>
      <w:numFmt w:val="bullet"/>
      <w:lvlText w:val="-"/>
      <w:lvlJc w:val="left"/>
      <w:pPr>
        <w:ind w:left="720" w:hanging="360"/>
      </w:pPr>
      <w:rPr>
        <w:rFonts w:ascii="Times New Roman" w:eastAsia="Google Sans" w:hAnsi="Times New Roman" w:cs="Times New Roman" w:hint="default"/>
        <w:b/>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02711C"/>
    <w:multiLevelType w:val="hybridMultilevel"/>
    <w:tmpl w:val="0C36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1E1385"/>
    <w:multiLevelType w:val="hybridMultilevel"/>
    <w:tmpl w:val="09C05992"/>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1EE57ED7"/>
    <w:multiLevelType w:val="hybridMultilevel"/>
    <w:tmpl w:val="2C4A731A"/>
    <w:lvl w:ilvl="0" w:tplc="AE487F3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EF180A"/>
    <w:multiLevelType w:val="multilevel"/>
    <w:tmpl w:val="DCC8A06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62F05BF"/>
    <w:multiLevelType w:val="multilevel"/>
    <w:tmpl w:val="45A2E20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2A152120"/>
    <w:multiLevelType w:val="multilevel"/>
    <w:tmpl w:val="27903B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2DC9428E"/>
    <w:multiLevelType w:val="multilevel"/>
    <w:tmpl w:val="FDC06AF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33230419"/>
    <w:multiLevelType w:val="multilevel"/>
    <w:tmpl w:val="CD8AB3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3EE404CF"/>
    <w:multiLevelType w:val="multilevel"/>
    <w:tmpl w:val="36F00E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478914A7"/>
    <w:multiLevelType w:val="hybridMultilevel"/>
    <w:tmpl w:val="114A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AF5911"/>
    <w:multiLevelType w:val="hybridMultilevel"/>
    <w:tmpl w:val="4C5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974B21"/>
    <w:multiLevelType w:val="multilevel"/>
    <w:tmpl w:val="E848CDA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54AD2F8A"/>
    <w:multiLevelType w:val="multilevel"/>
    <w:tmpl w:val="E774D5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558B7EF5"/>
    <w:multiLevelType w:val="multilevel"/>
    <w:tmpl w:val="9AC02A5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nsid w:val="56F9588C"/>
    <w:multiLevelType w:val="multilevel"/>
    <w:tmpl w:val="72C68CF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5A6F2F79"/>
    <w:multiLevelType w:val="hybridMultilevel"/>
    <w:tmpl w:val="08BE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DF62E2"/>
    <w:multiLevelType w:val="hybridMultilevel"/>
    <w:tmpl w:val="DE60C69C"/>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nsid w:val="611E7BD1"/>
    <w:multiLevelType w:val="multilevel"/>
    <w:tmpl w:val="A968AC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61A842BC"/>
    <w:multiLevelType w:val="multilevel"/>
    <w:tmpl w:val="DD383EE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65466A90"/>
    <w:multiLevelType w:val="multilevel"/>
    <w:tmpl w:val="D702EDD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nsid w:val="677C432B"/>
    <w:multiLevelType w:val="hybridMultilevel"/>
    <w:tmpl w:val="1AB4E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5775C3"/>
    <w:multiLevelType w:val="multilevel"/>
    <w:tmpl w:val="FCEEEB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6A353C16"/>
    <w:multiLevelType w:val="multilevel"/>
    <w:tmpl w:val="BE4C23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nsid w:val="6A71513A"/>
    <w:multiLevelType w:val="multilevel"/>
    <w:tmpl w:val="B60EA6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nsid w:val="6BD464E9"/>
    <w:multiLevelType w:val="multilevel"/>
    <w:tmpl w:val="C08431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40" w:hanging="360"/>
      </w:pPr>
      <w:rPr>
        <w:b w:val="0"/>
        <w:bCs w:val="0"/>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nsid w:val="6C5A7774"/>
    <w:multiLevelType w:val="hybridMultilevel"/>
    <w:tmpl w:val="BD7CF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CE2933"/>
    <w:multiLevelType w:val="hybridMultilevel"/>
    <w:tmpl w:val="9C38AE24"/>
    <w:lvl w:ilvl="0" w:tplc="AE487F3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D425F7"/>
    <w:multiLevelType w:val="multilevel"/>
    <w:tmpl w:val="6D68BB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nsid w:val="7B7046F3"/>
    <w:multiLevelType w:val="hybridMultilevel"/>
    <w:tmpl w:val="26C0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0"/>
  </w:num>
  <w:num w:numId="3">
    <w:abstractNumId w:val="20"/>
  </w:num>
  <w:num w:numId="4">
    <w:abstractNumId w:val="22"/>
  </w:num>
  <w:num w:numId="5">
    <w:abstractNumId w:val="30"/>
  </w:num>
  <w:num w:numId="6">
    <w:abstractNumId w:val="11"/>
  </w:num>
  <w:num w:numId="7">
    <w:abstractNumId w:val="9"/>
  </w:num>
  <w:num w:numId="8">
    <w:abstractNumId w:val="26"/>
  </w:num>
  <w:num w:numId="9">
    <w:abstractNumId w:val="16"/>
  </w:num>
  <w:num w:numId="10">
    <w:abstractNumId w:val="15"/>
  </w:num>
  <w:num w:numId="11">
    <w:abstractNumId w:val="24"/>
  </w:num>
  <w:num w:numId="12">
    <w:abstractNumId w:val="7"/>
  </w:num>
  <w:num w:numId="13">
    <w:abstractNumId w:val="27"/>
  </w:num>
  <w:num w:numId="14">
    <w:abstractNumId w:val="14"/>
  </w:num>
  <w:num w:numId="15">
    <w:abstractNumId w:val="1"/>
  </w:num>
  <w:num w:numId="16">
    <w:abstractNumId w:val="17"/>
  </w:num>
  <w:num w:numId="17">
    <w:abstractNumId w:val="8"/>
  </w:num>
  <w:num w:numId="18">
    <w:abstractNumId w:val="21"/>
  </w:num>
  <w:num w:numId="19">
    <w:abstractNumId w:val="6"/>
  </w:num>
  <w:num w:numId="20">
    <w:abstractNumId w:val="18"/>
  </w:num>
  <w:num w:numId="21">
    <w:abstractNumId w:val="28"/>
  </w:num>
  <w:num w:numId="22">
    <w:abstractNumId w:val="13"/>
  </w:num>
  <w:num w:numId="23">
    <w:abstractNumId w:val="23"/>
  </w:num>
  <w:num w:numId="24">
    <w:abstractNumId w:val="12"/>
  </w:num>
  <w:num w:numId="25">
    <w:abstractNumId w:val="31"/>
  </w:num>
  <w:num w:numId="26">
    <w:abstractNumId w:val="5"/>
  </w:num>
  <w:num w:numId="27">
    <w:abstractNumId w:val="29"/>
  </w:num>
  <w:num w:numId="28">
    <w:abstractNumId w:val="0"/>
  </w:num>
  <w:num w:numId="29">
    <w:abstractNumId w:val="3"/>
  </w:num>
  <w:num w:numId="30">
    <w:abstractNumId w:val="2"/>
  </w:num>
  <w:num w:numId="31">
    <w:abstractNumId w:val="19"/>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4AD"/>
    <w:rsid w:val="000024AD"/>
    <w:rsid w:val="0000385F"/>
    <w:rsid w:val="00023F0A"/>
    <w:rsid w:val="00050285"/>
    <w:rsid w:val="00050CCC"/>
    <w:rsid w:val="00061B43"/>
    <w:rsid w:val="00081FF1"/>
    <w:rsid w:val="000842C1"/>
    <w:rsid w:val="00094DAA"/>
    <w:rsid w:val="000A3E7A"/>
    <w:rsid w:val="000A6AA6"/>
    <w:rsid w:val="000E2A56"/>
    <w:rsid w:val="000E583E"/>
    <w:rsid w:val="000E7EC9"/>
    <w:rsid w:val="000F270D"/>
    <w:rsid w:val="0011106E"/>
    <w:rsid w:val="00122459"/>
    <w:rsid w:val="0014062B"/>
    <w:rsid w:val="001452C8"/>
    <w:rsid w:val="0016576E"/>
    <w:rsid w:val="0018443F"/>
    <w:rsid w:val="00187250"/>
    <w:rsid w:val="001A3FFA"/>
    <w:rsid w:val="001B2704"/>
    <w:rsid w:val="001E0684"/>
    <w:rsid w:val="001E6408"/>
    <w:rsid w:val="001F1111"/>
    <w:rsid w:val="00211811"/>
    <w:rsid w:val="00222EAE"/>
    <w:rsid w:val="002646FC"/>
    <w:rsid w:val="0026772E"/>
    <w:rsid w:val="00277A66"/>
    <w:rsid w:val="002935AA"/>
    <w:rsid w:val="00295CFF"/>
    <w:rsid w:val="002A19C1"/>
    <w:rsid w:val="002B74D5"/>
    <w:rsid w:val="002C7AB8"/>
    <w:rsid w:val="002D75DD"/>
    <w:rsid w:val="002F480A"/>
    <w:rsid w:val="002F55E6"/>
    <w:rsid w:val="002F61B9"/>
    <w:rsid w:val="00342F4E"/>
    <w:rsid w:val="00363AB2"/>
    <w:rsid w:val="0036687E"/>
    <w:rsid w:val="00366BD0"/>
    <w:rsid w:val="00380E69"/>
    <w:rsid w:val="00385555"/>
    <w:rsid w:val="003B0C38"/>
    <w:rsid w:val="003C4355"/>
    <w:rsid w:val="003E41C0"/>
    <w:rsid w:val="003E6C57"/>
    <w:rsid w:val="00416A1E"/>
    <w:rsid w:val="0042033B"/>
    <w:rsid w:val="00430287"/>
    <w:rsid w:val="00430EFC"/>
    <w:rsid w:val="00454F7E"/>
    <w:rsid w:val="00455054"/>
    <w:rsid w:val="00474560"/>
    <w:rsid w:val="00477CC4"/>
    <w:rsid w:val="004E0771"/>
    <w:rsid w:val="00510BF8"/>
    <w:rsid w:val="00515B5E"/>
    <w:rsid w:val="00523655"/>
    <w:rsid w:val="005300A6"/>
    <w:rsid w:val="00542081"/>
    <w:rsid w:val="00564476"/>
    <w:rsid w:val="005A13EC"/>
    <w:rsid w:val="005F252A"/>
    <w:rsid w:val="0060381D"/>
    <w:rsid w:val="00605651"/>
    <w:rsid w:val="00666AAF"/>
    <w:rsid w:val="00667ADD"/>
    <w:rsid w:val="00684DA9"/>
    <w:rsid w:val="0068562C"/>
    <w:rsid w:val="006A144A"/>
    <w:rsid w:val="006B1CB0"/>
    <w:rsid w:val="006C154C"/>
    <w:rsid w:val="006D1987"/>
    <w:rsid w:val="006D61E3"/>
    <w:rsid w:val="006F08FD"/>
    <w:rsid w:val="00713BA6"/>
    <w:rsid w:val="00715669"/>
    <w:rsid w:val="0076383D"/>
    <w:rsid w:val="00765435"/>
    <w:rsid w:val="0077393D"/>
    <w:rsid w:val="0077408C"/>
    <w:rsid w:val="007833C0"/>
    <w:rsid w:val="007A72C1"/>
    <w:rsid w:val="007B1D9E"/>
    <w:rsid w:val="007B1FBF"/>
    <w:rsid w:val="007D070F"/>
    <w:rsid w:val="007F14CE"/>
    <w:rsid w:val="00802A56"/>
    <w:rsid w:val="00821E7D"/>
    <w:rsid w:val="00835F4D"/>
    <w:rsid w:val="00861E4A"/>
    <w:rsid w:val="00871BD7"/>
    <w:rsid w:val="008801FA"/>
    <w:rsid w:val="00881C25"/>
    <w:rsid w:val="00885D90"/>
    <w:rsid w:val="008937DA"/>
    <w:rsid w:val="0089546A"/>
    <w:rsid w:val="008A0BE0"/>
    <w:rsid w:val="008A438D"/>
    <w:rsid w:val="008B0B08"/>
    <w:rsid w:val="008B6E9D"/>
    <w:rsid w:val="008D3F97"/>
    <w:rsid w:val="008E314C"/>
    <w:rsid w:val="008E3A26"/>
    <w:rsid w:val="008E45F1"/>
    <w:rsid w:val="008F241F"/>
    <w:rsid w:val="008F4655"/>
    <w:rsid w:val="00916596"/>
    <w:rsid w:val="00924D97"/>
    <w:rsid w:val="009620D2"/>
    <w:rsid w:val="00965B54"/>
    <w:rsid w:val="00982A57"/>
    <w:rsid w:val="00995B8C"/>
    <w:rsid w:val="009B1C28"/>
    <w:rsid w:val="009C6DC7"/>
    <w:rsid w:val="009E63FC"/>
    <w:rsid w:val="00A20B20"/>
    <w:rsid w:val="00A368C8"/>
    <w:rsid w:val="00A71A57"/>
    <w:rsid w:val="00A81140"/>
    <w:rsid w:val="00A83308"/>
    <w:rsid w:val="00A907E6"/>
    <w:rsid w:val="00AA17AF"/>
    <w:rsid w:val="00AA68F5"/>
    <w:rsid w:val="00AB1BE7"/>
    <w:rsid w:val="00AB1C6D"/>
    <w:rsid w:val="00AC5C5F"/>
    <w:rsid w:val="00B00EFC"/>
    <w:rsid w:val="00B139ED"/>
    <w:rsid w:val="00B32201"/>
    <w:rsid w:val="00B40634"/>
    <w:rsid w:val="00B514AD"/>
    <w:rsid w:val="00B54740"/>
    <w:rsid w:val="00B70128"/>
    <w:rsid w:val="00B81B5C"/>
    <w:rsid w:val="00BA3AC0"/>
    <w:rsid w:val="00BB5073"/>
    <w:rsid w:val="00BD2D9B"/>
    <w:rsid w:val="00BE65B1"/>
    <w:rsid w:val="00C13526"/>
    <w:rsid w:val="00C26968"/>
    <w:rsid w:val="00C3276D"/>
    <w:rsid w:val="00C32B7E"/>
    <w:rsid w:val="00C44A19"/>
    <w:rsid w:val="00C51E98"/>
    <w:rsid w:val="00C814D9"/>
    <w:rsid w:val="00C93915"/>
    <w:rsid w:val="00CD5A4C"/>
    <w:rsid w:val="00CE6DA3"/>
    <w:rsid w:val="00D0120E"/>
    <w:rsid w:val="00D015D6"/>
    <w:rsid w:val="00D02887"/>
    <w:rsid w:val="00D230FA"/>
    <w:rsid w:val="00D32C5B"/>
    <w:rsid w:val="00D4591A"/>
    <w:rsid w:val="00D73DD8"/>
    <w:rsid w:val="00D9733B"/>
    <w:rsid w:val="00DF448E"/>
    <w:rsid w:val="00E0194C"/>
    <w:rsid w:val="00E02763"/>
    <w:rsid w:val="00E26DE6"/>
    <w:rsid w:val="00E31282"/>
    <w:rsid w:val="00E33B7C"/>
    <w:rsid w:val="00E3534B"/>
    <w:rsid w:val="00E426A2"/>
    <w:rsid w:val="00E43E97"/>
    <w:rsid w:val="00E51225"/>
    <w:rsid w:val="00E92273"/>
    <w:rsid w:val="00EA0F1A"/>
    <w:rsid w:val="00EA7E2D"/>
    <w:rsid w:val="00EB1906"/>
    <w:rsid w:val="00EC429A"/>
    <w:rsid w:val="00ED106C"/>
    <w:rsid w:val="00EE3B79"/>
    <w:rsid w:val="00EE4E02"/>
    <w:rsid w:val="00F05244"/>
    <w:rsid w:val="00F20368"/>
    <w:rsid w:val="00F31FF4"/>
    <w:rsid w:val="00F32786"/>
    <w:rsid w:val="00F33D09"/>
    <w:rsid w:val="00F5058A"/>
    <w:rsid w:val="00F52F3A"/>
    <w:rsid w:val="00F754F0"/>
    <w:rsid w:val="00F824DB"/>
    <w:rsid w:val="00F838F8"/>
    <w:rsid w:val="00FA098E"/>
    <w:rsid w:val="00FD74A9"/>
    <w:rsid w:val="00FF1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B69C"/>
  <w15:docId w15:val="{85422E89-A8DE-4EB5-B4A2-2E5F5E622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763"/>
    <w:pPr>
      <w:jc w:val="both"/>
    </w:pPr>
    <w:rPr>
      <w:rFonts w:ascii="Times New Roman" w:hAnsi="Times New Roman"/>
      <w:sz w:val="24"/>
    </w:rPr>
  </w:style>
  <w:style w:type="paragraph" w:styleId="Heading1">
    <w:name w:val="heading 1"/>
    <w:basedOn w:val="Normal"/>
    <w:next w:val="Normal"/>
    <w:uiPriority w:val="9"/>
    <w:qFormat/>
    <w:rsid w:val="00B139ED"/>
    <w:pPr>
      <w:pBdr>
        <w:top w:val="nil"/>
        <w:left w:val="nil"/>
        <w:bottom w:val="nil"/>
        <w:right w:val="nil"/>
        <w:between w:val="nil"/>
      </w:pBdr>
      <w:spacing w:before="240" w:after="240"/>
      <w:outlineLvl w:val="0"/>
    </w:pPr>
    <w:rPr>
      <w:b/>
      <w:bCs/>
      <w:sz w:val="32"/>
      <w:szCs w:val="48"/>
    </w:rPr>
  </w:style>
  <w:style w:type="paragraph" w:styleId="Heading2">
    <w:name w:val="heading 2"/>
    <w:basedOn w:val="Normal"/>
    <w:next w:val="Normal"/>
    <w:uiPriority w:val="9"/>
    <w:unhideWhenUsed/>
    <w:qFormat/>
    <w:rsid w:val="00B139ED"/>
    <w:pPr>
      <w:pBdr>
        <w:top w:val="nil"/>
        <w:left w:val="nil"/>
        <w:bottom w:val="nil"/>
        <w:right w:val="nil"/>
        <w:between w:val="nil"/>
      </w:pBdr>
      <w:spacing w:before="225" w:after="225"/>
      <w:outlineLvl w:val="1"/>
    </w:pPr>
    <w:rPr>
      <w:b/>
      <w:bCs/>
      <w:sz w:val="28"/>
      <w:szCs w:val="36"/>
    </w:rPr>
  </w:style>
  <w:style w:type="paragraph" w:styleId="Heading3">
    <w:name w:val="heading 3"/>
    <w:basedOn w:val="Normal"/>
    <w:next w:val="Normal"/>
    <w:uiPriority w:val="9"/>
    <w:unhideWhenUsed/>
    <w:qFormat/>
    <w:rsid w:val="00E02763"/>
    <w:pPr>
      <w:pBdr>
        <w:top w:val="nil"/>
        <w:left w:val="nil"/>
        <w:bottom w:val="nil"/>
        <w:right w:val="nil"/>
        <w:between w:val="nil"/>
      </w:pBdr>
      <w:spacing w:before="240" w:after="240"/>
      <w:outlineLvl w:val="2"/>
    </w:pPr>
    <w:rPr>
      <w:b/>
      <w:bCs/>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100" w:type="dxa"/>
        <w:left w:w="100" w:type="dxa"/>
        <w:bottom w:w="100" w:type="dxa"/>
        <w:right w:w="100" w:type="dxa"/>
      </w:tblCellMar>
    </w:tblPr>
  </w:style>
  <w:style w:type="table" w:customStyle="1" w:styleId="1">
    <w:name w:val="1"/>
    <w:basedOn w:val="TableNormal0"/>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8A0BE0"/>
    <w:rPr>
      <w:b/>
      <w:bCs/>
    </w:rPr>
  </w:style>
  <w:style w:type="table" w:styleId="TableGrid">
    <w:name w:val="Table Grid"/>
    <w:basedOn w:val="TableNormal"/>
    <w:uiPriority w:val="39"/>
    <w:rsid w:val="00EA7E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15669"/>
    <w:rPr>
      <w:color w:val="666666"/>
    </w:rPr>
  </w:style>
  <w:style w:type="paragraph" w:styleId="ListParagraph">
    <w:name w:val="List Paragraph"/>
    <w:basedOn w:val="Normal"/>
    <w:uiPriority w:val="34"/>
    <w:qFormat/>
    <w:rsid w:val="00E353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080/08865655.2019.1681234" TargetMode="External"/><Relationship Id="rId13" Type="http://schemas.openxmlformats.org/officeDocument/2006/relationships/hyperlink" Target="https://www.google.com/search?q=https://doi.org/10.1016/j.apgeog.2021.102615"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google.com/search?q=https://doi.org/10.1080/1365881060066150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https://doi.org/10.1080/02693799508902036" TargetMode="External"/><Relationship Id="rId5" Type="http://schemas.openxmlformats.org/officeDocument/2006/relationships/image" Target="media/image1.jpeg"/><Relationship Id="rId15" Type="http://schemas.openxmlformats.org/officeDocument/2006/relationships/hyperlink" Target="https://doi.org/10.1504/IJSSCI.2008.017590" TargetMode="External"/><Relationship Id="rId10" Type="http://schemas.openxmlformats.org/officeDocument/2006/relationships/hyperlink" Target="https://www.google.com/search?q=https://doi.org/10.1080/14650045.2018.1485600" TargetMode="External"/><Relationship Id="rId4" Type="http://schemas.openxmlformats.org/officeDocument/2006/relationships/webSettings" Target="webSettings.xml"/><Relationship Id="rId9" Type="http://schemas.openxmlformats.org/officeDocument/2006/relationships/hyperlink" Target="https://www.google.com/search?q=https://doi.org/10.1080/10246029.2020.1798221" TargetMode="External"/><Relationship Id="rId14" Type="http://schemas.openxmlformats.org/officeDocument/2006/relationships/hyperlink" Target="https://www.google.com/search?q=https://doi.org/10.1007/s10708-018-9917-y" TargetMode="External"/><Relationship Id="rIdTask1" Type="http://schemas.openxmlformats.org/officeDocument/2006/relationships/hyperlink" Target="https://www.nijotech.com/index.php/nijotech/article/view/2967" TargetMode="External"/><Relationship Id="rIdTask2" Type="http://schemas.openxmlformats.org/officeDocument/2006/relationships/hyperlink" Target="https://documentation.dataspace.copernicus.eu/Data/Sentinel2.html" TargetMode="External"/><Relationship Id="rIdTask3" Type="http://schemas.openxmlformats.org/officeDocument/2006/relationships/hyperlink" Target="https://esa-worldcover.org/en/data-access" TargetMode="External"/><Relationship Id="rIdTask4" Type="http://schemas.openxmlformats.org/officeDocument/2006/relationships/hyperlink" Target="https://download.geofabrik.de/africa/nigeria.html" TargetMode="External"/><Relationship Id="rIdTask5" Type="http://schemas.openxmlformats.org/officeDocument/2006/relationships/hyperlink" Target="https://grid3.org/geospatial-data-nigeria" TargetMode="External"/><Relationship Id="rIdTask6" Type="http://schemas.openxmlformats.org/officeDocument/2006/relationships/hyperlink" Target="https://doi.org/10.4230/LIPIcs.GIScience.2023.42" TargetMode="External"/><Relationship Id="rIdTask7" Type="http://schemas.openxmlformats.org/officeDocument/2006/relationships/hyperlink" Target="https://doi.org/10.1016/j.envsoft.2014.03.007" TargetMode="External"/><Relationship Id="rIdTask8" Type="http://schemas.openxmlformats.org/officeDocument/2006/relationships/hyperlink" Target="https://doi.org/10.1080/13658810600661508" TargetMode="External"/><Relationship Id="rIdTask9" Type="http://schemas.openxmlformats.org/officeDocument/2006/relationships/hyperlink" Target="https://doi.org/10.5067/MEASURES/SRTM/SRTMGL1.003" TargetMode="External"/><Relationship Id="rIdTask10" Type="http://schemas.openxmlformats.org/officeDocument/2006/relationships/hyperlink" Target="https://doi.org/10.1016/j.rse.2014.02.015" TargetMode="External"/><Relationship Id="rIdTask11" Type="http://schemas.openxmlformats.org/officeDocument/2006/relationships/hyperlink" Target="https://doi.org/10.3390/pr13010164" TargetMode="External"/><Relationship Id="rIdTask12" Type="http://schemas.openxmlformats.org/officeDocument/2006/relationships/hyperlink" Target="https://www.openstreetmap.org/copyright" TargetMode="External"/><Relationship Id="rIdTask13" Type="http://schemas.openxmlformats.org/officeDocument/2006/relationships/hyperlink" Target="https://infinitypress.info/index.php/jsds/article/view/1335" TargetMode="External"/><Relationship Id="rIdTask14" Type="http://schemas.openxmlformats.org/officeDocument/2006/relationships/hyperlink" Target="https://doi.org/10.25167/ees.2017.42.2" TargetMode="External"/><Relationship Id="rIdTask15" Type="http://schemas.openxmlformats.org/officeDocument/2006/relationships/hyperlink" Target="https://docs.qgis.org/latest/en/docs/user_manual/" TargetMode="External"/><Relationship Id="rIdTask16" Type="http://schemas.openxmlformats.org/officeDocument/2006/relationships/hyperlink" Target="https://plugins.qgis.org/plugins/SemiAutomaticClassificationPlugin/" TargetMode="External"/><Relationship Id="rIdTask17" Type="http://schemas.openxmlformats.org/officeDocument/2006/relationships/hyperlink" Target="https://doi.org/10.1504/IJSSCI.2008.017590" TargetMode="External"/><Relationship Id="rIdTask18" Type="http://schemas.openxmlformats.org/officeDocument/2006/relationships/hyperlink" Target="https://doi.org/10.1038/nature2518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3867</Words>
  <Characters>22044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dc:creator>
  <cp:keywords/>
  <dc:description/>
  <cp:lastModifiedBy>HP LAPTOP</cp:lastModifiedBy>
  <cp:revision>2</cp:revision>
  <dcterms:created xsi:type="dcterms:W3CDTF">2026-09-17T15:50:00Z</dcterms:created>
  <dcterms:modified xsi:type="dcterms:W3CDTF">2026-09-17T15:50:00Z</dcterms:modified>
</cp:coreProperties>
</file>