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left"/>
        <w:spacing w:before="0" w:after="180" w:line="300" w:lineRule="auto"/>
        <w:widowControl/>
        <w:keepNext/>
      </w:pPr>
      <w:r>
        <w:rPr>
          <w:rFonts w:ascii="Times New Roman" w:hAnsi="Times New Roman" w:eastAsia="Times New Roman" w:cs="Times New Roman"/>
          <w:sz w:val="30"/>
          <w:szCs w:val="30"/>
          <w:color w:val="000000"/>
          <w:b/>
        </w:rPr>
        <w:t xml:space="preserve">Data Acquisition and Quality Checklist</w:t>
      </w:r>
    </w:p>
    <w:p>
      <w:pPr>
        <w:pStyle w:val="Heading1"/>
        <w:jc w:val="left"/>
        <w:spacing w:before="0" w:after="160" w:line="280" w:lineRule="auto"/>
        <w:widowControl/>
        <w:keepNext/>
      </w:pPr>
      <w:r>
        <w:rPr>
          <w:rFonts w:ascii="Times New Roman" w:hAnsi="Times New Roman" w:eastAsia="Times New Roman" w:cs="Times New Roman"/>
          <w:sz w:val="30"/>
          <w:szCs w:val="30"/>
          <w:color w:val="000000"/>
          <w:b/>
        </w:rPr>
        <w:t xml:space="preserve">Ogun State Border GIS Proposal</w:t>
      </w:r>
    </w:p>
    <w:p>
      <w:pPr>
        <w:jc w:val="left"/>
        <w:spacing w:before="0" w:after="100" w:line="280" w:lineRule="auto"/>
        <w:widowControl/>
      </w:pPr>
      <w:r>
        <w:rPr>
          <w:rFonts w:ascii="Times New Roman" w:hAnsi="Times New Roman" w:eastAsia="Times New Roman" w:cs="Times New Roman"/>
          <w:sz w:val="24"/>
          <w:szCs w:val="24"/>
          <w:color w:val="000000"/>
        </w:rPr>
        <w:t xml:space="preserve">This checklist supports the desktop-only MSc proposal on relative outpost suitability and terrain accessibility. Use it to record what has actually been downloaded, checked and accepted for analysis. Source pages were checked on 17 September 2026; dataset files have not yet been acquired or inspected for this project. Availability of a source is not evidence that its local data are complete or suitable.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 Start with the study boundary</w:t>
      </w:r>
    </w:p>
    <w:p>
      <w:pPr>
        <w:jc w:val="left"/>
        <w:spacing w:before="0" w:after="100" w:line="280" w:lineRule="auto"/>
        <w:widowControl/>
      </w:pPr>
      <w:r>
        <w:rPr>
          <w:rFonts w:ascii="Times New Roman" w:hAnsi="Times New Roman" w:eastAsia="Times New Roman" w:cs="Times New Roman"/>
          <w:sz w:val="24"/>
          <w:szCs w:val="24"/>
          <w:color w:val="000000"/>
        </w:rPr>
        <w:t xml:space="preserve">☐  Obtain the selected LGA boundaries and retain their original metadata and licence.</w:t>
      </w:r>
    </w:p>
    <w:p>
      <w:pPr>
        <w:jc w:val="left"/>
        <w:spacing w:before="0" w:after="100" w:line="280" w:lineRule="auto"/>
        <w:widowControl/>
      </w:pPr>
      <w:r>
        <w:rPr>
          <w:rFonts w:ascii="Times New Roman" w:hAnsi="Times New Roman" w:eastAsia="Times New Roman" w:cs="Times New Roman"/>
          <w:sz w:val="24"/>
          <w:szCs w:val="24"/>
          <w:color w:val="000000"/>
        </w:rPr>
        <w:t xml:space="preserve">☐  Select Imeko Afon, Yewa North, Yewa South and Ipokia using both names and identifiers; record spelling variants.</w:t>
      </w:r>
    </w:p>
    <w:p>
      <w:pPr>
        <w:jc w:val="left"/>
        <w:spacing w:before="0" w:after="100" w:line="280" w:lineRule="auto"/>
        <w:widowControl/>
      </w:pPr>
      <w:r>
        <w:rPr>
          <w:rFonts w:ascii="Times New Roman" w:hAnsi="Times New Roman" w:eastAsia="Times New Roman" w:cs="Times New Roman"/>
          <w:sz w:val="24"/>
          <w:szCs w:val="24"/>
          <w:color w:val="000000"/>
        </w:rPr>
        <w:t xml:space="preserve">☐  Check which polygons actually share a boundary with Benin. Distinguish directly adjoining LGAs from wider reporting areas.</w:t>
      </w:r>
    </w:p>
    <w:p>
      <w:pPr>
        <w:jc w:val="left"/>
        <w:spacing w:before="0" w:after="100" w:line="280" w:lineRule="auto"/>
        <w:widowControl/>
      </w:pPr>
      <w:r>
        <w:rPr>
          <w:rFonts w:ascii="Times New Roman" w:hAnsi="Times New Roman" w:eastAsia="Times New Roman" w:cs="Times New Roman"/>
          <w:sz w:val="24"/>
          <w:szCs w:val="24"/>
          <w:color w:val="000000"/>
        </w:rPr>
        <w:t xml:space="preserve">☐  Check invalid geometries, gaps, overlaps and sliver polygons; save a record of repairs.</w:t>
      </w:r>
    </w:p>
    <w:p>
      <w:pPr>
        <w:jc w:val="left"/>
        <w:spacing w:before="0" w:after="100" w:line="280" w:lineRule="auto"/>
        <w:widowControl/>
      </w:pPr>
      <w:r>
        <w:rPr>
          <w:rFonts w:ascii="Times New Roman" w:hAnsi="Times New Roman" w:eastAsia="Times New Roman" w:cs="Times New Roman"/>
          <w:sz w:val="24"/>
          <w:szCs w:val="24"/>
          <w:color w:val="000000"/>
        </w:rPr>
        <w:t xml:space="preserve">☐  Calculate the verified extent and area. Do not estimate them from the supplied map image.</w:t>
      </w:r>
    </w:p>
    <w:p>
      <w:pPr>
        <w:jc w:val="left"/>
        <w:spacing w:before="0" w:after="100" w:line="280" w:lineRule="auto"/>
        <w:widowControl/>
      </w:pPr>
      <w:r>
        <w:rPr>
          <w:rFonts w:ascii="Times New Roman" w:hAnsi="Times New Roman" w:eastAsia="Times New Roman" w:cs="Times New Roman"/>
          <w:sz w:val="24"/>
          <w:szCs w:val="24"/>
          <w:color w:val="000000"/>
        </w:rPr>
        <w:t xml:space="preserve">☐  Save an unedited source copy, a cleaned reporting layer and a dissolved analysis boundary.</w:t>
      </w:r>
    </w:p>
    <w:p>
      <w:pPr>
        <w:jc w:val="left"/>
        <w:spacing w:before="0" w:after="100" w:line="280" w:lineRule="auto"/>
        <w:widowControl/>
      </w:pPr>
      <w:r>
        <w:rPr>
          <w:rFonts w:ascii="Times New Roman" w:hAnsi="Times New Roman" w:eastAsia="Times New Roman" w:cs="Times New Roman"/>
          <w:sz w:val="24"/>
          <w:szCs w:val="24"/>
          <w:color w:val="000000"/>
        </w:rPr>
        <w:t xml:space="preserve">☐  Keep enough surrounding coverage for edge-sensitive calculations; clip the final outputs later.</w:t>
      </w:r>
    </w:p>
    <w:p>
      <w:pPr>
        <w:jc w:val="left"/>
        <w:spacing w:before="0" w:after="100" w:line="280" w:lineRule="auto"/>
        <w:widowControl/>
      </w:pPr>
      <w:r>
        <w:rPr>
          <w:rFonts w:ascii="Times New Roman" w:hAnsi="Times New Roman" w:eastAsia="Times New Roman" w:cs="Times New Roman"/>
          <w:sz w:val="24"/>
          <w:szCs w:val="24"/>
          <w:color w:val="000000"/>
        </w:rPr>
        <w:t xml:space="preserve">Primary source: GRID3 Nigeria catalogue, </w:t>
      </w:r>
      <w:hyperlink r:id="rIdTask1">
        <w:r>
          <w:rPr>
            <w:rFonts w:ascii="Times New Roman" w:hAnsi="Times New Roman" w:eastAsia="Times New Roman" w:cs="Times New Roman"/>
            <w:sz w:val="24"/>
            <w:szCs w:val="24"/>
            <w:color w:val="000000"/>
          </w:rPr>
          <w:t xml:space="preserve">https://grid3.org/geospatial-data-nigeria</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Alternative source for comparison: OCHA Nigeria administrative boundaries, </w:t>
      </w:r>
      <w:hyperlink r:id="rIdTask2">
        <w:r>
          <w:rPr>
            <w:rFonts w:ascii="Times New Roman" w:hAnsi="Times New Roman" w:eastAsia="Times New Roman" w:cs="Times New Roman"/>
            <w:sz w:val="24"/>
            <w:szCs w:val="24"/>
            <w:color w:val="000000"/>
          </w:rPr>
          <w:t xml:space="preserve">https://data.humdata.org/dataset/cod-ab-nga</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the selected units, release, geometry and study-domain decision are documented. Operational boundaries are not assumed to be legal demarcation evidence.</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2 Acquire Sentinel-2 imagery</w:t>
      </w:r>
    </w:p>
    <w:p>
      <w:pPr>
        <w:jc w:val="left"/>
        <w:spacing w:before="0" w:after="100" w:line="280" w:lineRule="auto"/>
        <w:widowControl/>
      </w:pPr>
      <w:r>
        <w:rPr>
          <w:rFonts w:ascii="Times New Roman" w:hAnsi="Times New Roman" w:eastAsia="Times New Roman" w:cs="Times New Roman"/>
          <w:sz w:val="24"/>
          <w:szCs w:val="24"/>
          <w:color w:val="000000"/>
        </w:rPr>
        <w:t xml:space="preserve">☐  Search for Level-2A surface-reflectance imagery covering the complete verified extent. A free provider account may be required for downloads.</w:t>
      </w:r>
    </w:p>
    <w:p>
      <w:pPr>
        <w:jc w:val="left"/>
        <w:spacing w:before="0" w:after="100" w:line="280" w:lineRule="auto"/>
        <w:widowControl/>
      </w:pPr>
      <w:r>
        <w:rPr>
          <w:rFonts w:ascii="Times New Roman" w:hAnsi="Times New Roman" w:eastAsia="Times New Roman" w:cs="Times New Roman"/>
          <w:sz w:val="24"/>
          <w:szCs w:val="24"/>
          <w:color w:val="000000"/>
        </w:rPr>
        <w:t xml:space="preserve">☐  Use a consistent seasonal window and record the exact acquisition dates; do not mix seasons without explanation.</w:t>
      </w:r>
    </w:p>
    <w:p>
      <w:pPr>
        <w:jc w:val="left"/>
        <w:spacing w:before="0" w:after="100" w:line="280" w:lineRule="auto"/>
        <w:widowControl/>
      </w:pPr>
      <w:r>
        <w:rPr>
          <w:rFonts w:ascii="Times New Roman" w:hAnsi="Times New Roman" w:eastAsia="Times New Roman" w:cs="Times New Roman"/>
          <w:sz w:val="24"/>
          <w:szCs w:val="24"/>
          <w:color w:val="000000"/>
        </w:rPr>
        <w:t xml:space="preserve">☐  Inspect clouds and shadows over the study area, rather than accepting only a whole-scene cloud percentage.</w:t>
      </w:r>
    </w:p>
    <w:p>
      <w:pPr>
        <w:jc w:val="left"/>
        <w:spacing w:before="0" w:after="100" w:line="280" w:lineRule="auto"/>
        <w:widowControl/>
      </w:pPr>
      <w:r>
        <w:rPr>
          <w:rFonts w:ascii="Times New Roman" w:hAnsi="Times New Roman" w:eastAsia="Times New Roman" w:cs="Times New Roman"/>
          <w:sz w:val="24"/>
          <w:szCs w:val="24"/>
          <w:color w:val="000000"/>
        </w:rPr>
        <w:t xml:space="preserve">☐  Download the bands needed for the planned class scheme, quality information and metadata, not just a rendered colour image.</w:t>
      </w:r>
    </w:p>
    <w:p>
      <w:pPr>
        <w:jc w:val="left"/>
        <w:spacing w:before="0" w:after="100" w:line="280" w:lineRule="auto"/>
        <w:widowControl/>
      </w:pPr>
      <w:r>
        <w:rPr>
          <w:rFonts w:ascii="Times New Roman" w:hAnsi="Times New Roman" w:eastAsia="Times New Roman" w:cs="Times New Roman"/>
          <w:sz w:val="24"/>
          <w:szCs w:val="24"/>
          <w:color w:val="000000"/>
        </w:rPr>
        <w:t xml:space="preserve">☐  Record each product identifier, native band resolution, processing baseline and any scale or offset information.</w:t>
      </w:r>
    </w:p>
    <w:p>
      <w:pPr>
        <w:jc w:val="left"/>
        <w:spacing w:before="0" w:after="100" w:line="280" w:lineRule="auto"/>
        <w:widowControl/>
      </w:pPr>
      <w:r>
        <w:rPr>
          <w:rFonts w:ascii="Times New Roman" w:hAnsi="Times New Roman" w:eastAsia="Times New Roman" w:cs="Times New Roman"/>
          <w:sz w:val="24"/>
          <w:szCs w:val="24"/>
          <w:color w:val="000000"/>
        </w:rPr>
        <w:t xml:space="preserve">☐  Check for missing tiles, cloud-contaminated areas and seams; record the compositing rule and residual gaps.</w:t>
      </w:r>
    </w:p>
    <w:p>
      <w:pPr>
        <w:jc w:val="left"/>
        <w:spacing w:before="0" w:after="100" w:line="280" w:lineRule="auto"/>
        <w:widowControl/>
      </w:pPr>
      <w:r>
        <w:rPr>
          <w:rFonts w:ascii="Times New Roman" w:hAnsi="Times New Roman" w:eastAsia="Times New Roman" w:cs="Times New Roman"/>
          <w:sz w:val="24"/>
          <w:szCs w:val="24"/>
          <w:color w:val="000000"/>
        </w:rPr>
        <w:t xml:space="preserve">☐  Test whether the intended classes can be distinguished before committing to a complex class scheme.</w:t>
      </w:r>
    </w:p>
    <w:p>
      <w:pPr>
        <w:jc w:val="left"/>
        <w:spacing w:before="0" w:after="100" w:line="280" w:lineRule="auto"/>
        <w:widowControl/>
      </w:pPr>
      <w:r>
        <w:rPr>
          <w:rFonts w:ascii="Times New Roman" w:hAnsi="Times New Roman" w:eastAsia="Times New Roman" w:cs="Times New Roman"/>
          <w:sz w:val="24"/>
          <w:szCs w:val="24"/>
          <w:color w:val="000000"/>
        </w:rPr>
        <w:t xml:space="preserve">Data browser: </w:t>
      </w:r>
      <w:hyperlink r:id="rIdTask3">
        <w:r>
          <w:rPr>
            <w:rFonts w:ascii="Times New Roman" w:hAnsi="Times New Roman" w:eastAsia="Times New Roman" w:cs="Times New Roman"/>
            <w:sz w:val="24"/>
            <w:szCs w:val="24"/>
            <w:color w:val="000000"/>
          </w:rPr>
          <w:t xml:space="preserve">https://browser.dataspace.copernicus.eu/</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Product documentation: </w:t>
      </w:r>
      <w:hyperlink r:id="rIdTask4">
        <w:r>
          <w:rPr>
            <w:rFonts w:ascii="Times New Roman" w:hAnsi="Times New Roman" w:eastAsia="Times New Roman" w:cs="Times New Roman"/>
            <w:sz w:val="24"/>
            <w:szCs w:val="24"/>
            <w:color w:val="000000"/>
          </w:rPr>
          <w:t xml:space="preserve">https://documentation.dataspace.copernicus.eu/Data/Sentinel2.html</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the observation period, spatial coverage and usable-pixel coverage are documented. Resampling a coarser band does not improve its native detail.</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3 Acquire the elevation model</w:t>
      </w:r>
    </w:p>
    <w:p>
      <w:pPr>
        <w:jc w:val="left"/>
        <w:spacing w:before="0" w:after="100" w:line="280" w:lineRule="auto"/>
        <w:widowControl/>
      </w:pPr>
      <w:r>
        <w:rPr>
          <w:rFonts w:ascii="Times New Roman" w:hAnsi="Times New Roman" w:eastAsia="Times New Roman" w:cs="Times New Roman"/>
          <w:sz w:val="24"/>
          <w:szCs w:val="24"/>
          <w:color w:val="000000"/>
        </w:rPr>
        <w:t xml:space="preserve">☐  Select SRTMGL1 V003 and download every required tile plus processing margins.</w:t>
      </w:r>
    </w:p>
    <w:p>
      <w:pPr>
        <w:jc w:val="left"/>
        <w:spacing w:before="0" w:after="100" w:line="280" w:lineRule="auto"/>
        <w:widowControl/>
      </w:pPr>
      <w:r>
        <w:rPr>
          <w:rFonts w:ascii="Times New Roman" w:hAnsi="Times New Roman" w:eastAsia="Times New Roman" w:cs="Times New Roman"/>
          <w:sz w:val="24"/>
          <w:szCs w:val="24"/>
          <w:color w:val="000000"/>
        </w:rPr>
        <w:t xml:space="preserve">☐  Record product version, horizontal and vertical reference information, units and NoData value.</w:t>
      </w:r>
    </w:p>
    <w:p>
      <w:pPr>
        <w:jc w:val="left"/>
        <w:spacing w:before="0" w:after="100" w:line="280" w:lineRule="auto"/>
        <w:widowControl/>
      </w:pPr>
      <w:r>
        <w:rPr>
          <w:rFonts w:ascii="Times New Roman" w:hAnsi="Times New Roman" w:eastAsia="Times New Roman" w:cs="Times New Roman"/>
          <w:sz w:val="24"/>
          <w:szCs w:val="24"/>
          <w:color w:val="000000"/>
        </w:rPr>
        <w:t xml:space="preserve">☐  Inspect tile seams, unusual values, voids and possible surface effects before deriving terrain variables.</w:t>
      </w:r>
    </w:p>
    <w:p>
      <w:pPr>
        <w:jc w:val="left"/>
        <w:spacing w:before="0" w:after="100" w:line="280" w:lineRule="auto"/>
        <w:widowControl/>
      </w:pPr>
      <w:r>
        <w:rPr>
          <w:rFonts w:ascii="Times New Roman" w:hAnsi="Times New Roman" w:eastAsia="Times New Roman" w:cs="Times New Roman"/>
          <w:sz w:val="24"/>
          <w:szCs w:val="24"/>
          <w:color w:val="000000"/>
        </w:rPr>
        <w:t xml:space="preserve">☐  Distinguish the February 2000 acquisition period from the download date.</w:t>
      </w:r>
    </w:p>
    <w:p>
      <w:pPr>
        <w:jc w:val="left"/>
        <w:spacing w:before="0" w:after="100" w:line="280" w:lineRule="auto"/>
        <w:widowControl/>
      </w:pPr>
      <w:r>
        <w:rPr>
          <w:rFonts w:ascii="Times New Roman" w:hAnsi="Times New Roman" w:eastAsia="Times New Roman" w:cs="Times New Roman"/>
          <w:sz w:val="24"/>
          <w:szCs w:val="24"/>
          <w:color w:val="000000"/>
        </w:rPr>
        <w:t xml:space="preserve">☐  Keep the original elevation raster; store the projected and aligned copy separately.</w:t>
      </w:r>
    </w:p>
    <w:p>
      <w:pPr>
        <w:jc w:val="left"/>
        <w:spacing w:before="0" w:after="100" w:line="280" w:lineRule="auto"/>
        <w:widowControl/>
      </w:pPr>
      <w:r>
        <w:rPr>
          <w:rFonts w:ascii="Times New Roman" w:hAnsi="Times New Roman" w:eastAsia="Times New Roman" w:cs="Times New Roman"/>
          <w:sz w:val="24"/>
          <w:szCs w:val="24"/>
          <w:color w:val="000000"/>
        </w:rPr>
        <w:t xml:space="preserve">☐  Inspect slope and hillshade outputs for processing artefacts before using them in the model.</w:t>
      </w:r>
    </w:p>
    <w:p>
      <w:pPr>
        <w:jc w:val="left"/>
        <w:spacing w:before="0" w:after="100" w:line="280" w:lineRule="auto"/>
        <w:widowControl/>
      </w:pPr>
      <w:r>
        <w:rPr>
          <w:rFonts w:ascii="Times New Roman" w:hAnsi="Times New Roman" w:eastAsia="Times New Roman" w:cs="Times New Roman"/>
          <w:sz w:val="24"/>
          <w:szCs w:val="24"/>
          <w:color w:val="000000"/>
        </w:rPr>
        <w:t xml:space="preserve">Dataset catalogue: </w:t>
      </w:r>
      <w:hyperlink r:id="rIdTask5">
        <w:r>
          <w:rPr>
            <w:rFonts w:ascii="Times New Roman" w:hAnsi="Times New Roman" w:eastAsia="Times New Roman" w:cs="Times New Roman"/>
            <w:sz w:val="24"/>
            <w:szCs w:val="24"/>
            <w:color w:val="000000"/>
          </w:rPr>
          <w:t xml:space="preserve">https://www.earthdata.nasa.gov/data/catalog/lpcloud-srtmgl1-003</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Search/download service: </w:t>
      </w:r>
      <w:hyperlink r:id="rIdTask6">
        <w:r>
          <w:rPr>
            <w:rFonts w:ascii="Times New Roman" w:hAnsi="Times New Roman" w:eastAsia="Times New Roman" w:cs="Times New Roman"/>
            <w:sz w:val="24"/>
            <w:szCs w:val="24"/>
            <w:color w:val="000000"/>
          </w:rPr>
          <w:t xml:space="preserve">https://search.earthdata.nasa.gov/</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Dataset DOI: </w:t>
      </w:r>
      <w:hyperlink r:id="rIdTask7">
        <w:r>
          <w:rPr>
            <w:rFonts w:ascii="Times New Roman" w:hAnsi="Times New Roman" w:eastAsia="Times New Roman" w:cs="Times New Roman"/>
            <w:sz w:val="24"/>
            <w:szCs w:val="24"/>
            <w:color w:val="000000"/>
          </w:rPr>
          <w:t xml:space="preserve">https://doi.org/10.5067/MEASURES/SRTM/SRTMGL1.003</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coverage and units are correct, visible artefacts are understood, and the age and surface limitations are recorded. An Earthdata Login may be required.</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4 Acquire roads and settlement information</w:t>
      </w:r>
    </w:p>
    <w:p>
      <w:pPr>
        <w:jc w:val="left"/>
        <w:spacing w:before="0" w:after="100" w:line="280" w:lineRule="auto"/>
        <w:widowControl/>
      </w:pPr>
      <w:r>
        <w:rPr>
          <w:rFonts w:ascii="Times New Roman" w:hAnsi="Times New Roman" w:eastAsia="Times New Roman" w:cs="Times New Roman"/>
          <w:sz w:val="24"/>
          <w:szCs w:val="24"/>
          <w:color w:val="000000"/>
        </w:rPr>
        <w:t xml:space="preserve">☐  Download a dated OpenStreetMap extract through Geofabrik; choose a format that your QGIS installation can read.</w:t>
      </w:r>
    </w:p>
    <w:p>
      <w:pPr>
        <w:jc w:val="left"/>
        <w:spacing w:before="0" w:after="100" w:line="280" w:lineRule="auto"/>
        <w:widowControl/>
      </w:pPr>
      <w:r>
        <w:rPr>
          <w:rFonts w:ascii="Times New Roman" w:hAnsi="Times New Roman" w:eastAsia="Times New Roman" w:cs="Times New Roman"/>
          <w:sz w:val="24"/>
          <w:szCs w:val="24"/>
          <w:color w:val="000000"/>
        </w:rPr>
        <w:t xml:space="preserve">☐  Record the extract timestamp before clipping. The latest file changes, so retain your downloaded snapshot.</w:t>
      </w:r>
    </w:p>
    <w:p>
      <w:pPr>
        <w:jc w:val="left"/>
        <w:spacing w:before="0" w:after="100" w:line="280" w:lineRule="auto"/>
        <w:widowControl/>
      </w:pPr>
      <w:r>
        <w:rPr>
          <w:rFonts w:ascii="Times New Roman" w:hAnsi="Times New Roman" w:eastAsia="Times New Roman" w:cs="Times New Roman"/>
          <w:sz w:val="24"/>
          <w:szCs w:val="24"/>
          <w:color w:val="000000"/>
        </w:rPr>
        <w:t xml:space="preserve">☐  Retain relevant feature tags and document any road-class filtering.</w:t>
      </w:r>
    </w:p>
    <w:p>
      <w:pPr>
        <w:jc w:val="left"/>
        <w:spacing w:before="0" w:after="100" w:line="280" w:lineRule="auto"/>
        <w:widowControl/>
      </w:pPr>
      <w:r>
        <w:rPr>
          <w:rFonts w:ascii="Times New Roman" w:hAnsi="Times New Roman" w:eastAsia="Times New Roman" w:cs="Times New Roman"/>
          <w:sz w:val="24"/>
          <w:szCs w:val="24"/>
          <w:color w:val="000000"/>
        </w:rPr>
        <w:t xml:space="preserve">☐  Check duplicated features, disconnected segments and obvious omissions against permitted public imagery.</w:t>
      </w:r>
    </w:p>
    <w:p>
      <w:pPr>
        <w:jc w:val="left"/>
        <w:spacing w:before="0" w:after="100" w:line="280" w:lineRule="auto"/>
        <w:widowControl/>
      </w:pPr>
      <w:r>
        <w:rPr>
          <w:rFonts w:ascii="Times New Roman" w:hAnsi="Times New Roman" w:eastAsia="Times New Roman" w:cs="Times New Roman"/>
          <w:sz w:val="24"/>
          <w:szCs w:val="24"/>
          <w:color w:val="000000"/>
        </w:rPr>
        <w:t xml:space="preserve">☐  Treat missing roads as unknown mapping coverage, not proof of absence.</w:t>
      </w:r>
    </w:p>
    <w:p>
      <w:pPr>
        <w:jc w:val="left"/>
        <w:spacing w:before="0" w:after="100" w:line="280" w:lineRule="auto"/>
        <w:widowControl/>
      </w:pPr>
      <w:r>
        <w:rPr>
          <w:rFonts w:ascii="Times New Roman" w:hAnsi="Times New Roman" w:eastAsia="Times New Roman" w:cs="Times New Roman"/>
          <w:sz w:val="24"/>
          <w:szCs w:val="24"/>
          <w:color w:val="000000"/>
        </w:rPr>
        <w:t xml:space="preserve">☐  If GRID3 settlements are also used, compare feature definitions and dates before combining them with OSM.</w:t>
      </w:r>
    </w:p>
    <w:p>
      <w:pPr>
        <w:jc w:val="left"/>
        <w:spacing w:before="0" w:after="100" w:line="280" w:lineRule="auto"/>
        <w:widowControl/>
      </w:pPr>
      <w:r>
        <w:rPr>
          <w:rFonts w:ascii="Times New Roman" w:hAnsi="Times New Roman" w:eastAsia="Times New Roman" w:cs="Times New Roman"/>
          <w:sz w:val="24"/>
          <w:szCs w:val="24"/>
          <w:color w:val="000000"/>
        </w:rPr>
        <w:t xml:space="preserve">☐  Keep named settlement points distinct from settlement polygons and population estimates.</w:t>
      </w:r>
    </w:p>
    <w:p>
      <w:pPr>
        <w:jc w:val="left"/>
        <w:spacing w:before="0" w:after="100" w:line="280" w:lineRule="auto"/>
        <w:widowControl/>
      </w:pPr>
      <w:r>
        <w:rPr>
          <w:rFonts w:ascii="Times New Roman" w:hAnsi="Times New Roman" w:eastAsia="Times New Roman" w:cs="Times New Roman"/>
          <w:sz w:val="24"/>
          <w:szCs w:val="24"/>
          <w:color w:val="000000"/>
        </w:rPr>
        <w:t xml:space="preserve">☐  Preserve required attribution on maps and in the data register.</w:t>
      </w:r>
    </w:p>
    <w:p>
      <w:pPr>
        <w:jc w:val="left"/>
        <w:spacing w:before="0" w:after="100" w:line="280" w:lineRule="auto"/>
        <w:widowControl/>
      </w:pPr>
      <w:r>
        <w:rPr>
          <w:rFonts w:ascii="Times New Roman" w:hAnsi="Times New Roman" w:eastAsia="Times New Roman" w:cs="Times New Roman"/>
          <w:sz w:val="24"/>
          <w:szCs w:val="24"/>
          <w:color w:val="000000"/>
        </w:rPr>
        <w:t xml:space="preserve">Nigeria extracts: </w:t>
      </w:r>
      <w:hyperlink r:id="rIdTask8">
        <w:r>
          <w:rPr>
            <w:rFonts w:ascii="Times New Roman" w:hAnsi="Times New Roman" w:eastAsia="Times New Roman" w:cs="Times New Roman"/>
            <w:sz w:val="24"/>
            <w:szCs w:val="24"/>
            <w:color w:val="000000"/>
          </w:rPr>
          <w:t xml:space="preserve">https://download.geofabrik.de/africa/nigeria.html</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GRID3 catalogue: </w:t>
      </w:r>
      <w:hyperlink r:id="rIdTask1">
        <w:r>
          <w:rPr>
            <w:rFonts w:ascii="Times New Roman" w:hAnsi="Times New Roman" w:eastAsia="Times New Roman" w:cs="Times New Roman"/>
            <w:sz w:val="24"/>
            <w:szCs w:val="24"/>
            <w:color w:val="000000"/>
          </w:rPr>
          <w:t xml:space="preserve">https://grid3.org/geospatial-data-nigeria</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OSM licence and attribution: </w:t>
      </w:r>
      <w:hyperlink r:id="rIdTask9">
        <w:r>
          <w:rPr>
            <w:rFonts w:ascii="Times New Roman" w:hAnsi="Times New Roman" w:eastAsia="Times New Roman" w:cs="Times New Roman"/>
            <w:sz w:val="24"/>
            <w:szCs w:val="24"/>
            <w:color w:val="000000"/>
          </w:rPr>
          <w:t xml:space="preserve">https://www.openstreetmap.org/copyright</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the snapshot, feature selection and completeness limitations are recorded. Current extract dates do not guarantee that every feature was recently surveyed.</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5 Obtain a comparison land-cover product</w:t>
      </w:r>
    </w:p>
    <w:p>
      <w:pPr>
        <w:jc w:val="left"/>
        <w:spacing w:before="0" w:after="100" w:line="280" w:lineRule="auto"/>
        <w:widowControl/>
      </w:pPr>
      <w:r>
        <w:rPr>
          <w:rFonts w:ascii="Times New Roman" w:hAnsi="Times New Roman" w:eastAsia="Times New Roman" w:cs="Times New Roman"/>
          <w:sz w:val="24"/>
          <w:szCs w:val="24"/>
          <w:color w:val="000000"/>
        </w:rPr>
        <w:t xml:space="preserve">☐  Download ESA WorldCover 2021 v200 tiles for the study extent.</w:t>
      </w:r>
    </w:p>
    <w:p>
      <w:pPr>
        <w:jc w:val="left"/>
        <w:spacing w:before="0" w:after="100" w:line="280" w:lineRule="auto"/>
        <w:widowControl/>
      </w:pPr>
      <w:r>
        <w:rPr>
          <w:rFonts w:ascii="Times New Roman" w:hAnsi="Times New Roman" w:eastAsia="Times New Roman" w:cs="Times New Roman"/>
          <w:sz w:val="24"/>
          <w:szCs w:val="24"/>
          <w:color w:val="000000"/>
        </w:rPr>
        <w:t xml:space="preserve">☐  Save the class legend, product documentation and licence alongside the raster.</w:t>
      </w:r>
    </w:p>
    <w:p>
      <w:pPr>
        <w:jc w:val="left"/>
        <w:spacing w:before="0" w:after="100" w:line="280" w:lineRule="auto"/>
        <w:widowControl/>
      </w:pPr>
      <w:r>
        <w:rPr>
          <w:rFonts w:ascii="Times New Roman" w:hAnsi="Times New Roman" w:eastAsia="Times New Roman" w:cs="Times New Roman"/>
          <w:sz w:val="24"/>
          <w:szCs w:val="24"/>
          <w:color w:val="000000"/>
        </w:rPr>
        <w:t xml:space="preserve">☐  Reconcile WorldCover classes with the proposed study classes using a written crosswalk.</w:t>
      </w:r>
    </w:p>
    <w:p>
      <w:pPr>
        <w:jc w:val="left"/>
        <w:spacing w:before="0" w:after="100" w:line="280" w:lineRule="auto"/>
        <w:widowControl/>
      </w:pPr>
      <w:r>
        <w:rPr>
          <w:rFonts w:ascii="Times New Roman" w:hAnsi="Times New Roman" w:eastAsia="Times New Roman" w:cs="Times New Roman"/>
          <w:sz w:val="24"/>
          <w:szCs w:val="24"/>
          <w:color w:val="000000"/>
        </w:rPr>
        <w:t xml:space="preserve">☐  Record the temporal difference between WorldCover and the selected Sentinel-2 scenes.</w:t>
      </w:r>
    </w:p>
    <w:p>
      <w:pPr>
        <w:jc w:val="left"/>
        <w:spacing w:before="0" w:after="100" w:line="280" w:lineRule="auto"/>
        <w:widowControl/>
      </w:pPr>
      <w:r>
        <w:rPr>
          <w:rFonts w:ascii="Times New Roman" w:hAnsi="Times New Roman" w:eastAsia="Times New Roman" w:cs="Times New Roman"/>
          <w:sz w:val="24"/>
          <w:szCs w:val="24"/>
          <w:color w:val="000000"/>
        </w:rPr>
        <w:t xml:space="preserve">☐  Separate likely temporal change from classification disagreement where evidence permits.</w:t>
      </w:r>
    </w:p>
    <w:p>
      <w:pPr>
        <w:jc w:val="left"/>
        <w:spacing w:before="0" w:after="100" w:line="280" w:lineRule="auto"/>
        <w:widowControl/>
      </w:pPr>
      <w:r>
        <w:rPr>
          <w:rFonts w:ascii="Times New Roman" w:hAnsi="Times New Roman" w:eastAsia="Times New Roman" w:cs="Times New Roman"/>
          <w:sz w:val="24"/>
          <w:szCs w:val="24"/>
          <w:color w:val="000000"/>
        </w:rPr>
        <w:t xml:space="preserve">☐  Use the product as contextual comparison, not automatic ground truth or a measure of operational suitability.</w:t>
      </w:r>
    </w:p>
    <w:p>
      <w:pPr>
        <w:jc w:val="left"/>
        <w:spacing w:before="0" w:after="100" w:line="280" w:lineRule="auto"/>
        <w:widowControl/>
      </w:pPr>
      <w:r>
        <w:rPr>
          <w:rFonts w:ascii="Times New Roman" w:hAnsi="Times New Roman" w:eastAsia="Times New Roman" w:cs="Times New Roman"/>
          <w:sz w:val="24"/>
          <w:szCs w:val="24"/>
          <w:color w:val="000000"/>
        </w:rPr>
        <w:t xml:space="preserve">Download and documentation: </w:t>
      </w:r>
      <w:hyperlink r:id="rIdTask10">
        <w:r>
          <w:rPr>
            <w:rFonts w:ascii="Times New Roman" w:hAnsi="Times New Roman" w:eastAsia="Times New Roman" w:cs="Times New Roman"/>
            <w:sz w:val="24"/>
            <w:szCs w:val="24"/>
            <w:color w:val="000000"/>
          </w:rPr>
          <w:t xml:space="preserve">https://esa-worldcover.org/en/data-access</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class meanings and dates are compatible with the stated comparison. Do not adopt the global accuracy figure as the study area's local accuracy.</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6 Establish the assessment evidence</w:t>
      </w:r>
    </w:p>
    <w:p>
      <w:pPr>
        <w:jc w:val="left"/>
        <w:spacing w:before="0" w:after="100" w:line="280" w:lineRule="auto"/>
        <w:widowControl/>
      </w:pPr>
      <w:r>
        <w:rPr>
          <w:rFonts w:ascii="Times New Roman" w:hAnsi="Times New Roman" w:eastAsia="Times New Roman" w:cs="Times New Roman"/>
          <w:sz w:val="24"/>
          <w:szCs w:val="24"/>
          <w:color w:val="000000"/>
        </w:rPr>
        <w:t xml:space="preserve">☐  Identify legally usable public reference imagery with known dates and adequate detail before promising a numerical accuracy assessment.</w:t>
      </w:r>
    </w:p>
    <w:p>
      <w:pPr>
        <w:jc w:val="left"/>
        <w:spacing w:before="0" w:after="100" w:line="280" w:lineRule="auto"/>
        <w:widowControl/>
      </w:pPr>
      <w:r>
        <w:rPr>
          <w:rFonts w:ascii="Times New Roman" w:hAnsi="Times New Roman" w:eastAsia="Times New Roman" w:cs="Times New Roman"/>
          <w:sz w:val="24"/>
          <w:szCs w:val="24"/>
          <w:color w:val="000000"/>
        </w:rPr>
        <w:t xml:space="preserve">☐  Separate reference samples from training samples; avoid shared labels and overlapping training locations.</w:t>
      </w:r>
    </w:p>
    <w:p>
      <w:pPr>
        <w:jc w:val="left"/>
        <w:spacing w:before="0" w:after="100" w:line="280" w:lineRule="auto"/>
        <w:widowControl/>
      </w:pPr>
      <w:r>
        <w:rPr>
          <w:rFonts w:ascii="Times New Roman" w:hAnsi="Times New Roman" w:eastAsia="Times New Roman" w:cs="Times New Roman"/>
          <w:sz w:val="24"/>
          <w:szCs w:val="24"/>
          <w:color w:val="000000"/>
        </w:rPr>
        <w:t xml:space="preserve">☐  Write the response rules for ambiguous and mixed pixels before assigning assessment labels.</w:t>
      </w:r>
    </w:p>
    <w:p>
      <w:pPr>
        <w:jc w:val="left"/>
        <w:spacing w:before="0" w:after="100" w:line="280" w:lineRule="auto"/>
        <w:widowControl/>
      </w:pPr>
      <w:r>
        <w:rPr>
          <w:rFonts w:ascii="Times New Roman" w:hAnsi="Times New Roman" w:eastAsia="Times New Roman" w:cs="Times New Roman"/>
          <w:sz w:val="24"/>
          <w:szCs w:val="24"/>
          <w:color w:val="000000"/>
        </w:rPr>
        <w:t xml:space="preserve">☐  Pilot the class scheme and reference interpretation; record uncertain labels.</w:t>
      </w:r>
    </w:p>
    <w:p>
      <w:pPr>
        <w:jc w:val="left"/>
        <w:spacing w:before="0" w:after="100" w:line="280" w:lineRule="auto"/>
        <w:widowControl/>
      </w:pPr>
      <w:r>
        <w:rPr>
          <w:rFonts w:ascii="Times New Roman" w:hAnsi="Times New Roman" w:eastAsia="Times New Roman" w:cs="Times New Roman"/>
          <w:sz w:val="24"/>
          <w:szCs w:val="24"/>
          <w:color w:val="000000"/>
        </w:rPr>
        <w:t xml:space="preserve">☐  Select assessment samples using the stated probability design and record class allocation and inclusion probabilities.</w:t>
      </w:r>
    </w:p>
    <w:p>
      <w:pPr>
        <w:jc w:val="left"/>
        <w:spacing w:before="0" w:after="100" w:line="280" w:lineRule="auto"/>
        <w:widowControl/>
      </w:pPr>
      <w:r>
        <w:rPr>
          <w:rFonts w:ascii="Times New Roman" w:hAnsi="Times New Roman" w:eastAsia="Times New Roman" w:cs="Times New Roman"/>
          <w:sz w:val="24"/>
          <w:szCs w:val="24"/>
          <w:color w:val="000000"/>
        </w:rPr>
        <w:t xml:space="preserve">☐  Use estimators consistent with the sampling design; do not report simple unweighted overall accuracy after disproportionate sampling without justification.</w:t>
      </w:r>
    </w:p>
    <w:p>
      <w:pPr>
        <w:jc w:val="left"/>
        <w:spacing w:before="0" w:after="100" w:line="280" w:lineRule="auto"/>
        <w:widowControl/>
      </w:pPr>
      <w:r>
        <w:rPr>
          <w:rFonts w:ascii="Times New Roman" w:hAnsi="Times New Roman" w:eastAsia="Times New Roman" w:cs="Times New Roman"/>
          <w:sz w:val="24"/>
          <w:szCs w:val="24"/>
          <w:color w:val="000000"/>
        </w:rPr>
        <w:t xml:space="preserve">☐  If suitable independent reference evidence is unavailable, report confidence and product agreement with an explicit limitation.</w:t>
      </w:r>
    </w:p>
    <w:p>
      <w:pPr>
        <w:jc w:val="left"/>
        <w:spacing w:before="0" w:after="100" w:line="280" w:lineRule="auto"/>
        <w:widowControl/>
      </w:pPr>
      <w:r>
        <w:rPr>
          <w:rFonts w:ascii="Times New Roman" w:hAnsi="Times New Roman" w:eastAsia="Times New Roman" w:cs="Times New Roman"/>
          <w:sz w:val="24"/>
          <w:szCs w:val="24"/>
          <w:color w:val="000000"/>
        </w:rPr>
        <w:t xml:space="preserve">Methodological reference: Olofsson et al. (2014), </w:t>
      </w:r>
      <w:hyperlink r:id="rIdTask11">
        <w:r>
          <w:rPr>
            <w:rFonts w:ascii="Times New Roman" w:hAnsi="Times New Roman" w:eastAsia="Times New Roman" w:cs="Times New Roman"/>
            <w:sz w:val="24"/>
            <w:szCs w:val="24"/>
            <w:color w:val="000000"/>
          </w:rPr>
          <w:t xml:space="preserve">https://doi.org/10.1016/j.rse.2014.02.015</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the assessment can be reproduced and reference limitations are visible. A second remotely sensed product may share source data and errors with the first.</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7 Prepare the common QGIS workspace</w:t>
      </w:r>
    </w:p>
    <w:p>
      <w:pPr>
        <w:jc w:val="left"/>
        <w:spacing w:before="0" w:after="100" w:line="280" w:lineRule="auto"/>
        <w:widowControl/>
      </w:pPr>
      <w:r>
        <w:rPr>
          <w:rFonts w:ascii="Times New Roman" w:hAnsi="Times New Roman" w:eastAsia="Times New Roman" w:cs="Times New Roman"/>
          <w:sz w:val="24"/>
          <w:szCs w:val="24"/>
          <w:color w:val="000000"/>
        </w:rPr>
        <w:t xml:space="preserve">☐  Record QGIS version, operating system, processing providers and relevant plugin versions. Test compatibility before downloading large volumes.</w:t>
      </w:r>
    </w:p>
    <w:p>
      <w:pPr>
        <w:jc w:val="left"/>
        <w:spacing w:before="0" w:after="100" w:line="280" w:lineRule="auto"/>
        <w:widowControl/>
      </w:pPr>
      <w:r>
        <w:rPr>
          <w:rFonts w:ascii="Times New Roman" w:hAnsi="Times New Roman" w:eastAsia="Times New Roman" w:cs="Times New Roman"/>
          <w:sz w:val="24"/>
          <w:szCs w:val="24"/>
          <w:color w:val="000000"/>
        </w:rPr>
        <w:t xml:space="preserve">☐  Confirm the chosen projected CRS against the study extent; WGS 84 / UTM zone 31N is the proposal's starting choice.</w:t>
      </w:r>
    </w:p>
    <w:p>
      <w:pPr>
        <w:jc w:val="left"/>
        <w:spacing w:before="0" w:after="100" w:line="280" w:lineRule="auto"/>
        <w:widowControl/>
      </w:pPr>
      <w:r>
        <w:rPr>
          <w:rFonts w:ascii="Times New Roman" w:hAnsi="Times New Roman" w:eastAsia="Times New Roman" w:cs="Times New Roman"/>
          <w:sz w:val="24"/>
          <w:szCs w:val="24"/>
          <w:color w:val="000000"/>
        </w:rPr>
        <w:t xml:space="preserve">☐  Define the common grid origin, extent and cell size. Retain a 30 m baseline and a documented 60 m comparison where feasible.</w:t>
      </w:r>
    </w:p>
    <w:p>
      <w:pPr>
        <w:jc w:val="left"/>
        <w:spacing w:before="0" w:after="100" w:line="280" w:lineRule="auto"/>
        <w:widowControl/>
      </w:pPr>
      <w:r>
        <w:rPr>
          <w:rFonts w:ascii="Times New Roman" w:hAnsi="Times New Roman" w:eastAsia="Times New Roman" w:cs="Times New Roman"/>
          <w:sz w:val="24"/>
          <w:szCs w:val="24"/>
          <w:color w:val="000000"/>
        </w:rPr>
        <w:t xml:space="preserve">☐  Use suitable resampling for continuous and categorical variables; check alignment visually and numerically.</w:t>
      </w:r>
    </w:p>
    <w:p>
      <w:pPr>
        <w:jc w:val="left"/>
        <w:spacing w:before="0" w:after="100" w:line="280" w:lineRule="auto"/>
        <w:widowControl/>
      </w:pPr>
      <w:r>
        <w:rPr>
          <w:rFonts w:ascii="Times New Roman" w:hAnsi="Times New Roman" w:eastAsia="Times New Roman" w:cs="Times New Roman"/>
          <w:sz w:val="24"/>
          <w:szCs w:val="24"/>
          <w:color w:val="000000"/>
        </w:rPr>
        <w:t xml:space="preserve">☐  Keep exclusion, valid-data and NoData masks distinct.</w:t>
      </w:r>
    </w:p>
    <w:p>
      <w:pPr>
        <w:jc w:val="left"/>
        <w:spacing w:before="0" w:after="100" w:line="280" w:lineRule="auto"/>
        <w:widowControl/>
      </w:pPr>
      <w:r>
        <w:rPr>
          <w:rFonts w:ascii="Times New Roman" w:hAnsi="Times New Roman" w:eastAsia="Times New Roman" w:cs="Times New Roman"/>
          <w:sz w:val="24"/>
          <w:szCs w:val="24"/>
          <w:color w:val="000000"/>
        </w:rPr>
        <w:t xml:space="preserve">☐  Store raw data unchanged; use separate prepared-data and scenario directories.</w:t>
      </w:r>
    </w:p>
    <w:p>
      <w:pPr>
        <w:jc w:val="left"/>
        <w:spacing w:before="0" w:after="100" w:line="280" w:lineRule="auto"/>
        <w:widowControl/>
      </w:pPr>
      <w:r>
        <w:rPr>
          <w:rFonts w:ascii="Times New Roman" w:hAnsi="Times New Roman" w:eastAsia="Times New Roman" w:cs="Times New Roman"/>
          <w:sz w:val="24"/>
          <w:szCs w:val="24"/>
          <w:color w:val="000000"/>
        </w:rPr>
        <w:t xml:space="preserve">☐  Save the QGIS project with usable paths and retain processing histories and settings.</w:t>
      </w:r>
    </w:p>
    <w:p>
      <w:pPr>
        <w:jc w:val="left"/>
        <w:spacing w:before="0" w:after="100" w:line="280" w:lineRule="auto"/>
        <w:widowControl/>
      </w:pPr>
      <w:r>
        <w:rPr>
          <w:rFonts w:ascii="Times New Roman" w:hAnsi="Times New Roman" w:eastAsia="Times New Roman" w:cs="Times New Roman"/>
          <w:sz w:val="24"/>
          <w:szCs w:val="24"/>
          <w:color w:val="000000"/>
        </w:rPr>
        <w:t xml:space="preserve">User guide: </w:t>
      </w:r>
      <w:hyperlink r:id="rIdTask12">
        <w:r>
          <w:rPr>
            <w:rFonts w:ascii="Times New Roman" w:hAnsi="Times New Roman" w:eastAsia="Times New Roman" w:cs="Times New Roman"/>
            <w:sz w:val="24"/>
            <w:szCs w:val="24"/>
            <w:color w:val="000000"/>
          </w:rPr>
          <w:t xml:space="preserve">https://docs.qgis.org/latest/en/docs/user_manual/</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Classification plugin candidate: </w:t>
      </w:r>
      <w:hyperlink r:id="rIdTask13">
        <w:r>
          <w:rPr>
            <w:rFonts w:ascii="Times New Roman" w:hAnsi="Times New Roman" w:eastAsia="Times New Roman" w:cs="Times New Roman"/>
            <w:sz w:val="24"/>
            <w:szCs w:val="24"/>
            <w:color w:val="000000"/>
          </w:rPr>
          <w:t xml:space="preserve">https://plugins.qgis.org/plugins/SemiAutomaticClassificationPlugin/</w:t>
        </w:r>
      </w:hyperlink>
    </w:p>
    <w:p>
      <w:pPr>
        <w:jc w:val="left"/>
        <w:spacing w:before="0" w:after="100" w:line="280" w:lineRule="auto"/>
        <w:widowControl/>
      </w:pPr>
      <w:r>
        <w:rPr>
          <w:rFonts w:ascii="Times New Roman" w:hAnsi="Times New Roman" w:eastAsia="Times New Roman" w:cs="Times New Roman"/>
          <w:sz w:val="24"/>
          <w:szCs w:val="24"/>
          <w:color w:val="000000"/>
        </w:rPr>
        <w:t xml:space="preserve">Accept when: a small pilot runs successfully and outputs have consistent geometry. Plugin listing is not proof of compatibility with your installed build.</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8 Complete the modelling register before the final runs</w:t>
      </w:r>
    </w:p>
    <w:p>
      <w:pPr>
        <w:jc w:val="left"/>
        <w:spacing w:before="0" w:after="100" w:line="280" w:lineRule="auto"/>
        <w:widowControl/>
      </w:pPr>
      <w:r>
        <w:rPr>
          <w:rFonts w:ascii="Times New Roman" w:hAnsi="Times New Roman" w:eastAsia="Times New Roman" w:cs="Times New Roman"/>
          <w:sz w:val="24"/>
          <w:szCs w:val="24"/>
          <w:color w:val="000000"/>
        </w:rPr>
        <w:t xml:space="preserve">☐  Give each criterion an identifier, definition, source, rationale and direction of preference.</w:t>
      </w:r>
    </w:p>
    <w:p>
      <w:pPr>
        <w:jc w:val="left"/>
        <w:spacing w:before="0" w:after="100" w:line="280" w:lineRule="auto"/>
        <w:widowControl/>
      </w:pPr>
      <w:r>
        <w:rPr>
          <w:rFonts w:ascii="Times New Roman" w:hAnsi="Times New Roman" w:eastAsia="Times New Roman" w:cs="Times New Roman"/>
          <w:sz w:val="24"/>
          <w:szCs w:val="24"/>
          <w:color w:val="000000"/>
        </w:rPr>
        <w:t xml:space="preserve">☐  Document the standardisation function and the evidence supporting it; mark researcher assumptions explicitly.</w:t>
      </w:r>
    </w:p>
    <w:p>
      <w:pPr>
        <w:jc w:val="left"/>
        <w:spacing w:before="0" w:after="100" w:line="280" w:lineRule="auto"/>
        <w:widowControl/>
      </w:pPr>
      <w:r>
        <w:rPr>
          <w:rFonts w:ascii="Times New Roman" w:hAnsi="Times New Roman" w:eastAsia="Times New Roman" w:cs="Times New Roman"/>
          <w:sz w:val="24"/>
          <w:szCs w:val="24"/>
          <w:color w:val="000000"/>
        </w:rPr>
        <w:t xml:space="preserve">☐  Examine redundant criteria and shared inputs between suitability and accessibility outputs.</w:t>
      </w:r>
    </w:p>
    <w:p>
      <w:pPr>
        <w:jc w:val="left"/>
        <w:spacing w:before="0" w:after="100" w:line="280" w:lineRule="auto"/>
        <w:widowControl/>
      </w:pPr>
      <w:r>
        <w:rPr>
          <w:rFonts w:ascii="Times New Roman" w:hAnsi="Times New Roman" w:eastAsia="Times New Roman" w:cs="Times New Roman"/>
          <w:sz w:val="24"/>
          <w:szCs w:val="24"/>
          <w:color w:val="000000"/>
        </w:rPr>
        <w:t xml:space="preserve">☐  Save the equal-weight baseline and the full AHP matrix, including its consistency calculations.</w:t>
      </w:r>
    </w:p>
    <w:p>
      <w:pPr>
        <w:jc w:val="left"/>
        <w:spacing w:before="0" w:after="100" w:line="280" w:lineRule="auto"/>
        <w:widowControl/>
      </w:pPr>
      <w:r>
        <w:rPr>
          <w:rFonts w:ascii="Times New Roman" w:hAnsi="Times New Roman" w:eastAsia="Times New Roman" w:cs="Times New Roman"/>
          <w:sz w:val="24"/>
          <w:szCs w:val="24"/>
          <w:color w:val="000000"/>
        </w:rPr>
        <w:t xml:space="preserve">☐  Retain justifications for revisions rather than changing judgments solely to obtain preferred results.</w:t>
      </w:r>
    </w:p>
    <w:p>
      <w:pPr>
        <w:jc w:val="left"/>
        <w:spacing w:before="0" w:after="100" w:line="280" w:lineRule="auto"/>
        <w:widowControl/>
      </w:pPr>
      <w:r>
        <w:rPr>
          <w:rFonts w:ascii="Times New Roman" w:hAnsi="Times New Roman" w:eastAsia="Times New Roman" w:cs="Times New Roman"/>
          <w:sz w:val="24"/>
          <w:szCs w:val="24"/>
          <w:color w:val="000000"/>
        </w:rPr>
        <w:t xml:space="preserve">☐  Freeze the principal rules before reviewing final outputs. Record any later change as a new scenario.</w:t>
      </w:r>
    </w:p>
    <w:p>
      <w:pPr>
        <w:jc w:val="left"/>
        <w:spacing w:before="0" w:after="100" w:line="280" w:lineRule="auto"/>
        <w:widowControl/>
      </w:pPr>
      <w:r>
        <w:rPr>
          <w:rFonts w:ascii="Times New Roman" w:hAnsi="Times New Roman" w:eastAsia="Times New Roman" w:cs="Times New Roman"/>
          <w:sz w:val="24"/>
          <w:szCs w:val="24"/>
          <w:color w:val="000000"/>
        </w:rPr>
        <w:t xml:space="preserve">☐  Apply identical class thresholds across comparable scenarios and state the area denominator.</w:t>
      </w:r>
    </w:p>
    <w:p>
      <w:pPr>
        <w:jc w:val="left"/>
        <w:spacing w:before="0" w:after="100" w:line="280" w:lineRule="auto"/>
        <w:widowControl/>
      </w:pPr>
      <w:r>
        <w:rPr>
          <w:rFonts w:ascii="Times New Roman" w:hAnsi="Times New Roman" w:eastAsia="Times New Roman" w:cs="Times New Roman"/>
          <w:sz w:val="24"/>
          <w:szCs w:val="24"/>
          <w:color w:val="000000"/>
        </w:rPr>
        <w:t xml:space="preserve">☐  Report exclusions and unassessed areas separately from suitability classes.</w:t>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9 Metadata record to complete for every input</w:t>
      </w:r>
    </w:p>
    <w:tbl>
      <w:tblPr>
        <w:tblW w:w="902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00"/>
        <w:gridCol w:w="6326"/>
      </w:tblGrid>
      <w:tr>
        <w:trPr>
          <w:cantSplit/>
          <w:tblHeader/>
        </w:trPr>
        <w:tc>
          <w:tcPr>
            <w:tcW w:w="2700"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Field</w:t>
            </w:r>
          </w:p>
        </w:tc>
        <w:tc>
          <w:tcPr>
            <w:tcW w:w="6326" w:type="dxa"/>
            <w:vAlign w:val="center"/>
            <w:shd w:fill="E7E6E6" w:val="clear"/>
          </w:tcPr>
          <w:p>
            <w:pPr>
              <w:jc w:val="left"/>
              <w:spacing w:after="0" w:line="260" w:lineRule="auto"/>
              <w:widowControl/>
            </w:pPr>
            <w:r>
              <w:rPr>
                <w:rFonts w:ascii="Times New Roman" w:hAnsi="Times New Roman" w:eastAsia="Times New Roman" w:cs="Times New Roman"/>
                <w:sz w:val="22"/>
                <w:szCs w:val="22"/>
                <w:color w:val="000000"/>
                <w:b/>
              </w:rPr>
              <w:t xml:space="preserve">Information to record</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Dataset identifier</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Short name linked to every derived layer</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Provider and exact URL</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Dataset landing page and download location</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Product and release</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Version, scene/tile identifiers or extract timestamp</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Observation and download dates</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Keep observation period separate from acquisition date</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Geometry and measurement</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Raster/vector, native scale or resolution, units and NoData</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Spatial reference</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Horizontal CRS, datum and vertical reference where relevant</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Coverage and quality</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Extent, gaps, cloud fraction where measured, known errors</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Licence and attribution</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Reuse terms, citation and required map credit</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Processing lineage</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Input filenames, steps, parameters, output filenames and date</w:t>
            </w:r>
          </w:p>
        </w:tc>
      </w:tr>
      <w:tr>
        <w:trPr>
          <w:cantSplit/>
        </w:trPr>
        <w:tc>
          <w:tcPr>
            <w:tcW w:w="2700"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Acceptance decision</w:t>
            </w:r>
          </w:p>
        </w:tc>
        <w:tc>
          <w:tcPr>
            <w:tcW w:w="6326" w:type="dxa"/>
            <w:vAlign w:val="center"/>
          </w:tcPr>
          <w:p>
            <w:pPr>
              <w:jc w:val="left"/>
              <w:spacing w:after="0" w:line="260" w:lineRule="auto"/>
              <w:widowControl/>
            </w:pPr>
            <w:r>
              <w:rPr>
                <w:rFonts w:ascii="Times New Roman" w:hAnsi="Times New Roman" w:eastAsia="Times New Roman" w:cs="Times New Roman"/>
                <w:sz w:val="22"/>
                <w:szCs w:val="22"/>
                <w:color w:val="000000"/>
              </w:rPr>
              <w:t xml:space="preserve">Accept, accept with limitations, or reject; reason and reviewer</w:t>
            </w:r>
          </w:p>
        </w:tc>
      </w:tr>
    </w:tbl>
    <w:p>
      <w:pPr>
        <w:jc w:val="left"/>
        <w:spacing w:before="0" w:after="60" w:line="100" w:lineRule="auto"/>
        <w:widowControl/>
      </w:pPr>
      <w:r>
        <w:rPr>
          <w:rFonts w:ascii="Times New Roman" w:hAnsi="Times New Roman" w:eastAsia="Times New Roman" w:cs="Times New Roman"/>
          <w:sz w:val="4"/>
          <w:szCs w:val="4"/>
          <w:color w:val="000000"/>
        </w:rPr>
        <w:t xml:space="preserve"/>
      </w:r>
    </w:p>
    <w:p>
      <w:pPr>
        <w:pStyle w:val="Heading2"/>
        <w:jc w:val="left"/>
        <w:spacing w:before="140" w:after="80" w:line="280" w:lineRule="auto"/>
        <w:widowControl/>
        <w:keepNext/>
      </w:pPr>
      <w:r>
        <w:rPr>
          <w:rFonts w:ascii="Times New Roman" w:hAnsi="Times New Roman" w:eastAsia="Times New Roman" w:cs="Times New Roman"/>
          <w:sz w:val="24"/>
          <w:szCs w:val="24"/>
          <w:color w:val="000000"/>
          <w:b/>
        </w:rPr>
        <w:t xml:space="preserve">10 Final checks before mapping results</w:t>
      </w:r>
    </w:p>
    <w:p>
      <w:pPr>
        <w:jc w:val="left"/>
        <w:spacing w:before="0" w:after="100" w:line="280" w:lineRule="auto"/>
        <w:widowControl/>
      </w:pPr>
      <w:r>
        <w:rPr>
          <w:rFonts w:ascii="Times New Roman" w:hAnsi="Times New Roman" w:eastAsia="Times New Roman" w:cs="Times New Roman"/>
          <w:sz w:val="24"/>
          <w:szCs w:val="24"/>
          <w:color w:val="000000"/>
        </w:rPr>
        <w:t xml:space="preserve">☐  Run the planned weight, standardisation and resolution comparisons.</w:t>
      </w:r>
    </w:p>
    <w:p>
      <w:pPr>
        <w:jc w:val="left"/>
        <w:spacing w:before="0" w:after="100" w:line="280" w:lineRule="auto"/>
        <w:widowControl/>
      </w:pPr>
      <w:r>
        <w:rPr>
          <w:rFonts w:ascii="Times New Roman" w:hAnsi="Times New Roman" w:eastAsia="Times New Roman" w:cs="Times New Roman"/>
          <w:sz w:val="24"/>
          <w:szCs w:val="24"/>
          <w:color w:val="000000"/>
        </w:rPr>
        <w:t xml:space="preserve">☐  Map where classifications change, rather than relying only on overall area totals.</w:t>
      </w:r>
    </w:p>
    <w:p>
      <w:pPr>
        <w:jc w:val="left"/>
        <w:spacing w:before="0" w:after="100" w:line="280" w:lineRule="auto"/>
        <w:widowControl/>
      </w:pPr>
      <w:r>
        <w:rPr>
          <w:rFonts w:ascii="Times New Roman" w:hAnsi="Times New Roman" w:eastAsia="Times New Roman" w:cs="Times New Roman"/>
          <w:sz w:val="24"/>
          <w:szCs w:val="24"/>
          <w:color w:val="000000"/>
        </w:rPr>
        <w:t xml:space="preserve">☐  Explain that scenario persistence is not a probability of operational success.</w:t>
      </w:r>
    </w:p>
    <w:p>
      <w:pPr>
        <w:jc w:val="left"/>
        <w:spacing w:before="0" w:after="100" w:line="280" w:lineRule="auto"/>
        <w:widowControl/>
      </w:pPr>
      <w:r>
        <w:rPr>
          <w:rFonts w:ascii="Times New Roman" w:hAnsi="Times New Roman" w:eastAsia="Times New Roman" w:cs="Times New Roman"/>
          <w:sz w:val="24"/>
          <w:szCs w:val="24"/>
          <w:color w:val="000000"/>
        </w:rPr>
        <w:t xml:space="preserve">☐  Check map title, legend, scale bar, CRS, sources, dates and readable labels.</w:t>
      </w:r>
    </w:p>
    <w:p>
      <w:pPr>
        <w:jc w:val="left"/>
        <w:spacing w:before="0" w:after="100" w:line="280" w:lineRule="auto"/>
        <w:widowControl/>
      </w:pPr>
      <w:r>
        <w:rPr>
          <w:rFonts w:ascii="Times New Roman" w:hAnsi="Times New Roman" w:eastAsia="Times New Roman" w:cs="Times New Roman"/>
          <w:sz w:val="24"/>
          <w:szCs w:val="24"/>
          <w:color w:val="000000"/>
        </w:rPr>
        <w:t xml:space="preserve">☐  Check each inset's scale separately; remove misleading scale labels from the original draft map.</w:t>
      </w:r>
    </w:p>
    <w:p>
      <w:pPr>
        <w:jc w:val="left"/>
        <w:spacing w:before="0" w:after="100" w:line="280" w:lineRule="auto"/>
        <w:widowControl/>
      </w:pPr>
      <w:r>
        <w:rPr>
          <w:rFonts w:ascii="Times New Roman" w:hAnsi="Times New Roman" w:eastAsia="Times New Roman" w:cs="Times New Roman"/>
          <w:sz w:val="24"/>
          <w:szCs w:val="24"/>
          <w:color w:val="000000"/>
        </w:rPr>
        <w:t xml:space="preserve">☐  State that boundary screening, reference assessment and model sensitivity do not establish land tenure or engineering feasibility.</w:t>
      </w:r>
    </w:p>
    <w:p>
      <w:pPr>
        <w:jc w:val="left"/>
        <w:spacing w:before="0" w:after="100" w:line="280" w:lineRule="auto"/>
        <w:widowControl/>
      </w:pPr>
      <w:r>
        <w:rPr>
          <w:rFonts w:ascii="Times New Roman" w:hAnsi="Times New Roman" w:eastAsia="Times New Roman" w:cs="Times New Roman"/>
          <w:sz w:val="24"/>
          <w:szCs w:val="24"/>
          <w:color w:val="000000"/>
        </w:rPr>
        <w:t xml:space="preserve">☐  Check every citation against the exact source and every data claim against the register.</w:t>
      </w:r>
    </w:p>
    <w:p>
      <w:pPr>
        <w:jc w:val="left"/>
        <w:spacing w:before="0" w:after="100" w:line="280" w:lineRule="auto"/>
        <w:widowControl/>
      </w:pPr>
      <w:r>
        <w:rPr>
          <w:rFonts w:ascii="Times New Roman" w:hAnsi="Times New Roman" w:eastAsia="Times New Roman" w:cs="Times New Roman"/>
          <w:sz w:val="24"/>
          <w:szCs w:val="24"/>
          <w:color w:val="000000"/>
        </w:rPr>
        <w:t xml:space="preserve">☐  Ensure all thesis results come from completed analysis, not anticipated outcomes.</w:t>
      </w:r>
    </w:p>
    <w:p>
      <w:pPr>
        <w:pStyle w:val="Heading1"/>
        <w:jc w:val="left"/>
        <w:spacing w:before="0" w:after="160" w:line="280" w:lineRule="auto"/>
        <w:widowControl/>
        <w:keepNext/>
      </w:pPr>
      <w:r>
        <w:rPr>
          <w:rFonts w:ascii="Times New Roman" w:hAnsi="Times New Roman" w:eastAsia="Times New Roman" w:cs="Times New Roman"/>
          <w:sz w:val="30"/>
          <w:szCs w:val="30"/>
          <w:color w:val="000000"/>
          <w:b/>
        </w:rPr>
        <w:t xml:space="preserve">Acquisition order and decision points</w:t>
      </w:r>
    </w:p>
    <w:p>
      <w:pPr>
        <w:jc w:val="left"/>
        <w:spacing w:before="0" w:after="100" w:line="280" w:lineRule="auto"/>
        <w:widowControl/>
      </w:pPr>
      <w:r>
        <w:rPr>
          <w:rFonts w:ascii="Times New Roman" w:hAnsi="Times New Roman" w:eastAsia="Times New Roman" w:cs="Times New Roman"/>
          <w:sz w:val="24"/>
          <w:szCs w:val="24"/>
          <w:color w:val="000000"/>
        </w:rPr>
        <w:t xml:space="preserve">Obtain and check the boundary first. Next test a small imagery and elevation subset, followed by road and settlement coverage. Confirm reference-data feasibility before expanding classification. Acquire the remaining tiles only after the pilot is satisfactory. This sequence reduces wasted downloads and helps resolve scope problems early.</w:t>
      </w:r>
    </w:p>
    <w:p>
      <w:pPr>
        <w:jc w:val="left"/>
        <w:spacing w:before="0" w:after="100" w:line="280" w:lineRule="auto"/>
        <w:widowControl/>
      </w:pPr>
      <w:r>
        <w:rPr>
          <w:rFonts w:ascii="Times New Roman" w:hAnsi="Times New Roman" w:eastAsia="Times New Roman" w:cs="Times New Roman"/>
          <w:sz w:val="24"/>
          <w:szCs w:val="24"/>
          <w:color w:val="000000"/>
        </w:rPr>
        <w:t xml:space="preserve">If a required source is incomplete, record the affected area and either obtain a documented substitute or narrow the claim. If independent reference imagery is inadequate, revise the assessment language rather than invent accuracy statistics. If a classification plugin is incompatible, select and document a compatible QGIS workflow before the main analysis.</w:t>
      </w:r>
    </w:p>
    <w:sectPr w:rsidR="00B514AD" w:rsidRPr="00E3534B" w:rsidSect="00B139ED">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08E6CD29-A923-4502-87A9-410EE10EF18C}"/>
    <w:embedBold r:id="rId2" w:fontKey="{F5D2E1DD-1F76-4463-AE3C-7E57B274AD40}"/>
    <w:embedItalic r:id="rId3" w:fontKey="{B9EAD9AE-665F-4641-9BD3-88A61C422A1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E669E938-69AB-4972-8223-2DADE6CE3F3A}"/>
  </w:font>
  <w:font w:name="Cambria Math">
    <w:panose1 w:val="02040503050406030204"/>
    <w:charset w:val="00"/>
    <w:family w:val="roman"/>
    <w:pitch w:val="variable"/>
    <w:sig w:usb0="E00006FF" w:usb1="420024FF" w:usb2="02000000" w:usb3="00000000" w:csb0="0000019F" w:csb1="00000000"/>
    <w:embedRegular r:id="rId5" w:fontKey="{553B483D-29C3-4865-B98F-490A759A4288}"/>
    <w:embedItalic r:id="rId6" w:fontKey="{39170E96-1247-4170-BB8D-E8CF3C24F9C5}"/>
  </w:font>
  <w:font w:name="Calibri">
    <w:panose1 w:val="020F0502020204030204"/>
    <w:charset w:val="00"/>
    <w:family w:val="swiss"/>
    <w:pitch w:val="variable"/>
    <w:sig w:usb0="E4002EFF" w:usb1="C200247B" w:usb2="00000009" w:usb3="00000000" w:csb0="000001FF" w:csb1="00000000"/>
    <w:embedRegular r:id="rId7" w:fontKey="{7E03B5F8-17EB-41F7-9557-2A9A695B8116}"/>
  </w:font>
  <w:font w:name="Cambria">
    <w:panose1 w:val="02040503050406030204"/>
    <w:charset w:val="00"/>
    <w:family w:val="roman"/>
    <w:pitch w:val="variable"/>
    <w:sig w:usb0="E00006FF" w:usb1="420024FF" w:usb2="02000000" w:usb3="00000000" w:csb0="0000019F" w:csb1="00000000"/>
    <w:embedRegular r:id="rId8" w:fontKey="{817DD8AA-2108-4F18-828F-7B4E9E6B16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B45A2"/>
    <w:multiLevelType w:val="multilevel"/>
    <w:tmpl w:val="47FAB6D6"/>
    <w:lvl w:ilvl="0">
      <w:start w:val="1"/>
      <w:numFmt w:val="decimal"/>
      <w:lvlText w:val="%1."/>
      <w:lvlJc w:val="left"/>
      <w:pPr>
        <w:ind w:left="720" w:hanging="720"/>
      </w:pPr>
      <w:rPr>
        <w:rFonts w:ascii="Times New Roman" w:eastAsia="Google Sans" w:hAnsi="Times New Roman" w:cs="Arial"/>
        <w:b w:val="0"/>
        <w:bCs w: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F60FC3"/>
    <w:multiLevelType w:val="multilevel"/>
    <w:tmpl w:val="C742A9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B252EE3"/>
    <w:multiLevelType w:val="hybridMultilevel"/>
    <w:tmpl w:val="7D06D054"/>
    <w:lvl w:ilvl="0" w:tplc="2FB82CE4">
      <w:start w:val="1"/>
      <w:numFmt w:val="bullet"/>
      <w:lvlText w:val="-"/>
      <w:lvlJc w:val="left"/>
      <w:pPr>
        <w:ind w:left="720" w:hanging="360"/>
      </w:pPr>
      <w:rPr>
        <w:rFonts w:ascii="Times New Roman" w:eastAsia="Google Sans" w:hAnsi="Times New Roman" w:cs="Times New Roman" w:hint="default"/>
        <w:b/>
        <w:color w:val="1F1F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2711C"/>
    <w:multiLevelType w:val="hybridMultilevel"/>
    <w:tmpl w:val="0C36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1E1385"/>
    <w:multiLevelType w:val="hybridMultilevel"/>
    <w:tmpl w:val="09C0599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1EE57ED7"/>
    <w:multiLevelType w:val="hybridMultilevel"/>
    <w:tmpl w:val="2C4A731A"/>
    <w:lvl w:ilvl="0" w:tplc="AE487F3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EF180A"/>
    <w:multiLevelType w:val="multilevel"/>
    <w:tmpl w:val="DCC8A06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62F05BF"/>
    <w:multiLevelType w:val="multilevel"/>
    <w:tmpl w:val="45A2E2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2A152120"/>
    <w:multiLevelType w:val="multilevel"/>
    <w:tmpl w:val="27903B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DC9428E"/>
    <w:multiLevelType w:val="multilevel"/>
    <w:tmpl w:val="FDC06A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33230419"/>
    <w:multiLevelType w:val="multilevel"/>
    <w:tmpl w:val="CD8AB3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EE404CF"/>
    <w:multiLevelType w:val="multilevel"/>
    <w:tmpl w:val="36F00E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478914A7"/>
    <w:multiLevelType w:val="hybridMultilevel"/>
    <w:tmpl w:val="114A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AF5911"/>
    <w:multiLevelType w:val="hybridMultilevel"/>
    <w:tmpl w:val="4C5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974B21"/>
    <w:multiLevelType w:val="multilevel"/>
    <w:tmpl w:val="E848CD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54AD2F8A"/>
    <w:multiLevelType w:val="multilevel"/>
    <w:tmpl w:val="E774D5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558B7EF5"/>
    <w:multiLevelType w:val="multilevel"/>
    <w:tmpl w:val="9AC02A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56F9588C"/>
    <w:multiLevelType w:val="multilevel"/>
    <w:tmpl w:val="72C68CF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5A6F2F79"/>
    <w:multiLevelType w:val="hybridMultilevel"/>
    <w:tmpl w:val="08BE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DF62E2"/>
    <w:multiLevelType w:val="hybridMultilevel"/>
    <w:tmpl w:val="DE60C69C"/>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611E7BD1"/>
    <w:multiLevelType w:val="multilevel"/>
    <w:tmpl w:val="A968AC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61A842BC"/>
    <w:multiLevelType w:val="multilevel"/>
    <w:tmpl w:val="DD383E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65466A90"/>
    <w:multiLevelType w:val="multilevel"/>
    <w:tmpl w:val="D702ED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677C432B"/>
    <w:multiLevelType w:val="hybridMultilevel"/>
    <w:tmpl w:val="1AB4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5775C3"/>
    <w:multiLevelType w:val="multilevel"/>
    <w:tmpl w:val="FCEEEB7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6A353C16"/>
    <w:multiLevelType w:val="multilevel"/>
    <w:tmpl w:val="BE4C23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6A71513A"/>
    <w:multiLevelType w:val="multilevel"/>
    <w:tmpl w:val="B60EA6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6BD464E9"/>
    <w:multiLevelType w:val="multilevel"/>
    <w:tmpl w:val="C08431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40" w:hanging="360"/>
      </w:pPr>
      <w:rPr>
        <w:b w:val="0"/>
        <w:bCs w:val="0"/>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6C5A7774"/>
    <w:multiLevelType w:val="hybridMultilevel"/>
    <w:tmpl w:val="BD7CF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CE2933"/>
    <w:multiLevelType w:val="hybridMultilevel"/>
    <w:tmpl w:val="9C38AE24"/>
    <w:lvl w:ilvl="0" w:tplc="AE487F3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D425F7"/>
    <w:multiLevelType w:val="multilevel"/>
    <w:tmpl w:val="6D68BB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7B7046F3"/>
    <w:multiLevelType w:val="hybridMultilevel"/>
    <w:tmpl w:val="26C0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20"/>
  </w:num>
  <w:num w:numId="4">
    <w:abstractNumId w:val="22"/>
  </w:num>
  <w:num w:numId="5">
    <w:abstractNumId w:val="30"/>
  </w:num>
  <w:num w:numId="6">
    <w:abstractNumId w:val="11"/>
  </w:num>
  <w:num w:numId="7">
    <w:abstractNumId w:val="9"/>
  </w:num>
  <w:num w:numId="8">
    <w:abstractNumId w:val="26"/>
  </w:num>
  <w:num w:numId="9">
    <w:abstractNumId w:val="16"/>
  </w:num>
  <w:num w:numId="10">
    <w:abstractNumId w:val="15"/>
  </w:num>
  <w:num w:numId="11">
    <w:abstractNumId w:val="24"/>
  </w:num>
  <w:num w:numId="12">
    <w:abstractNumId w:val="7"/>
  </w:num>
  <w:num w:numId="13">
    <w:abstractNumId w:val="27"/>
  </w:num>
  <w:num w:numId="14">
    <w:abstractNumId w:val="14"/>
  </w:num>
  <w:num w:numId="15">
    <w:abstractNumId w:val="1"/>
  </w:num>
  <w:num w:numId="16">
    <w:abstractNumId w:val="17"/>
  </w:num>
  <w:num w:numId="17">
    <w:abstractNumId w:val="8"/>
  </w:num>
  <w:num w:numId="18">
    <w:abstractNumId w:val="21"/>
  </w:num>
  <w:num w:numId="19">
    <w:abstractNumId w:val="6"/>
  </w:num>
  <w:num w:numId="20">
    <w:abstractNumId w:val="18"/>
  </w:num>
  <w:num w:numId="21">
    <w:abstractNumId w:val="28"/>
  </w:num>
  <w:num w:numId="22">
    <w:abstractNumId w:val="13"/>
  </w:num>
  <w:num w:numId="23">
    <w:abstractNumId w:val="23"/>
  </w:num>
  <w:num w:numId="24">
    <w:abstractNumId w:val="12"/>
  </w:num>
  <w:num w:numId="25">
    <w:abstractNumId w:val="31"/>
  </w:num>
  <w:num w:numId="26">
    <w:abstractNumId w:val="5"/>
  </w:num>
  <w:num w:numId="27">
    <w:abstractNumId w:val="29"/>
  </w:num>
  <w:num w:numId="28">
    <w:abstractNumId w:val="0"/>
  </w:num>
  <w:num w:numId="29">
    <w:abstractNumId w:val="3"/>
  </w:num>
  <w:num w:numId="30">
    <w:abstractNumId w:val="2"/>
  </w:num>
  <w:num w:numId="31">
    <w:abstractNumId w:val="19"/>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4AD"/>
    <w:rsid w:val="000024AD"/>
    <w:rsid w:val="0000385F"/>
    <w:rsid w:val="00023F0A"/>
    <w:rsid w:val="00050285"/>
    <w:rsid w:val="00050CCC"/>
    <w:rsid w:val="00061B43"/>
    <w:rsid w:val="00081FF1"/>
    <w:rsid w:val="000842C1"/>
    <w:rsid w:val="00094DAA"/>
    <w:rsid w:val="000A3E7A"/>
    <w:rsid w:val="000A6AA6"/>
    <w:rsid w:val="000E2A56"/>
    <w:rsid w:val="000E583E"/>
    <w:rsid w:val="000E7EC9"/>
    <w:rsid w:val="000F270D"/>
    <w:rsid w:val="0011106E"/>
    <w:rsid w:val="00122459"/>
    <w:rsid w:val="0014062B"/>
    <w:rsid w:val="001452C8"/>
    <w:rsid w:val="0016576E"/>
    <w:rsid w:val="0018443F"/>
    <w:rsid w:val="00187250"/>
    <w:rsid w:val="001A3FFA"/>
    <w:rsid w:val="001B2704"/>
    <w:rsid w:val="001E0684"/>
    <w:rsid w:val="001E6408"/>
    <w:rsid w:val="001F1111"/>
    <w:rsid w:val="00211811"/>
    <w:rsid w:val="00222EAE"/>
    <w:rsid w:val="002646FC"/>
    <w:rsid w:val="0026772E"/>
    <w:rsid w:val="00277A66"/>
    <w:rsid w:val="002935AA"/>
    <w:rsid w:val="00295CFF"/>
    <w:rsid w:val="002A19C1"/>
    <w:rsid w:val="002B74D5"/>
    <w:rsid w:val="002C7AB8"/>
    <w:rsid w:val="002D75DD"/>
    <w:rsid w:val="002F480A"/>
    <w:rsid w:val="002F55E6"/>
    <w:rsid w:val="002F61B9"/>
    <w:rsid w:val="00342F4E"/>
    <w:rsid w:val="00363AB2"/>
    <w:rsid w:val="0036687E"/>
    <w:rsid w:val="00366BD0"/>
    <w:rsid w:val="00380E69"/>
    <w:rsid w:val="00385555"/>
    <w:rsid w:val="003B0C38"/>
    <w:rsid w:val="003C4355"/>
    <w:rsid w:val="003E41C0"/>
    <w:rsid w:val="003E6C57"/>
    <w:rsid w:val="00416A1E"/>
    <w:rsid w:val="0042033B"/>
    <w:rsid w:val="00430287"/>
    <w:rsid w:val="00430EFC"/>
    <w:rsid w:val="00454F7E"/>
    <w:rsid w:val="00455054"/>
    <w:rsid w:val="00474560"/>
    <w:rsid w:val="00477CC4"/>
    <w:rsid w:val="004E0771"/>
    <w:rsid w:val="00510BF8"/>
    <w:rsid w:val="00515B5E"/>
    <w:rsid w:val="00523655"/>
    <w:rsid w:val="005300A6"/>
    <w:rsid w:val="00542081"/>
    <w:rsid w:val="00564476"/>
    <w:rsid w:val="005A13EC"/>
    <w:rsid w:val="005F252A"/>
    <w:rsid w:val="0060381D"/>
    <w:rsid w:val="00605651"/>
    <w:rsid w:val="00666AAF"/>
    <w:rsid w:val="00667ADD"/>
    <w:rsid w:val="00684DA9"/>
    <w:rsid w:val="0068562C"/>
    <w:rsid w:val="006A144A"/>
    <w:rsid w:val="006B1CB0"/>
    <w:rsid w:val="006C154C"/>
    <w:rsid w:val="006D1987"/>
    <w:rsid w:val="006D61E3"/>
    <w:rsid w:val="006F08FD"/>
    <w:rsid w:val="00713BA6"/>
    <w:rsid w:val="00715669"/>
    <w:rsid w:val="0076383D"/>
    <w:rsid w:val="00765435"/>
    <w:rsid w:val="0077393D"/>
    <w:rsid w:val="0077408C"/>
    <w:rsid w:val="007833C0"/>
    <w:rsid w:val="007A72C1"/>
    <w:rsid w:val="007B1D9E"/>
    <w:rsid w:val="007B1FBF"/>
    <w:rsid w:val="007D070F"/>
    <w:rsid w:val="007F14CE"/>
    <w:rsid w:val="00802A56"/>
    <w:rsid w:val="00821E7D"/>
    <w:rsid w:val="00835F4D"/>
    <w:rsid w:val="00861E4A"/>
    <w:rsid w:val="00871BD7"/>
    <w:rsid w:val="008801FA"/>
    <w:rsid w:val="00881C25"/>
    <w:rsid w:val="00885D90"/>
    <w:rsid w:val="008937DA"/>
    <w:rsid w:val="0089546A"/>
    <w:rsid w:val="008A0BE0"/>
    <w:rsid w:val="008A438D"/>
    <w:rsid w:val="008B0B08"/>
    <w:rsid w:val="008B6E9D"/>
    <w:rsid w:val="008D3F97"/>
    <w:rsid w:val="008E314C"/>
    <w:rsid w:val="008E3A26"/>
    <w:rsid w:val="008E45F1"/>
    <w:rsid w:val="008F241F"/>
    <w:rsid w:val="008F4655"/>
    <w:rsid w:val="00916596"/>
    <w:rsid w:val="00924D97"/>
    <w:rsid w:val="009620D2"/>
    <w:rsid w:val="00965B54"/>
    <w:rsid w:val="00982A57"/>
    <w:rsid w:val="00995B8C"/>
    <w:rsid w:val="009B1C28"/>
    <w:rsid w:val="009C6DC7"/>
    <w:rsid w:val="009E63FC"/>
    <w:rsid w:val="00A20B20"/>
    <w:rsid w:val="00A368C8"/>
    <w:rsid w:val="00A71A57"/>
    <w:rsid w:val="00A81140"/>
    <w:rsid w:val="00A83308"/>
    <w:rsid w:val="00A907E6"/>
    <w:rsid w:val="00AA17AF"/>
    <w:rsid w:val="00AA68F5"/>
    <w:rsid w:val="00AB1BE7"/>
    <w:rsid w:val="00AB1C6D"/>
    <w:rsid w:val="00AC5C5F"/>
    <w:rsid w:val="00B00EFC"/>
    <w:rsid w:val="00B139ED"/>
    <w:rsid w:val="00B32201"/>
    <w:rsid w:val="00B40634"/>
    <w:rsid w:val="00B514AD"/>
    <w:rsid w:val="00B54740"/>
    <w:rsid w:val="00B70128"/>
    <w:rsid w:val="00B81B5C"/>
    <w:rsid w:val="00BA3AC0"/>
    <w:rsid w:val="00BB5073"/>
    <w:rsid w:val="00BD2D9B"/>
    <w:rsid w:val="00BE65B1"/>
    <w:rsid w:val="00C13526"/>
    <w:rsid w:val="00C26968"/>
    <w:rsid w:val="00C3276D"/>
    <w:rsid w:val="00C32B7E"/>
    <w:rsid w:val="00C44A19"/>
    <w:rsid w:val="00C51E98"/>
    <w:rsid w:val="00C814D9"/>
    <w:rsid w:val="00C93915"/>
    <w:rsid w:val="00CD5A4C"/>
    <w:rsid w:val="00CE6DA3"/>
    <w:rsid w:val="00D0120E"/>
    <w:rsid w:val="00D015D6"/>
    <w:rsid w:val="00D02887"/>
    <w:rsid w:val="00D230FA"/>
    <w:rsid w:val="00D32C5B"/>
    <w:rsid w:val="00D4591A"/>
    <w:rsid w:val="00D73DD8"/>
    <w:rsid w:val="00D9733B"/>
    <w:rsid w:val="00DF448E"/>
    <w:rsid w:val="00E0194C"/>
    <w:rsid w:val="00E02763"/>
    <w:rsid w:val="00E26DE6"/>
    <w:rsid w:val="00E31282"/>
    <w:rsid w:val="00E33B7C"/>
    <w:rsid w:val="00E3534B"/>
    <w:rsid w:val="00E426A2"/>
    <w:rsid w:val="00E43E97"/>
    <w:rsid w:val="00E51225"/>
    <w:rsid w:val="00E92273"/>
    <w:rsid w:val="00EA0F1A"/>
    <w:rsid w:val="00EA7E2D"/>
    <w:rsid w:val="00EB1906"/>
    <w:rsid w:val="00EC429A"/>
    <w:rsid w:val="00ED106C"/>
    <w:rsid w:val="00EE3B79"/>
    <w:rsid w:val="00EE4E02"/>
    <w:rsid w:val="00F05244"/>
    <w:rsid w:val="00F20368"/>
    <w:rsid w:val="00F31FF4"/>
    <w:rsid w:val="00F32786"/>
    <w:rsid w:val="00F33D09"/>
    <w:rsid w:val="00F5058A"/>
    <w:rsid w:val="00F52F3A"/>
    <w:rsid w:val="00F754F0"/>
    <w:rsid w:val="00F824DB"/>
    <w:rsid w:val="00F838F8"/>
    <w:rsid w:val="00FA098E"/>
    <w:rsid w:val="00FD74A9"/>
    <w:rsid w:val="00FF1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B69C"/>
  <w15:docId w15:val="{85422E89-A8DE-4EB5-B4A2-2E5F5E62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763"/>
    <w:pPr>
      <w:jc w:val="both"/>
    </w:pPr>
    <w:rPr>
      <w:rFonts w:ascii="Times New Roman" w:hAnsi="Times New Roman"/>
      <w:sz w:val="24"/>
    </w:rPr>
  </w:style>
  <w:style w:type="paragraph" w:styleId="Heading1">
    <w:name w:val="heading 1"/>
    <w:basedOn w:val="Normal"/>
    <w:next w:val="Normal"/>
    <w:uiPriority w:val="9"/>
    <w:qFormat/>
    <w:rsid w:val="00B139ED"/>
    <w:pPr>
      <w:pBdr>
        <w:top w:val="nil"/>
        <w:left w:val="nil"/>
        <w:bottom w:val="nil"/>
        <w:right w:val="nil"/>
        <w:between w:val="nil"/>
      </w:pBdr>
      <w:spacing w:before="240" w:after="240"/>
      <w:outlineLvl w:val="0"/>
    </w:pPr>
    <w:rPr>
      <w:b/>
      <w:bCs/>
      <w:sz w:val="32"/>
      <w:szCs w:val="48"/>
    </w:rPr>
  </w:style>
  <w:style w:type="paragraph" w:styleId="Heading2">
    <w:name w:val="heading 2"/>
    <w:basedOn w:val="Normal"/>
    <w:next w:val="Normal"/>
    <w:uiPriority w:val="9"/>
    <w:unhideWhenUsed/>
    <w:qFormat/>
    <w:rsid w:val="00B139ED"/>
    <w:pPr>
      <w:pBdr>
        <w:top w:val="nil"/>
        <w:left w:val="nil"/>
        <w:bottom w:val="nil"/>
        <w:right w:val="nil"/>
        <w:between w:val="nil"/>
      </w:pBdr>
      <w:spacing w:before="225" w:after="225"/>
      <w:outlineLvl w:val="1"/>
    </w:pPr>
    <w:rPr>
      <w:b/>
      <w:bCs/>
      <w:sz w:val="28"/>
      <w:szCs w:val="36"/>
    </w:rPr>
  </w:style>
  <w:style w:type="paragraph" w:styleId="Heading3">
    <w:name w:val="heading 3"/>
    <w:basedOn w:val="Normal"/>
    <w:next w:val="Normal"/>
    <w:uiPriority w:val="9"/>
    <w:unhideWhenUsed/>
    <w:qFormat/>
    <w:rsid w:val="00E02763"/>
    <w:pPr>
      <w:pBdr>
        <w:top w:val="nil"/>
        <w:left w:val="nil"/>
        <w:bottom w:val="nil"/>
        <w:right w:val="nil"/>
        <w:between w:val="nil"/>
      </w:pBdr>
      <w:spacing w:before="240" w:after="240"/>
      <w:outlineLvl w:val="2"/>
    </w:pPr>
    <w:rPr>
      <w:b/>
      <w:bCs/>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100" w:type="dxa"/>
        <w:left w:w="100" w:type="dxa"/>
        <w:bottom w:w="100" w:type="dxa"/>
        <w:right w:w="100" w:type="dxa"/>
      </w:tblCellMar>
    </w:tblPr>
  </w:style>
  <w:style w:type="table" w:customStyle="1" w:styleId="1">
    <w:name w:val="1"/>
    <w:basedOn w:val="TableNormal0"/>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8A0BE0"/>
    <w:rPr>
      <w:b/>
      <w:bCs/>
    </w:rPr>
  </w:style>
  <w:style w:type="table" w:styleId="TableGrid">
    <w:name w:val="Table Grid"/>
    <w:basedOn w:val="TableNormal"/>
    <w:uiPriority w:val="39"/>
    <w:rsid w:val="00EA7E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15669"/>
    <w:rPr>
      <w:color w:val="666666"/>
    </w:rPr>
  </w:style>
  <w:style w:type="paragraph" w:styleId="ListParagraph">
    <w:name w:val="List Paragraph"/>
    <w:basedOn w:val="Normal"/>
    <w:uiPriority w:val="34"/>
    <w:qFormat/>
    <w:rsid w:val="00E353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80/08865655.2019.1681234" TargetMode="External"/><Relationship Id="rId13" Type="http://schemas.openxmlformats.org/officeDocument/2006/relationships/hyperlink" Target="https://www.google.com/search?q=https://doi.org/10.1016/j.apgeog.2021.102615"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google.com/search?q=https://doi.org/10.1080/1365881060066150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80/02693799508902036" TargetMode="External"/><Relationship Id="rId5" Type="http://schemas.openxmlformats.org/officeDocument/2006/relationships/image" Target="media/image1.jpeg"/><Relationship Id="rId15" Type="http://schemas.openxmlformats.org/officeDocument/2006/relationships/hyperlink" Target="https://doi.org/10.1504/IJSSCI.2008.017590" TargetMode="External"/><Relationship Id="rId10" Type="http://schemas.openxmlformats.org/officeDocument/2006/relationships/hyperlink" Target="https://www.google.com/search?q=https://doi.org/10.1080/14650045.2018.1485600" TargetMode="External"/><Relationship Id="rId4" Type="http://schemas.openxmlformats.org/officeDocument/2006/relationships/webSettings" Target="webSettings.xml"/><Relationship Id="rId9" Type="http://schemas.openxmlformats.org/officeDocument/2006/relationships/hyperlink" Target="https://www.google.com/search?q=https://doi.org/10.1080/10246029.2020.1798221" TargetMode="External"/><Relationship Id="rId14" Type="http://schemas.openxmlformats.org/officeDocument/2006/relationships/hyperlink" Target="https://www.google.com/search?q=https://doi.org/10.1007/s10708-018-9917-y" TargetMode="External"/><Relationship Id="rIdTask1" Type="http://schemas.openxmlformats.org/officeDocument/2006/relationships/hyperlink" Target="https://grid3.org/geospatial-data-nigeria" TargetMode="External"/><Relationship Id="rIdTask2" Type="http://schemas.openxmlformats.org/officeDocument/2006/relationships/hyperlink" Target="https://data.humdata.org/dataset/cod-ab-nga" TargetMode="External"/><Relationship Id="rIdTask3" Type="http://schemas.openxmlformats.org/officeDocument/2006/relationships/hyperlink" Target="https://browser.dataspace.copernicus.eu/" TargetMode="External"/><Relationship Id="rIdTask4" Type="http://schemas.openxmlformats.org/officeDocument/2006/relationships/hyperlink" Target="https://documentation.dataspace.copernicus.eu/Data/Sentinel2.html" TargetMode="External"/><Relationship Id="rIdTask5" Type="http://schemas.openxmlformats.org/officeDocument/2006/relationships/hyperlink" Target="https://www.earthdata.nasa.gov/data/catalog/lpcloud-srtmgl1-003" TargetMode="External"/><Relationship Id="rIdTask6" Type="http://schemas.openxmlformats.org/officeDocument/2006/relationships/hyperlink" Target="https://search.earthdata.nasa.gov/" TargetMode="External"/><Relationship Id="rIdTask7" Type="http://schemas.openxmlformats.org/officeDocument/2006/relationships/hyperlink" Target="https://doi.org/10.5067/MEASURES/SRTM/SRTMGL1.003" TargetMode="External"/><Relationship Id="rIdTask8" Type="http://schemas.openxmlformats.org/officeDocument/2006/relationships/hyperlink" Target="https://download.geofabrik.de/africa/nigeria.html" TargetMode="External"/><Relationship Id="rIdTask9" Type="http://schemas.openxmlformats.org/officeDocument/2006/relationships/hyperlink" Target="https://www.openstreetmap.org/copyright" TargetMode="External"/><Relationship Id="rIdTask10" Type="http://schemas.openxmlformats.org/officeDocument/2006/relationships/hyperlink" Target="https://esa-worldcover.org/en/data-access" TargetMode="External"/><Relationship Id="rIdTask11" Type="http://schemas.openxmlformats.org/officeDocument/2006/relationships/hyperlink" Target="https://doi.org/10.1016/j.rse.2014.02.015" TargetMode="External"/><Relationship Id="rIdTask12" Type="http://schemas.openxmlformats.org/officeDocument/2006/relationships/hyperlink" Target="https://docs.qgis.org/latest/en/docs/user_manual/" TargetMode="External"/><Relationship Id="rIdTask13" Type="http://schemas.openxmlformats.org/officeDocument/2006/relationships/hyperlink" Target="https://plugins.qgis.org/plugins/SemiAutomaticClassificationPlugi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3867</Words>
  <Characters>22044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dc:creator>
  <cp:keywords/>
  <dc:description/>
  <cp:lastModifiedBy>HP LAPTOP</cp:lastModifiedBy>
  <cp:revision>2</cp:revision>
  <dcterms:created xsi:type="dcterms:W3CDTF">2026-09-17T15:50:00Z</dcterms:created>
  <dcterms:modified xsi:type="dcterms:W3CDTF">2026-09-17T15:50:00Z</dcterms:modified>
</cp:coreProperties>
</file>