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 w:eastAsia="Microsoft YaHei"/>
          <w:b/>
          <w:color w:val="FF5F72"/>
          <w:sz w:val="20"/>
        </w:rPr>
        <w:t>FUNBOX · 双色球工具</w:t>
      </w:r>
    </w:p>
    <w:p>
      <w:pPr>
        <w:keepNext/>
        <w:spacing w:before="0" w:after="100"/>
      </w:pPr>
      <w:r>
        <w:rPr>
          <w:rFonts w:ascii="Calibri" w:hAnsi="Calibri" w:eastAsia="Microsoft YaHei"/>
          <w:b/>
          <w:color w:val="151B3B"/>
          <w:sz w:val="56"/>
        </w:rPr>
        <w:t>历史开奖记录查询</w:t>
      </w:r>
    </w:p>
    <w:p>
      <w:pPr>
        <w:spacing w:after="320"/>
      </w:pPr>
      <w:r>
        <w:rPr>
          <w:rFonts w:ascii="Calibri" w:hAnsi="Calibri" w:eastAsia="Microsoft YaHei"/>
          <w:color w:val="66748F"/>
          <w:sz w:val="27"/>
        </w:rPr>
        <w:t>产品需求文档（PRD）V1.0</w:t>
      </w:r>
    </w:p>
    <w:p>
      <w:pPr>
        <w:spacing w:after="60"/>
      </w:pPr>
      <w:r>
        <w:rPr>
          <w:rFonts w:ascii="Calibri" w:hAnsi="Calibri" w:eastAsia="Microsoft YaHei"/>
          <w:b/>
          <w:color w:val="151B3B"/>
          <w:sz w:val="21"/>
        </w:rPr>
        <w:t xml:space="preserve">产品模块: </w:t>
      </w:r>
      <w:r>
        <w:rPr>
          <w:rFonts w:ascii="Calibri" w:hAnsi="Calibri" w:eastAsia="Microsoft YaHei"/>
          <w:color w:val="18233D"/>
          <w:sz w:val="21"/>
        </w:rPr>
        <w:t>双色球二级功能选择页 / 历史开奖结果查询页</w:t>
      </w:r>
    </w:p>
    <w:p>
      <w:pPr>
        <w:spacing w:after="60"/>
      </w:pPr>
      <w:r>
        <w:rPr>
          <w:rFonts w:ascii="Calibri" w:hAnsi="Calibri" w:eastAsia="Microsoft YaHei"/>
          <w:b/>
          <w:color w:val="151B3B"/>
          <w:sz w:val="21"/>
        </w:rPr>
        <w:t xml:space="preserve">文档状态: </w:t>
      </w:r>
      <w:r>
        <w:rPr>
          <w:rFonts w:ascii="Calibri" w:hAnsi="Calibri" w:eastAsia="Microsoft YaHei"/>
          <w:color w:val="18233D"/>
          <w:sz w:val="21"/>
        </w:rPr>
        <w:t>评审稿</w:t>
      </w:r>
    </w:p>
    <w:p>
      <w:pPr>
        <w:spacing w:after="60"/>
      </w:pPr>
      <w:r>
        <w:rPr>
          <w:rFonts w:ascii="Calibri" w:hAnsi="Calibri" w:eastAsia="Microsoft YaHei"/>
          <w:b/>
          <w:color w:val="151B3B"/>
          <w:sz w:val="21"/>
        </w:rPr>
        <w:t xml:space="preserve">发布日期: </w:t>
      </w:r>
      <w:r>
        <w:rPr>
          <w:rFonts w:ascii="Calibri" w:hAnsi="Calibri" w:eastAsia="Microsoft YaHei"/>
          <w:color w:val="18233D"/>
          <w:sz w:val="21"/>
        </w:rPr>
        <w:t>2026-08-01</w:t>
      </w:r>
    </w:p>
    <w:p>
      <w:pPr>
        <w:spacing w:after="60"/>
      </w:pPr>
      <w:r>
        <w:rPr>
          <w:rFonts w:ascii="Calibri" w:hAnsi="Calibri" w:eastAsia="Microsoft YaHei"/>
          <w:b/>
          <w:color w:val="151B3B"/>
          <w:sz w:val="21"/>
        </w:rPr>
        <w:t xml:space="preserve">建议优先级: </w:t>
      </w:r>
      <w:r>
        <w:rPr>
          <w:rFonts w:ascii="Calibri" w:hAnsi="Calibri" w:eastAsia="Microsoft YaHei"/>
          <w:color w:val="4B6BFF"/>
          <w:sz w:val="21"/>
        </w:rPr>
        <w:t>P1 - 可独立上线</w:t>
      </w:r>
    </w:p>
    <w:p>
      <w:pPr>
        <w:spacing w:after="60"/>
      </w:pPr>
      <w:r>
        <w:rPr>
          <w:rFonts w:ascii="Calibri" w:hAnsi="Calibri" w:eastAsia="Microsoft YaHei"/>
          <w:b/>
          <w:color w:val="151B3B"/>
          <w:sz w:val="21"/>
        </w:rPr>
        <w:t xml:space="preserve">数据基础: </w:t>
      </w:r>
      <w:r>
        <w:rPr>
          <w:rFonts w:ascii="Calibri" w:hAnsi="Calibri" w:eastAsia="Microsoft YaHei"/>
          <w:color w:val="18233D"/>
          <w:sz w:val="21"/>
        </w:rPr>
        <w:t>复用现有官方历史开奖同步链路与 /api/v1/lottery/ssq/history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结论先行</w:t>
      </w:r>
    </w:p>
    <w:p>
      <w:pPr>
        <w:spacing w:before="100" w:after="200" w:line="264" w:lineRule="auto"/>
        <w:ind w:left="202" w:right="144"/>
        <w:shd w:fill="E8EDFF"/>
        <w:pBdr>
          <w:left w:val="single" w:sz="18" w:space="10" w:color="4B6BFF"/>
        </w:pBdr>
      </w:pPr>
      <w:r>
        <w:rPr>
          <w:rFonts w:ascii="Calibri" w:hAnsi="Calibri" w:eastAsia="Microsoft YaHei"/>
          <w:b/>
          <w:color w:val="4B6BFF"/>
        </w:rPr>
        <w:t xml:space="preserve">推荐方案  </w:t>
      </w:r>
      <w:r>
        <w:rPr>
          <w:rFonts w:ascii="Calibri" w:hAnsi="Calibri" w:eastAsia="Microsoft YaHei"/>
          <w:color w:val="18233D"/>
        </w:rPr>
        <w:t>在当前二级选择页新增一张独立的“历史开奖记录”卡片，放在顶部说明区之后、概率参考和两个实验室入口之前。点击后进入独立查询页，默认展示最新开奖，支持按期号精确查询、按日期范围筛选和继续加载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33D"/>
        </w:rPr>
        <w:t>这样处理能把“事实查询”与“概率分析/实验回测”分开，用户不需要先理解分析功能就能找到官方历史号码；同时保留当前“统一入口、二级选择”的信息架构。</w:t>
      </w:r>
    </w:p>
    <w:p>
      <w:pPr>
        <w:spacing w:before="100" w:after="200" w:line="264" w:lineRule="auto"/>
        <w:ind w:left="202" w:right="144"/>
        <w:shd w:fill="FFF7E8"/>
        <w:pBdr>
          <w:left w:val="single" w:sz="18" w:space="10" w:color="A76A00"/>
        </w:pBdr>
      </w:pPr>
      <w:r>
        <w:rPr>
          <w:rFonts w:ascii="Calibri" w:hAnsi="Calibri" w:eastAsia="Microsoft YaHei"/>
          <w:b/>
          <w:color w:val="A76A00"/>
        </w:rPr>
        <w:t xml:space="preserve">范围口径  </w:t>
      </w:r>
      <w:r>
        <w:rPr>
          <w:rFonts w:ascii="Calibri" w:hAnsi="Calibri" w:eastAsia="Microsoft YaHei"/>
          <w:color w:val="18233D"/>
        </w:rPr>
        <w:t>现有基础接口稳定返回近期约 400 期。MVP 页面应明确显示“近 400 期”，不得写“全部历史”；全量历史和服务端分页列入第二阶段。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1. 背景与目标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33D"/>
        </w:rPr>
        <w:t>当前双色球二级页已经承载概率参考、计划实验室 V2、计划实验室 V1 三个入口，但缺少一个直接查看官方历史开奖号码的事实型入口。用户若只是核对某一期号码，必须进入分析功能后再从历史数据中寻找，路径不直观。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/>
          <w:color w:val="18233D"/>
        </w:rPr>
        <w:t>核心目标：</w:t>
      </w:r>
      <w:r>
        <w:rPr>
          <w:rFonts w:ascii="Calibri" w:hAnsi="Calibri" w:eastAsia="Microsoft YaHei"/>
          <w:color w:val="18233D"/>
        </w:rPr>
        <w:t>让用户在 2 次点击内，从双色球入口到达指定期次的开奖号码。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/>
          <w:color w:val="18233D"/>
        </w:rPr>
        <w:t>体验目标：</w:t>
      </w:r>
      <w:r>
        <w:rPr>
          <w:rFonts w:ascii="Calibri" w:hAnsi="Calibri" w:eastAsia="Microsoft YaHei"/>
          <w:color w:val="18233D"/>
        </w:rPr>
        <w:t>默认先给最新结果，搜索控件保持克制，不让查询页看起来像分析工具。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/>
          <w:color w:val="18233D"/>
        </w:rPr>
        <w:t>数据目标：</w:t>
      </w:r>
      <w:r>
        <w:rPr>
          <w:rFonts w:ascii="Calibri" w:hAnsi="Calibri" w:eastAsia="Microsoft YaHei"/>
          <w:color w:val="18233D"/>
        </w:rPr>
        <w:t>展示官方来源、同步时间和数据状态，过期缓存可用但必须被标识。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/>
          <w:color w:val="18233D"/>
        </w:rPr>
        <w:t>合规目标：</w:t>
      </w:r>
      <w:r>
        <w:rPr>
          <w:rFonts w:ascii="Calibri" w:hAnsi="Calibri" w:eastAsia="Microsoft YaHei"/>
          <w:color w:val="18233D"/>
        </w:rPr>
        <w:t>只呈现历史事实，不提供预测、推荐、必中暗示或购彩引导。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2. 入口设计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2.1 当前页面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468880" cy="4717531"/>
            <wp:docPr id="1" name="Picture 1" descr="当前双色球二级功能选择页，包含概率参考、计划实验室 V2 和 V1 三个入口" title="当前双色球二级功能选择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b042fc1-a87c-4b88-b334-16a3de99d97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71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48F"/>
          <w:sz w:val="18"/>
        </w:rPr>
        <w:t>图 1  当前“双色球”二级功能选择页</w:t>
      </w:r>
    </w:p>
    <w:p>
      <w:pPr>
        <w:spacing w:before="100" w:after="200" w:line="264" w:lineRule="auto"/>
        <w:ind w:left="202" w:right="144"/>
        <w:shd w:fill="EAF8F3"/>
        <w:pBdr>
          <w:left w:val="single" w:sz="18" w:space="10" w:color="20AD78"/>
        </w:pBdr>
      </w:pPr>
      <w:r>
        <w:rPr>
          <w:rFonts w:ascii="Calibri" w:hAnsi="Calibri" w:eastAsia="Microsoft YaHei"/>
          <w:b/>
          <w:color w:val="20AD78"/>
        </w:rPr>
        <w:t xml:space="preserve">插入位置  </w:t>
      </w:r>
      <w:r>
        <w:rPr>
          <w:rFonts w:ascii="Calibri" w:hAnsi="Calibri" w:eastAsia="Microsoft YaHei"/>
          <w:color w:val="18233D"/>
        </w:rPr>
        <w:t>顶部深色说明区之后，新增“历史开奖记录”卡片；其后依次保留“双色球概率参考”“计划实验室 V2”“计划实验室 V1”和统一免责声明。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2.2 推荐卡片规格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450"/>
        <w:gridCol w:w="4410"/>
      </w:tblGrid>
      <w:tr>
        <w:trPr>
          <w:tblHeader w:val="true"/>
        </w:trPr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元素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推荐内容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说明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标题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历史开奖记录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事实查询入口，短且明确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副标题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按期号或日期查询官方历史开奖号码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说明查询方式和数据性质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图标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calendar-search / clipboard-text-clock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优先使用 MaterialCommunityIcons 现成图标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状态标签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查询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绿色浅底，区别于“已有功能/新功能/经典版”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主按钮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查看历史开奖  →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整卡可点击，按钮文案与目标一致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视觉语义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白底卡片 + 绿色图标底 + 低饱和绿色描边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保持工具型、可信赖、非预测感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目标路由</w:t>
            </w:r>
          </w:p>
        </w:tc>
        <w:tc>
          <w:tcPr>
            <w:tcW w:type="dxa" w:w="34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/tools/double-color-ball-history</w:t>
            </w:r>
          </w:p>
        </w:tc>
        <w:tc>
          <w:tcPr>
            <w:tcW w:type="dxa" w:w="44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独立页面，便于后续扩展与埋点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b/>
          <w:color w:val="18233D"/>
        </w:rPr>
        <w:t>低改动备选：</w:t>
      </w:r>
      <w:r>
        <w:rPr>
          <w:rFonts w:ascii="Calibri" w:hAnsi="Calibri" w:eastAsia="Microsoft YaHei"/>
          <w:color w:val="18233D"/>
        </w:rPr>
        <w:t>在“双色球概率参考”卡片底部增加次要文字入口“查历史开奖”。该方案开发量小，但入口与分析功能绑定，发现性较弱，仅建议作为临时过渡。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3. 查询页体验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3.1 核心用户路径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8233D"/>
        </w:rPr>
        <w:t>用户点击“历史开奖记录”卡片，进入查询页。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8233D"/>
        </w:rPr>
        <w:t>页面先展示最新一期与最近期开奖列表，并显示数据更新时间。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8233D"/>
        </w:rPr>
        <w:t>用户输入完整期号进行精确查询，或选择开始/结束日期筛选。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8233D"/>
        </w:rPr>
        <w:t>用户点击某一期结果，查看完整开奖详情；返回后保留原查询条件与滚动位置。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3.2 页面信息架构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020"/>
        <w:gridCol w:w="3840"/>
      </w:tblGrid>
      <w:tr>
        <w:trPr>
          <w:tblHeader w:val="true"/>
        </w:trPr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区域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展示内容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交互规则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顶部栏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返回、标题“历史开奖记录”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返回二级功能选择页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数据状态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已同步至多少期、覆盖期数、更新时间、来源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stale=true 时显示“缓存数据”提示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查询区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期号输入框、日期范围、重置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期号与日期可单独使用；期号优先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快捷筛选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近 30 期 / 近 100 期 / 近 400 期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默认近 30 期；记住本次会话选择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结果列表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期号、开奖日期、6 红 + 1 蓝、详情箭头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期号倒序；整行可点击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底部加载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加载更多 / 已到底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每次追加 30 条，不回到列表顶部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合规说明</w:t>
            </w:r>
          </w:p>
        </w:tc>
        <w:tc>
          <w:tcPr>
            <w:tcW w:type="dxa" w:w="402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开奖结果来自官方历史数据，开奖为独立随机事件</w:t>
            </w:r>
          </w:p>
        </w:tc>
        <w:tc>
          <w:tcPr>
            <w:tcW w:type="dxa" w:w="384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常驻页面底部，弱化展示但不可隐藏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3.3 开奖结果卡片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33D"/>
        </w:rPr>
        <w:t>每一条结果应优先满足“扫一眼就能核对号码”，建议结构如下：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第一行：期号（如 2026087 期） + 开奖日期（YYYY-MM-DD）。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第二行：6 个红球按升序展示，蓝球与红球保持明显的颜色和间距区分。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第三行（可选）：来源状态或“一等奖/二等奖单注奖金”，MVP 默认不展开。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号码统一两位数显示；红球范围 01-33 且不重复，蓝球范围 01-16。</w:t>
      </w:r>
    </w:p>
    <w:p>
      <w:pPr>
        <w:spacing w:before="100" w:after="200" w:line="264" w:lineRule="auto"/>
        <w:ind w:left="202" w:right="144"/>
        <w:shd w:fill="FFF0F3"/>
        <w:pBdr>
          <w:left w:val="single" w:sz="18" w:space="10" w:color="FF5F72"/>
        </w:pBdr>
      </w:pPr>
      <w:r>
        <w:rPr>
          <w:rFonts w:ascii="Calibri" w:hAnsi="Calibri" w:eastAsia="Microsoft YaHei"/>
          <w:b/>
          <w:color w:val="FF5F72"/>
        </w:rPr>
        <w:t xml:space="preserve">术语口径  </w:t>
      </w:r>
      <w:r>
        <w:rPr>
          <w:rFonts w:ascii="Calibri" w:hAnsi="Calibri" w:eastAsia="Microsoft YaHei"/>
          <w:color w:val="18233D"/>
        </w:rPr>
        <w:t>界面和文档统一使用“开奖号码”或“开奖记录”，不使用“开机号码”。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4. 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60"/>
        <w:gridCol w:w="900"/>
        <w:gridCol w:w="3700"/>
        <w:gridCol w:w="3800"/>
      </w:tblGrid>
      <w:tr>
        <w:trPr>
          <w:tblHeader w:val="true"/>
        </w:trPr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编号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优先级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需求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验收口径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FR-01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P0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二级页新增独立入口卡片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入口在首屏可见；点击进入独立历史页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FR-02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P0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默认展示最新开奖与近 30 期列表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首屏无需搜索即可看到最新一期号码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FR-03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P0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按完整期号精确查询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命中展示单条；未命中展示明确空状态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FR-04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P0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按日期范围筛选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开始日期不得晚于结束日期；支持清空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FR-05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P0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查看某期开奖详情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展示期号、日期、红球、蓝球、数据来源与同步时间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FR-06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P0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加载、空、错误、缓存状态完整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状态可恢复且不会出现空白页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FR-07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P1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快捷切换近 30/100/400 期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切换后列表和结果数量同步更新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FR-08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P1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返回时保留查询状态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保留筛选条件、已加载页数与滚动位置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FR-09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P2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分享某一期结果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分享内容包含期号、日期、号码和来源说明</w:t>
            </w:r>
          </w:p>
        </w:tc>
      </w:tr>
      <w:tr>
        <w:trPr/>
        <w:tc>
          <w:tcPr>
            <w:tcW w:type="dxa" w:w="9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FR-10</w:t>
            </w:r>
          </w:p>
        </w:tc>
        <w:tc>
          <w:tcPr>
            <w:tcW w:type="dxa" w:w="9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P2</w:t>
            </w:r>
          </w:p>
        </w:tc>
        <w:tc>
          <w:tcPr>
            <w:tcW w:type="dxa" w:w="3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全量历史分页查询</w:t>
            </w:r>
          </w:p>
        </w:tc>
        <w:tc>
          <w:tcPr>
            <w:tcW w:type="dxa" w:w="3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服务端支持游标/页码，覆盖范围不再受 400 期限制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4.1 不在本期范围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预测下一期号码、推荐组合、中奖概率提升承诺。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购彩、支付、兑奖、中奖核验或奖金计算器。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关注期号、开奖提醒、推送通知和历史趋势图。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其他彩种的统一历史中心；本期只覆盖双色球。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5. 数据与接口方案</w:t>
      </w:r>
    </w:p>
    <w:p>
      <w:pPr>
        <w:spacing w:before="100" w:after="200" w:line="264" w:lineRule="auto"/>
        <w:ind w:left="202" w:right="144"/>
        <w:shd w:fill="E8EDFF"/>
        <w:pBdr>
          <w:left w:val="single" w:sz="18" w:space="10" w:color="4B6BFF"/>
        </w:pBdr>
      </w:pPr>
      <w:r>
        <w:rPr>
          <w:rFonts w:ascii="Calibri" w:hAnsi="Calibri" w:eastAsia="Microsoft YaHei"/>
          <w:b/>
          <w:color w:val="4B6BFF"/>
        </w:rPr>
        <w:t xml:space="preserve">MVP 建议  </w:t>
      </w:r>
      <w:r>
        <w:rPr>
          <w:rFonts w:ascii="Calibri" w:hAnsi="Calibri" w:eastAsia="Microsoft YaHei"/>
          <w:color w:val="18233D"/>
        </w:rPr>
        <w:t>复用现有 GET /api/v1/lottery/ssq/history。该接口已经提供 draws、fetchedAt、source、sourceUrl、stale 等字段，前端对返回的近期约 400 期数据完成期号/日期筛选和分段展示，无需新增上游抓取。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5.1 现有数据模型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600"/>
        <w:gridCol w:w="2400"/>
        <w:gridCol w:w="3660"/>
      </w:tblGrid>
      <w:tr>
        <w:trPr>
          <w:tblHeader w:val="true"/>
        </w:trPr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字段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类型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用途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规则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issue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string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开奖期号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非空；列表倒序；输入按完整期号匹配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date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string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开奖日期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展示为 YYYY-MM-DD；用于日期范围筛选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red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number[6]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红球号码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01-33、不可重复、展示前升序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blue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number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蓝球号码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01-16；两位数显示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fetchedAt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ISO datetime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同步时间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转换为用户本地时间展示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source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'cwl'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来源标识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前端映射为“中国福彩网官方历史开奖”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sourceUrl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string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来源地址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用于详情页“查看来源”，避免在列表裸露长链接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stale</w:t>
            </w:r>
          </w:p>
        </w:tc>
        <w:tc>
          <w:tcPr>
            <w:tcW w:type="dxa" w:w="1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boolean</w:t>
            </w:r>
          </w:p>
        </w:tc>
        <w:tc>
          <w:tcPr>
            <w:tcW w:type="dxa" w:w="24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缓存状态</w:t>
            </w:r>
          </w:p>
        </w:tc>
        <w:tc>
          <w:tcPr>
            <w:tcW w:type="dxa" w:w="36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true 时可继续展示，但必须提示数据可能不是最新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5.2 第二阶段接口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33D"/>
        </w:rPr>
        <w:t>若产品要承诺“全部历史”，建议新增面向查询的分页接口，而不是复用带有实验室语义的 ssq-lab/history。建议契约：</w:t>
      </w:r>
    </w:p>
    <w:p>
      <w:pPr>
        <w:spacing w:before="80" w:after="160"/>
        <w:ind w:left="259" w:right="144"/>
        <w:shd w:fill="F6F8FD"/>
        <w:pBdr>
          <w:left w:val="single" w:sz="8" w:space="8" w:color="DDE6FB"/>
        </w:pBdr>
      </w:pPr>
      <w:r>
        <w:rPr>
          <w:rFonts w:ascii="Consolas" w:hAnsi="Consolas" w:eastAsia="Microsoft YaHei"/>
          <w:color w:val="151B3B"/>
          <w:sz w:val="18"/>
        </w:rPr>
        <w:t>GET /api/v1/lottery/ssq/draws?issue=2026087&amp;startDate=2026-07-01&amp;endDate=2026-08-01&amp;page=1&amp;pageSize=30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返回 total、page、pageSize、items 和 snapshot 元数据；同一期号幂等去重。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服务端验证日期范围与 pageSize 上限；建议最大 100，默认 30。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上游不可用时优先返回可用缓存，并通过 stale=true 明确标识。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5.3 数据质量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红球必须是 6 个唯一整数，范围 1-33；蓝球范围 1-16。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同一期号只保留一条记录；无效记录不进入展示集合。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最新一期仅在期号、日期和 7 个号码全部有效时发布。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数据排序以期号倒序为主，日期只用于展示和筛选。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6. 状态、可用性与可访问性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060"/>
        <w:gridCol w:w="2800"/>
      </w:tblGrid>
      <w:tr>
        <w:trPr>
          <w:tblHeader w:val="true"/>
        </w:trPr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状态</w:t>
            </w:r>
          </w:p>
        </w:tc>
        <w:tc>
          <w:tcPr>
            <w:tcW w:type="dxa" w:w="50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界面表现</w:t>
            </w:r>
          </w:p>
        </w:tc>
        <w:tc>
          <w:tcPr>
            <w:tcW w:type="dxa" w:w="2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恢复动作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加载中</w:t>
            </w:r>
          </w:p>
        </w:tc>
        <w:tc>
          <w:tcPr>
            <w:tcW w:type="dxa" w:w="50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最新结果骨架屏 + 3 条列表骨架；查询控件可见但禁用</w:t>
            </w:r>
          </w:p>
        </w:tc>
        <w:tc>
          <w:tcPr>
            <w:tcW w:type="dxa" w:w="2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请求完成后替换，不闪白屏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无结果</w:t>
            </w:r>
          </w:p>
        </w:tc>
        <w:tc>
          <w:tcPr>
            <w:tcW w:type="dxa" w:w="50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“未找到该期开奖记录”或“该日期范围暂无记录”</w:t>
            </w:r>
          </w:p>
        </w:tc>
        <w:tc>
          <w:tcPr>
            <w:tcW w:type="dxa" w:w="2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保留条件，提供清空/修改入口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上游错误</w:t>
            </w:r>
          </w:p>
        </w:tc>
        <w:tc>
          <w:tcPr>
            <w:tcW w:type="dxa" w:w="50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说明官方数据暂不可用，不展示预测替代内容</w:t>
            </w:r>
          </w:p>
        </w:tc>
        <w:tc>
          <w:tcPr>
            <w:tcW w:type="dxa" w:w="2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“重新加载”按钮；可用缓存则优先显示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缓存数据</w:t>
            </w:r>
          </w:p>
        </w:tc>
        <w:tc>
          <w:tcPr>
            <w:tcW w:type="dxa" w:w="50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顶部黄色提示“当前为缓存数据，更新时间：…”</w:t>
            </w:r>
          </w:p>
        </w:tc>
        <w:tc>
          <w:tcPr>
            <w:tcW w:type="dxa" w:w="2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允许手动刷新；不阻断浏览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输入错误</w:t>
            </w:r>
          </w:p>
        </w:tc>
        <w:tc>
          <w:tcPr>
            <w:tcW w:type="dxa" w:w="50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期号只允许数字；日期开始值不得晚于结束值</w:t>
            </w:r>
          </w:p>
        </w:tc>
        <w:tc>
          <w:tcPr>
            <w:tcW w:type="dxa" w:w="2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字段下就地提示，不弹系统对话框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已到底</w:t>
            </w:r>
          </w:p>
        </w:tc>
        <w:tc>
          <w:tcPr>
            <w:tcW w:type="dxa" w:w="50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显示“已展示近 400 期”</w:t>
            </w:r>
          </w:p>
        </w:tc>
        <w:tc>
          <w:tcPr>
            <w:tcW w:type="dxa" w:w="28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不再出现可点击的加载按钮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6.1 非功能要求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性能：有缓存时首屏数据 P95 在 1 秒内可见；无缓存时 P95 不超过 3 秒。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稳定性：失败状态必须可重试；重复点击不并发发起多次请求。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可访问性：入口卡片、搜索、日期选择、加载更多均提供 accessibilityLabel 和 button/textbox 角色。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可读性：红/蓝球不能只靠颜色区分；蓝球与红球之间增加间隔并提供“蓝球”语义标签。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主题：支持现有深色/浅色主题；号码、边框和状态提示对比度满足移动端阅读。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响应式：沿用 appLayout.screenMaxWidth；320px 宽度不截断期号、日期或按钮文案。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6.2 埋点与成功指标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300"/>
        <w:gridCol w:w="2600"/>
        <w:gridCol w:w="2360"/>
      </w:tblGrid>
      <w:tr>
        <w:trPr>
          <w:tblHeader w:val="true"/>
        </w:trPr>
        <w:tc>
          <w:tcPr>
            <w:tcW w:type="dxa" w:w="21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事件</w:t>
            </w:r>
          </w:p>
        </w:tc>
        <w:tc>
          <w:tcPr>
            <w:tcW w:type="dxa" w:w="23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触发时机</w:t>
            </w:r>
          </w:p>
        </w:tc>
        <w:tc>
          <w:tcPr>
            <w:tcW w:type="dxa" w:w="2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关键参数</w:t>
            </w:r>
          </w:p>
        </w:tc>
        <w:tc>
          <w:tcPr>
            <w:tcW w:type="dxa" w:w="23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用途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ssq_history_entry_click</w:t>
            </w:r>
          </w:p>
        </w:tc>
        <w:tc>
          <w:tcPr>
            <w:tcW w:type="dxa" w:w="23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点击入口卡片</w:t>
            </w:r>
          </w:p>
        </w:tc>
        <w:tc>
          <w:tcPr>
            <w:tcW w:type="dxa" w:w="2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source_page</w:t>
            </w:r>
          </w:p>
        </w:tc>
        <w:tc>
          <w:tcPr>
            <w:tcW w:type="dxa" w:w="23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衡量入口发现性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ssq_history_view</w:t>
            </w:r>
          </w:p>
        </w:tc>
        <w:tc>
          <w:tcPr>
            <w:tcW w:type="dxa" w:w="23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历史页首屏展示</w:t>
            </w:r>
          </w:p>
        </w:tc>
        <w:tc>
          <w:tcPr>
            <w:tcW w:type="dxa" w:w="2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latest_issue, stale</w:t>
            </w:r>
          </w:p>
        </w:tc>
        <w:tc>
          <w:tcPr>
            <w:tcW w:type="dxa" w:w="23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监控到达与数据状态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ssq_history_search</w:t>
            </w:r>
          </w:p>
        </w:tc>
        <w:tc>
          <w:tcPr>
            <w:tcW w:type="dxa" w:w="23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提交期号/日期查询</w:t>
            </w:r>
          </w:p>
        </w:tc>
        <w:tc>
          <w:tcPr>
            <w:tcW w:type="dxa" w:w="2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mode, has_result</w:t>
            </w:r>
          </w:p>
        </w:tc>
        <w:tc>
          <w:tcPr>
            <w:tcW w:type="dxa" w:w="23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衡量查询需求和命中率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ssq_history_detail_open</w:t>
            </w:r>
          </w:p>
        </w:tc>
        <w:tc>
          <w:tcPr>
            <w:tcW w:type="dxa" w:w="23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打开某期开奖详情</w:t>
            </w:r>
          </w:p>
        </w:tc>
        <w:tc>
          <w:tcPr>
            <w:tcW w:type="dxa" w:w="2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issue</w:t>
            </w:r>
          </w:p>
        </w:tc>
        <w:tc>
          <w:tcPr>
            <w:tcW w:type="dxa" w:w="23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判断详情使用价值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ssq_history_load_more</w:t>
            </w:r>
          </w:p>
        </w:tc>
        <w:tc>
          <w:tcPr>
            <w:tcW w:type="dxa" w:w="23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点击/触发加载更多</w:t>
            </w:r>
          </w:p>
        </w:tc>
        <w:tc>
          <w:tcPr>
            <w:tcW w:type="dxa" w:w="2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loaded_count</w:t>
            </w:r>
          </w:p>
        </w:tc>
        <w:tc>
          <w:tcPr>
            <w:tcW w:type="dxa" w:w="23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评估默认 30 期是否足够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ssq_history_error</w:t>
            </w:r>
          </w:p>
        </w:tc>
        <w:tc>
          <w:tcPr>
            <w:tcW w:type="dxa" w:w="23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数据加载失败</w:t>
            </w:r>
          </w:p>
        </w:tc>
        <w:tc>
          <w:tcPr>
            <w:tcW w:type="dxa" w:w="26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error_code, stale_available</w:t>
            </w:r>
          </w:p>
        </w:tc>
        <w:tc>
          <w:tcPr>
            <w:tcW w:type="dxa" w:w="236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监控服务质量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color w:val="18233D"/>
        </w:rPr>
        <w:t>建议上线后观察 14 天：入口点击率、查询使用率、期号查询命中率、错误率、P95 首屏时间。首期不以停留时长作为核心指标，历史查询本应快速完成。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7. 验收标准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双色球二级页首屏能看到“历史开奖记录”独立卡片，位置与文案符合 2.2 节。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点击卡片进入 /tools/double-color-ball-history，返回后回到原二级页。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历史页默认展示最新一期及近 30 期，号码两位数、红球升序、蓝球独立区分。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输入有效完整期号能精确命中；无结果、非法输入和日期范围错误均有明确提示。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近 30/100/400 期筛选结果正确，加载更多不会重置已浏览内容。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source、fetchedAt、stale 在界面上有对应可见状态；缓存数据不会伪装成最新数据。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加载、空、错误、缓存、已到底五类状态完成视觉和交互验收。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深色/浅色主题、320px/390px/宽屏三档无文本重叠、截断或按钮位移。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前端数据校验覆盖红球数量/范围/重复、蓝球范围、期号和日期非空。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8233D"/>
        </w:rPr>
        <w:t>合规说明可见，页面无预测、推荐、必中、提高概率等误导性措辞。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8. 上线计划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4700"/>
        <w:gridCol w:w="3310"/>
      </w:tblGrid>
      <w:tr>
        <w:trPr>
          <w:tblHeader w:val="true"/>
        </w:trPr>
        <w:tc>
          <w:tcPr>
            <w:tcW w:type="dxa" w:w="13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阶段</w:t>
            </w:r>
          </w:p>
        </w:tc>
        <w:tc>
          <w:tcPr>
            <w:tcW w:type="dxa" w:w="4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交付内容</w:t>
            </w:r>
          </w:p>
        </w:tc>
        <w:tc>
          <w:tcPr>
            <w:tcW w:type="dxa" w:w="33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51B3B"/>
                <w:sz w:val="18"/>
              </w:rPr>
              <w:t>退出条件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MVP</w:t>
            </w:r>
          </w:p>
        </w:tc>
        <w:tc>
          <w:tcPr>
            <w:tcW w:type="dxa" w:w="4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独立入口、近 400 期、期号/日期筛选、详情、完整状态</w:t>
            </w:r>
          </w:p>
        </w:tc>
        <w:tc>
          <w:tcPr>
            <w:tcW w:type="dxa" w:w="33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功能/视觉/数据校验通过，埋点可用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灰度</w:t>
            </w:r>
          </w:p>
        </w:tc>
        <w:tc>
          <w:tcPr>
            <w:tcW w:type="dxa" w:w="4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小流量开放并监控数据错误与首屏性能</w:t>
            </w:r>
          </w:p>
        </w:tc>
        <w:tc>
          <w:tcPr>
            <w:tcW w:type="dxa" w:w="33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连续 3 天无 P0/P1，错误率在目标内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全量</w:t>
            </w:r>
          </w:p>
        </w:tc>
        <w:tc>
          <w:tcPr>
            <w:tcW w:type="dxa" w:w="4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全用户开放，保留缓存降级</w:t>
            </w:r>
          </w:p>
        </w:tc>
        <w:tc>
          <w:tcPr>
            <w:tcW w:type="dxa" w:w="33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14 天指标复盘完成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第二阶段</w:t>
            </w:r>
          </w:p>
        </w:tc>
        <w:tc>
          <w:tcPr>
            <w:tcW w:type="dxa" w:w="470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全量历史分页、分享、可选奖金信息</w:t>
            </w:r>
          </w:p>
        </w:tc>
        <w:tc>
          <w:tcPr>
            <w:tcW w:type="dxa" w:w="3310"/>
            <w:vAlign w:val="center"/>
            <w:tcBorders>
              <w:top w:val="single" w:sz="6" w:color="DDE6FB"/>
              <w:left w:val="single" w:sz="6" w:color="DDE6FB"/>
              <w:bottom w:val="single" w:sz="6" w:color="DDE6FB"/>
              <w:right w:val="single" w:sz="6" w:color="DDE6FB"/>
              <w:insideH w:val="single" w:sz="6" w:color="DDE6FB"/>
              <w:insideV w:val="single" w:sz="6" w:color="DDE6FB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8233D"/>
                <w:sz w:val="19"/>
              </w:rPr>
              <w:t>根据搜索深度和加载更多行为决定优先级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9. 待评审项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入口卡片最终排序：本稿推荐置顶；若业务更重视分析，可放在概率参考之后。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MVP 覆盖口径：明确标注“近 400 期”，还是在开发分页接口后再正式上线。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详情页是否首期展示一等奖/二等奖单注奖金；现有 lab 数据链路已有相关字段，但基础接口未返回。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8233D"/>
        </w:rPr>
        <w:t>日期筛选采用原生日期选择器还是两个文本日期字段；建议移动端使用原生日期选择器。</w:t>
      </w:r>
    </w:p>
    <w:p>
      <w:pPr>
        <w:spacing w:before="100" w:after="200" w:line="264" w:lineRule="auto"/>
        <w:ind w:left="202" w:right="144"/>
        <w:shd w:fill="EAF8F3"/>
        <w:pBdr>
          <w:left w:val="single" w:sz="18" w:space="10" w:color="20AD78"/>
        </w:pBdr>
      </w:pPr>
      <w:r>
        <w:rPr>
          <w:rFonts w:ascii="Calibri" w:hAnsi="Calibri" w:eastAsia="Microsoft YaHei"/>
          <w:b/>
          <w:color w:val="20AD78"/>
        </w:rPr>
        <w:t xml:space="preserve">评审建议  </w:t>
      </w:r>
      <w:r>
        <w:rPr>
          <w:rFonts w:ascii="Calibri" w:hAnsi="Calibri" w:eastAsia="Microsoft YaHei"/>
          <w:color w:val="18233D"/>
        </w:rPr>
        <w:t>优先确认入口排序与数据覆盖口径。其余交互可按本稿进入设计和开发拆分。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48F"/>
        <w:sz w:val="18"/>
      </w:rPr>
      <w:t xml:space="preserve">第 </w:t>
    </w:r>
    <w:r>
      <w:rPr>
        <w:rFonts w:ascii="Calibri" w:hAnsi="Calibri" w:eastAsia="Microsoft YaHei"/>
        <w:color w:val="66748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48F"/>
        <w:sz w:val="18"/>
      </w:rPr>
      <w:t xml:space="preserve"> 页 / 共 </w:t>
    </w:r>
    <w:r>
      <w:rPr>
        <w:rFonts w:ascii="Calibri" w:hAnsi="Calibri" w:eastAsia="Microsoft YaHei"/>
        <w:color w:val="66748F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748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6748F"/>
        <w:sz w:val="17"/>
      </w:rPr>
      <w:t>FUNBOX  |  产品需求文档</w:t>
    </w:r>
    <w:r>
      <w:tab/>
    </w:r>
    <w:r>
      <w:rPr>
        <w:rFonts w:ascii="Calibri" w:hAnsi="Calibri" w:eastAsia="Microsoft YaHei"/>
        <w:color w:val="66748F"/>
        <w:sz w:val="17"/>
      </w:rPr>
      <w:t>双色球历史开奖记录查询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21">
    <w:nsid w:val="00000079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21">
    <w:abstractNumId w:val="121"/>
  </w:num>
  <w:abstractNum w:abstractNumId="122">
    <w:nsid w:val="0000007A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22">
    <w:abstractNumId w:val="122"/>
  </w:num>
  <w:abstractNum w:abstractNumId="123">
    <w:nsid w:val="0000007B"/>
    <w:multiLevelType w:val="singleLevel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23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823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双色球历史开奖记录查询 - 产品需求文档 V1.0</dc:title>
  <dc:subject>FunBox 双色球功能入口与历史开奖结果查询</dc:subject>
  <dc:creator>FunBox Product</dc:creator>
  <cp:keywords>FunBox, 双色球, 历史开奖记录,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