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AC" w:rsidRPr="004247EA" w:rsidRDefault="005F47AC" w:rsidP="005F47AC">
      <w:pPr>
        <w:outlineLvl w:val="0"/>
        <w:rPr>
          <w:rFonts w:ascii="黑体" w:eastAsia="黑体" w:hAnsi="黑体"/>
          <w:sz w:val="36"/>
          <w:szCs w:val="36"/>
        </w:rPr>
      </w:pPr>
      <w:bookmarkStart w:id="0" w:name="_Toc421520895"/>
      <w:bookmarkStart w:id="1" w:name="_Toc424135151"/>
      <w:r w:rsidRPr="004247EA">
        <w:rPr>
          <w:rFonts w:ascii="黑体" w:eastAsia="黑体" w:hAnsi="黑体" w:hint="eastAsia"/>
          <w:sz w:val="36"/>
          <w:szCs w:val="36"/>
        </w:rPr>
        <w:t>附录 相关代码表</w:t>
      </w:r>
      <w:bookmarkEnd w:id="0"/>
      <w:bookmarkEnd w:id="1"/>
    </w:p>
    <w:p w:rsidR="005F47AC" w:rsidRPr="004247EA" w:rsidRDefault="005F47AC" w:rsidP="005F47AC">
      <w:pPr>
        <w:pStyle w:val="a"/>
        <w:numPr>
          <w:ilvl w:val="0"/>
          <w:numId w:val="0"/>
        </w:numPr>
        <w:spacing w:before="312" w:after="312" w:line="240" w:lineRule="auto"/>
        <w:ind w:left="425"/>
      </w:pPr>
      <w:bookmarkStart w:id="2" w:name="_Toc421520896"/>
      <w:bookmarkStart w:id="3" w:name="_Toc424135152"/>
      <w:r w:rsidRPr="004247EA">
        <w:rPr>
          <w:rFonts w:hint="eastAsia"/>
        </w:rPr>
        <w:t>附表1：行业类别代码表</w:t>
      </w:r>
      <w:bookmarkEnd w:id="2"/>
      <w:bookmarkEnd w:id="3"/>
    </w:p>
    <w:p w:rsidR="005F47AC" w:rsidRPr="004247EA" w:rsidRDefault="005F47AC" w:rsidP="005F47AC">
      <w:pPr>
        <w:pStyle w:val="a7"/>
        <w:widowControl w:val="0"/>
        <w:adjustRightInd w:val="0"/>
        <w:textAlignment w:val="baseline"/>
      </w:pPr>
      <w:r w:rsidRPr="004247EA">
        <w:rPr>
          <w:rFonts w:hint="eastAsia"/>
        </w:rPr>
        <w:t>行业类别代码表引用自《GA/T 21063.4 政务信息资源目录体系 第4部分：政务信息资源分类》</w:t>
      </w:r>
    </w:p>
    <w:tbl>
      <w:tblPr>
        <w:tblW w:w="5000" w:type="pct"/>
        <w:tblLook w:val="04A0" w:firstRow="1" w:lastRow="0" w:firstColumn="1" w:lastColumn="0" w:noHBand="0" w:noVBand="1"/>
      </w:tblPr>
      <w:tblGrid>
        <w:gridCol w:w="1768"/>
        <w:gridCol w:w="3308"/>
        <w:gridCol w:w="3210"/>
      </w:tblGrid>
      <w:tr w:rsidR="005F47AC" w:rsidRPr="004247EA" w:rsidTr="00494E2B">
        <w:trPr>
          <w:trHeight w:val="285"/>
        </w:trPr>
        <w:tc>
          <w:tcPr>
            <w:tcW w:w="1067" w:type="pct"/>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代码</w:t>
            </w:r>
          </w:p>
        </w:tc>
        <w:tc>
          <w:tcPr>
            <w:tcW w:w="1996" w:type="pct"/>
            <w:tcBorders>
              <w:top w:val="single" w:sz="8" w:space="0" w:color="auto"/>
              <w:left w:val="nil"/>
              <w:bottom w:val="single" w:sz="8" w:space="0" w:color="auto"/>
              <w:right w:val="single" w:sz="8" w:space="0" w:color="auto"/>
            </w:tcBorders>
            <w:shd w:val="clear" w:color="auto" w:fill="D9D9D9" w:themeFill="background1" w:themeFillShade="D9"/>
            <w:noWrap/>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名称</w:t>
            </w:r>
          </w:p>
        </w:tc>
        <w:tc>
          <w:tcPr>
            <w:tcW w:w="1937" w:type="pct"/>
            <w:tcBorders>
              <w:top w:val="single" w:sz="8" w:space="0" w:color="auto"/>
              <w:left w:val="nil"/>
              <w:bottom w:val="single" w:sz="8" w:space="0" w:color="auto"/>
              <w:right w:val="single" w:sz="8" w:space="0" w:color="auto"/>
            </w:tcBorders>
            <w:shd w:val="clear" w:color="auto" w:fill="D9D9D9" w:themeFill="background1" w:themeFillShade="D9"/>
            <w:noWrap/>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说明</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ZAG</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法院</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ZAH</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检察院</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ZBF</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统计</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ZBG</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物价</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ZBH</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工商</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ZDD</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交通运输管理</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ZEA</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信息产业综合</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ZEB</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通信</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ZEE</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网络</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ZEG</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邮政</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ZFE</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房地产</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ZGH</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城市管理</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ZHC</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税务</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ZHD</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金融</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ZHE</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保险</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ZJA</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商业、贸易</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ZJD</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物流、仓储</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ZJE</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海关</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ZKB</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旅游</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ZKC</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服务业</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ZMA</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对外事务</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ZNB</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公安</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ZNC</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国家安全</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ZND</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监察</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ZNE</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司法</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ZPE</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技术监督</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ZPF</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教育</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ZPG</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院校管理</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ZGF</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广播、电影、电视</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ZQH</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医疗保健</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ZQJ</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计划生育</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ZSC</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劳动就业</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ZSD</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社会保障</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lastRenderedPageBreak/>
              <w:t>ZTB</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民政</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ZTC</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社区管理</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ZUF</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信访</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ZVC</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民族事务</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ZVD</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宗教事务</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ZVE</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侨务工作</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ZVF</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港澳台工作</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QAA</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供水</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QAB</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供电</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QAC</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供气</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QAD</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供暖</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QAE</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燃油服务</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285"/>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QJA</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公共交通</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 xml:space="preserve">　</w:t>
            </w:r>
          </w:p>
        </w:tc>
      </w:tr>
      <w:tr w:rsidR="005F47AC" w:rsidRPr="004247EA" w:rsidTr="00494E2B">
        <w:trPr>
          <w:trHeight w:val="300"/>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QJB</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公路</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kern w:val="0"/>
                <w:sz w:val="18"/>
                <w:szCs w:val="18"/>
              </w:rPr>
              <w:t xml:space="preserve">　</w:t>
            </w:r>
          </w:p>
        </w:tc>
      </w:tr>
      <w:tr w:rsidR="005F47AC" w:rsidRPr="004247EA" w:rsidTr="00494E2B">
        <w:trPr>
          <w:trHeight w:val="285"/>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QJC</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铁路</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 xml:space="preserve">　</w:t>
            </w:r>
          </w:p>
        </w:tc>
      </w:tr>
      <w:tr w:rsidR="005F47AC" w:rsidRPr="004247EA" w:rsidTr="00494E2B">
        <w:trPr>
          <w:trHeight w:val="285"/>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QJD</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民航</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 xml:space="preserve">　</w:t>
            </w:r>
          </w:p>
        </w:tc>
      </w:tr>
      <w:tr w:rsidR="005F47AC" w:rsidRPr="004247EA" w:rsidTr="00494E2B">
        <w:trPr>
          <w:trHeight w:val="285"/>
        </w:trPr>
        <w:tc>
          <w:tcPr>
            <w:tcW w:w="1067" w:type="pct"/>
            <w:tcBorders>
              <w:top w:val="nil"/>
              <w:left w:val="single" w:sz="8" w:space="0" w:color="auto"/>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QJE</w:t>
            </w:r>
          </w:p>
        </w:tc>
        <w:tc>
          <w:tcPr>
            <w:tcW w:w="1996"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水运</w:t>
            </w:r>
          </w:p>
        </w:tc>
        <w:tc>
          <w:tcPr>
            <w:tcW w:w="1937" w:type="pct"/>
            <w:tcBorders>
              <w:top w:val="nil"/>
              <w:left w:val="nil"/>
              <w:bottom w:val="single" w:sz="8" w:space="0" w:color="auto"/>
              <w:right w:val="single" w:sz="8" w:space="0" w:color="auto"/>
            </w:tcBorders>
            <w:shd w:val="clear" w:color="auto" w:fill="auto"/>
            <w:noWrap/>
            <w:vAlign w:val="center"/>
            <w:hideMark/>
          </w:tcPr>
          <w:p w:rsidR="005F47AC" w:rsidRPr="004247EA" w:rsidRDefault="005F47AC" w:rsidP="00494E2B">
            <w:pPr>
              <w:widowControl/>
              <w:spacing w:line="240" w:lineRule="auto"/>
              <w:jc w:val="center"/>
              <w:rPr>
                <w:rFonts w:ascii="宋体" w:hAnsi="宋体" w:cs="宋体"/>
                <w:kern w:val="0"/>
                <w:sz w:val="18"/>
                <w:szCs w:val="18"/>
              </w:rPr>
            </w:pPr>
            <w:r w:rsidRPr="004247EA">
              <w:rPr>
                <w:rFonts w:ascii="宋体" w:hAnsi="宋体" w:cs="宋体" w:hint="eastAsia"/>
                <w:kern w:val="0"/>
                <w:sz w:val="18"/>
                <w:szCs w:val="18"/>
              </w:rPr>
              <w:t xml:space="preserve">　</w:t>
            </w:r>
          </w:p>
        </w:tc>
      </w:tr>
    </w:tbl>
    <w:p w:rsidR="005F47AC" w:rsidRPr="004247EA" w:rsidRDefault="005F47AC" w:rsidP="005F47AC">
      <w:pPr>
        <w:pStyle w:val="a"/>
        <w:numPr>
          <w:ilvl w:val="0"/>
          <w:numId w:val="0"/>
        </w:numPr>
        <w:spacing w:before="312" w:after="312" w:line="240" w:lineRule="auto"/>
        <w:ind w:left="425"/>
      </w:pPr>
      <w:bookmarkStart w:id="4" w:name="_Toc421520897"/>
      <w:bookmarkStart w:id="5" w:name="_Toc424135153"/>
      <w:r w:rsidRPr="004247EA">
        <w:rPr>
          <w:rFonts w:hint="eastAsia"/>
        </w:rPr>
        <w:t>附表2：公安业务分类代码表</w:t>
      </w:r>
      <w:bookmarkEnd w:id="4"/>
      <w:bookmarkEnd w:id="5"/>
    </w:p>
    <w:tbl>
      <w:tblPr>
        <w:tblW w:w="5000" w:type="pct"/>
        <w:tblLook w:val="04A0" w:firstRow="1" w:lastRow="0" w:firstColumn="1" w:lastColumn="0" w:noHBand="0" w:noVBand="1"/>
      </w:tblPr>
      <w:tblGrid>
        <w:gridCol w:w="4561"/>
        <w:gridCol w:w="3735"/>
      </w:tblGrid>
      <w:tr w:rsidR="005F47AC" w:rsidRPr="004247EA" w:rsidTr="00494E2B">
        <w:trPr>
          <w:trHeight w:val="285"/>
        </w:trPr>
        <w:tc>
          <w:tcPr>
            <w:tcW w:w="2749" w:type="pct"/>
            <w:tcBorders>
              <w:top w:val="single" w:sz="4" w:space="0" w:color="auto"/>
              <w:left w:val="single" w:sz="4" w:space="0" w:color="auto"/>
              <w:bottom w:val="single" w:sz="4" w:space="0" w:color="auto"/>
              <w:right w:val="single" w:sz="4" w:space="0" w:color="auto"/>
            </w:tcBorders>
            <w:shd w:val="clear" w:color="auto" w:fill="EEECE1"/>
            <w:noWrap/>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分类名称</w:t>
            </w:r>
          </w:p>
        </w:tc>
        <w:tc>
          <w:tcPr>
            <w:tcW w:w="2251" w:type="pct"/>
            <w:tcBorders>
              <w:top w:val="single" w:sz="4" w:space="0" w:color="auto"/>
              <w:left w:val="nil"/>
              <w:bottom w:val="single" w:sz="4" w:space="0" w:color="auto"/>
              <w:right w:val="single" w:sz="4" w:space="0" w:color="auto"/>
            </w:tcBorders>
            <w:shd w:val="clear" w:color="auto" w:fill="EEECE1"/>
            <w:noWrap/>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类别编号</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国内安全保卫</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01</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经济犯罪侦查</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02</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治安管理</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03</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刑事侦查</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05</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出入境管理</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06</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网络安全保卫</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11</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技术侦察</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12</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监所管理</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13</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交通管理</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17</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法制</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18</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国际合作</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19</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装备财务</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20</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禁毒</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21</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科技信息化</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22</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bottom"/>
            <w:hideMark/>
          </w:tcPr>
          <w:p w:rsidR="005F47AC" w:rsidRPr="004247EA" w:rsidRDefault="005F47AC" w:rsidP="00494E2B">
            <w:pPr>
              <w:widowControl/>
              <w:jc w:val="center"/>
              <w:rPr>
                <w:rFonts w:ascii="宋体" w:hAnsi="宋体" w:cs="Arial"/>
                <w:kern w:val="0"/>
                <w:sz w:val="20"/>
                <w:szCs w:val="20"/>
              </w:rPr>
            </w:pPr>
            <w:r w:rsidRPr="004247EA">
              <w:rPr>
                <w:rFonts w:ascii="宋体" w:hAnsi="宋体" w:cs="Arial" w:hint="eastAsia"/>
                <w:kern w:val="0"/>
                <w:sz w:val="20"/>
                <w:szCs w:val="20"/>
              </w:rPr>
              <w:lastRenderedPageBreak/>
              <w:t>情报信息</w:t>
            </w:r>
          </w:p>
        </w:tc>
        <w:tc>
          <w:tcPr>
            <w:tcW w:w="2251" w:type="pct"/>
            <w:tcBorders>
              <w:top w:val="nil"/>
              <w:left w:val="nil"/>
              <w:bottom w:val="single" w:sz="4" w:space="0" w:color="auto"/>
              <w:right w:val="single" w:sz="4" w:space="0" w:color="auto"/>
            </w:tcBorders>
            <w:shd w:val="clear" w:color="auto" w:fill="auto"/>
            <w:noWrap/>
            <w:vAlign w:val="bottom"/>
            <w:hideMark/>
          </w:tcPr>
          <w:p w:rsidR="005F47AC" w:rsidRPr="004247EA" w:rsidRDefault="005F47AC" w:rsidP="00494E2B">
            <w:pPr>
              <w:widowControl/>
              <w:jc w:val="center"/>
              <w:rPr>
                <w:rFonts w:ascii="Arial" w:hAnsi="Arial" w:cs="Arial"/>
                <w:kern w:val="0"/>
                <w:sz w:val="20"/>
                <w:szCs w:val="20"/>
              </w:rPr>
            </w:pPr>
            <w:r w:rsidRPr="004247EA">
              <w:rPr>
                <w:rFonts w:ascii="宋体" w:hAnsi="宋体" w:cs="Arial"/>
                <w:kern w:val="0"/>
                <w:sz w:val="18"/>
                <w:szCs w:val="18"/>
              </w:rPr>
              <w:t>23</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警务保障</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25</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反恐怖</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27</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审计局</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28</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办公厅（室）</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31</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纪委监察</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33</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警务督察</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34</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政治部</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35</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人事训练</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36</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宣传</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37</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直属机关党委</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38</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离退休干部</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39</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现役工作办公室</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41</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维稳办</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47</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边防管理</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B0</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海关总署缉私</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H0</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警卫</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J0</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民用航空</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M0</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国家林业</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S0</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交通运输</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T0</w:t>
            </w:r>
          </w:p>
        </w:tc>
      </w:tr>
      <w:tr w:rsidR="005F47AC" w:rsidRPr="004247EA" w:rsidTr="00494E2B">
        <w:trPr>
          <w:trHeight w:val="255"/>
        </w:trPr>
        <w:tc>
          <w:tcPr>
            <w:tcW w:w="2749" w:type="pct"/>
            <w:tcBorders>
              <w:top w:val="nil"/>
              <w:left w:val="single" w:sz="4" w:space="0" w:color="auto"/>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消防</w:t>
            </w:r>
          </w:p>
        </w:tc>
        <w:tc>
          <w:tcPr>
            <w:tcW w:w="2251" w:type="pct"/>
            <w:tcBorders>
              <w:top w:val="nil"/>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X0</w:t>
            </w:r>
          </w:p>
        </w:tc>
      </w:tr>
      <w:tr w:rsidR="005F47AC" w:rsidRPr="004247EA" w:rsidTr="00494E2B">
        <w:trPr>
          <w:trHeight w:val="255"/>
        </w:trPr>
        <w:tc>
          <w:tcPr>
            <w:tcW w:w="27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47AC" w:rsidRPr="004247EA" w:rsidRDefault="005F47AC" w:rsidP="00494E2B">
            <w:pPr>
              <w:widowControl/>
              <w:jc w:val="center"/>
              <w:rPr>
                <w:rFonts w:ascii="宋体" w:hAnsi="宋体" w:cs="Arial"/>
                <w:kern w:val="0"/>
                <w:sz w:val="20"/>
                <w:szCs w:val="20"/>
              </w:rPr>
            </w:pPr>
            <w:r w:rsidRPr="004247EA">
              <w:rPr>
                <w:rFonts w:ascii="宋体" w:hAnsi="宋体" w:cs="Arial" w:hint="eastAsia"/>
                <w:kern w:val="0"/>
                <w:sz w:val="20"/>
                <w:szCs w:val="20"/>
              </w:rPr>
              <w:t>其他</w:t>
            </w:r>
          </w:p>
        </w:tc>
        <w:tc>
          <w:tcPr>
            <w:tcW w:w="2251" w:type="pct"/>
            <w:tcBorders>
              <w:top w:val="single" w:sz="4" w:space="0" w:color="auto"/>
              <w:left w:val="nil"/>
              <w:bottom w:val="single" w:sz="4" w:space="0" w:color="auto"/>
              <w:right w:val="single" w:sz="4" w:space="0" w:color="auto"/>
            </w:tcBorders>
            <w:shd w:val="clear" w:color="auto" w:fill="auto"/>
            <w:noWrap/>
            <w:vAlign w:val="center"/>
            <w:hideMark/>
          </w:tcPr>
          <w:p w:rsidR="005F47AC" w:rsidRPr="004247EA" w:rsidRDefault="005F47AC" w:rsidP="00494E2B">
            <w:pPr>
              <w:widowControl/>
              <w:jc w:val="center"/>
              <w:rPr>
                <w:rFonts w:ascii="宋体" w:hAnsi="宋体" w:cs="Arial"/>
                <w:kern w:val="0"/>
                <w:sz w:val="18"/>
                <w:szCs w:val="18"/>
              </w:rPr>
            </w:pPr>
            <w:r w:rsidRPr="004247EA">
              <w:rPr>
                <w:rFonts w:ascii="宋体" w:hAnsi="宋体" w:cs="Arial" w:hint="eastAsia"/>
                <w:kern w:val="0"/>
                <w:sz w:val="18"/>
                <w:szCs w:val="18"/>
              </w:rPr>
              <w:t>XX</w:t>
            </w:r>
          </w:p>
        </w:tc>
      </w:tr>
    </w:tbl>
    <w:p w:rsidR="005F47AC" w:rsidRPr="004247EA" w:rsidRDefault="005F47AC" w:rsidP="005F47AC">
      <w:pPr>
        <w:pStyle w:val="a"/>
        <w:numPr>
          <w:ilvl w:val="0"/>
          <w:numId w:val="0"/>
        </w:numPr>
        <w:spacing w:before="312" w:after="312" w:line="240" w:lineRule="auto"/>
        <w:ind w:left="425"/>
      </w:pPr>
      <w:bookmarkStart w:id="6" w:name="_Toc421520898"/>
      <w:bookmarkStart w:id="7" w:name="_Toc424135154"/>
      <w:r w:rsidRPr="004247EA">
        <w:rPr>
          <w:rFonts w:hint="eastAsia"/>
        </w:rPr>
        <w:t>附表3：数据资源要素一级分类代码表</w:t>
      </w:r>
      <w:bookmarkEnd w:id="6"/>
      <w:bookmarkEnd w:id="7"/>
    </w:p>
    <w:tbl>
      <w:tblPr>
        <w:tblW w:w="5000" w:type="pct"/>
        <w:tblLook w:val="04A0" w:firstRow="1" w:lastRow="0" w:firstColumn="1" w:lastColumn="0" w:noHBand="0" w:noVBand="1"/>
      </w:tblPr>
      <w:tblGrid>
        <w:gridCol w:w="1144"/>
        <w:gridCol w:w="2348"/>
        <w:gridCol w:w="4794"/>
      </w:tblGrid>
      <w:tr w:rsidR="005F47AC" w:rsidRPr="004247EA" w:rsidTr="00494E2B">
        <w:trPr>
          <w:trHeight w:val="285"/>
        </w:trPr>
        <w:tc>
          <w:tcPr>
            <w:tcW w:w="690" w:type="pct"/>
            <w:tcBorders>
              <w:top w:val="single" w:sz="8" w:space="0" w:color="auto"/>
              <w:left w:val="single" w:sz="8" w:space="0" w:color="auto"/>
              <w:bottom w:val="single" w:sz="8" w:space="0" w:color="auto"/>
              <w:right w:val="single" w:sz="8" w:space="0" w:color="auto"/>
            </w:tcBorders>
            <w:shd w:val="clear" w:color="auto" w:fill="EEECE1"/>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代码</w:t>
            </w:r>
          </w:p>
        </w:tc>
        <w:tc>
          <w:tcPr>
            <w:tcW w:w="1417" w:type="pct"/>
            <w:tcBorders>
              <w:top w:val="single" w:sz="8" w:space="0" w:color="auto"/>
              <w:left w:val="nil"/>
              <w:bottom w:val="single" w:sz="8" w:space="0" w:color="auto"/>
              <w:right w:val="single" w:sz="8" w:space="0" w:color="auto"/>
            </w:tcBorders>
            <w:shd w:val="clear" w:color="auto" w:fill="EEECE1"/>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名称</w:t>
            </w:r>
          </w:p>
        </w:tc>
        <w:tc>
          <w:tcPr>
            <w:tcW w:w="2893" w:type="pct"/>
            <w:tcBorders>
              <w:top w:val="single" w:sz="8" w:space="0" w:color="auto"/>
              <w:left w:val="nil"/>
              <w:bottom w:val="single" w:sz="8" w:space="0" w:color="auto"/>
              <w:right w:val="single" w:sz="8" w:space="0" w:color="auto"/>
            </w:tcBorders>
            <w:shd w:val="clear" w:color="auto" w:fill="EEECE1"/>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说明</w:t>
            </w:r>
          </w:p>
        </w:tc>
      </w:tr>
      <w:tr w:rsidR="005F47AC" w:rsidRPr="004247EA" w:rsidTr="00494E2B">
        <w:trPr>
          <w:trHeight w:val="285"/>
        </w:trPr>
        <w:tc>
          <w:tcPr>
            <w:tcW w:w="690" w:type="pct"/>
            <w:tcBorders>
              <w:top w:val="nil"/>
              <w:left w:val="single" w:sz="8" w:space="0" w:color="auto"/>
              <w:bottom w:val="single" w:sz="8" w:space="0" w:color="auto"/>
              <w:right w:val="single" w:sz="8"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1</w:t>
            </w:r>
          </w:p>
        </w:tc>
        <w:tc>
          <w:tcPr>
            <w:tcW w:w="1417" w:type="pct"/>
            <w:tcBorders>
              <w:top w:val="nil"/>
              <w:left w:val="nil"/>
              <w:bottom w:val="single" w:sz="8" w:space="0" w:color="auto"/>
              <w:right w:val="single" w:sz="8"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人</w:t>
            </w:r>
          </w:p>
        </w:tc>
        <w:tc>
          <w:tcPr>
            <w:tcW w:w="2893" w:type="pct"/>
            <w:tcBorders>
              <w:top w:val="nil"/>
              <w:left w:val="nil"/>
              <w:bottom w:val="single" w:sz="8" w:space="0" w:color="auto"/>
              <w:right w:val="single" w:sz="8" w:space="0" w:color="auto"/>
            </w:tcBorders>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以自然人为主体进行描述的数据资源。</w:t>
            </w:r>
          </w:p>
        </w:tc>
      </w:tr>
      <w:tr w:rsidR="005F47AC" w:rsidRPr="004247EA" w:rsidTr="00494E2B">
        <w:trPr>
          <w:trHeight w:val="285"/>
        </w:trPr>
        <w:tc>
          <w:tcPr>
            <w:tcW w:w="690" w:type="pct"/>
            <w:tcBorders>
              <w:top w:val="nil"/>
              <w:left w:val="single" w:sz="8" w:space="0" w:color="auto"/>
              <w:bottom w:val="single" w:sz="4" w:space="0" w:color="auto"/>
              <w:right w:val="single" w:sz="8"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2</w:t>
            </w:r>
          </w:p>
        </w:tc>
        <w:tc>
          <w:tcPr>
            <w:tcW w:w="1417" w:type="pct"/>
            <w:tcBorders>
              <w:top w:val="nil"/>
              <w:left w:val="nil"/>
              <w:bottom w:val="single" w:sz="4" w:space="0" w:color="auto"/>
              <w:right w:val="single" w:sz="8"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物</w:t>
            </w:r>
          </w:p>
        </w:tc>
        <w:tc>
          <w:tcPr>
            <w:tcW w:w="2893" w:type="pct"/>
            <w:tcBorders>
              <w:top w:val="nil"/>
              <w:left w:val="nil"/>
              <w:bottom w:val="single" w:sz="4" w:space="0" w:color="auto"/>
              <w:right w:val="single" w:sz="8" w:space="0" w:color="auto"/>
            </w:tcBorders>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以特定的物为主体进行描述的数据资源，针对不同情况涵盖不同的内容，包括物品、物证、微小痕迹、尸体或法律文书等，如：法医→昆虫；森警→动物；警务→犬；治安→犬等。</w:t>
            </w:r>
          </w:p>
        </w:tc>
      </w:tr>
      <w:tr w:rsidR="005F47AC" w:rsidRPr="004247EA" w:rsidTr="00494E2B">
        <w:trPr>
          <w:trHeight w:val="285"/>
        </w:trPr>
        <w:tc>
          <w:tcPr>
            <w:tcW w:w="6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lastRenderedPageBreak/>
              <w:t>3</w:t>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组织</w:t>
            </w:r>
          </w:p>
        </w:tc>
        <w:tc>
          <w:tcPr>
            <w:tcW w:w="28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以法人、单位、特定人群组织结构（如：户）为主体进行描述的数据资源。</w:t>
            </w:r>
          </w:p>
        </w:tc>
      </w:tr>
      <w:tr w:rsidR="005F47AC" w:rsidRPr="004247EA" w:rsidTr="00494E2B">
        <w:trPr>
          <w:trHeight w:val="285"/>
        </w:trPr>
        <w:tc>
          <w:tcPr>
            <w:tcW w:w="6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4</w:t>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虚拟标识</w:t>
            </w:r>
          </w:p>
        </w:tc>
        <w:tc>
          <w:tcPr>
            <w:tcW w:w="28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特指仅有虚拟服务标识、无法具体判断是否为个人或组织的数据资源。</w:t>
            </w:r>
          </w:p>
        </w:tc>
      </w:tr>
      <w:tr w:rsidR="005F47AC" w:rsidRPr="004247EA" w:rsidTr="00494E2B">
        <w:trPr>
          <w:trHeight w:val="285"/>
        </w:trPr>
        <w:tc>
          <w:tcPr>
            <w:tcW w:w="6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5</w:t>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时空</w:t>
            </w:r>
          </w:p>
        </w:tc>
        <w:tc>
          <w:tcPr>
            <w:tcW w:w="28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以时间、地点为主体进行描述的数据资源。</w:t>
            </w:r>
          </w:p>
        </w:tc>
      </w:tr>
    </w:tbl>
    <w:p w:rsidR="005F47AC" w:rsidRPr="004247EA" w:rsidRDefault="005F47AC" w:rsidP="005F47AC">
      <w:pPr>
        <w:pStyle w:val="a"/>
        <w:numPr>
          <w:ilvl w:val="0"/>
          <w:numId w:val="0"/>
        </w:numPr>
        <w:spacing w:before="312" w:after="312" w:line="240" w:lineRule="auto"/>
        <w:ind w:left="425"/>
      </w:pPr>
      <w:bookmarkStart w:id="8" w:name="_Toc421520899"/>
      <w:bookmarkStart w:id="9" w:name="_Toc424135155"/>
      <w:r w:rsidRPr="004247EA">
        <w:rPr>
          <w:rFonts w:hint="eastAsia"/>
        </w:rPr>
        <w:t>附表4：数据资源要素二级分类代码表</w:t>
      </w:r>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339"/>
        <w:gridCol w:w="4755"/>
      </w:tblGrid>
      <w:tr w:rsidR="005F47AC" w:rsidRPr="004247EA" w:rsidTr="00494E2B">
        <w:trPr>
          <w:trHeight w:val="285"/>
        </w:trPr>
        <w:tc>
          <w:tcPr>
            <w:tcW w:w="724" w:type="pct"/>
            <w:shd w:val="clear" w:color="auto" w:fill="EEECE1"/>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代码</w:t>
            </w:r>
          </w:p>
        </w:tc>
        <w:tc>
          <w:tcPr>
            <w:tcW w:w="1410" w:type="pct"/>
            <w:shd w:val="clear" w:color="auto" w:fill="EEECE1"/>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名称</w:t>
            </w:r>
          </w:p>
        </w:tc>
        <w:tc>
          <w:tcPr>
            <w:tcW w:w="2866" w:type="pct"/>
            <w:shd w:val="clear" w:color="auto" w:fill="EEECE1"/>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说明</w:t>
            </w:r>
          </w:p>
        </w:tc>
      </w:tr>
      <w:tr w:rsidR="005F47AC" w:rsidRPr="004247EA" w:rsidTr="00494E2B">
        <w:trPr>
          <w:trHeight w:val="285"/>
        </w:trPr>
        <w:tc>
          <w:tcPr>
            <w:tcW w:w="724"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1</w:t>
            </w:r>
          </w:p>
        </w:tc>
        <w:tc>
          <w:tcPr>
            <w:tcW w:w="1410"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基本信息</w:t>
            </w:r>
          </w:p>
        </w:tc>
        <w:tc>
          <w:tcPr>
            <w:tcW w:w="2866" w:type="pct"/>
            <w:shd w:val="clear" w:color="auto" w:fill="auto"/>
            <w:vAlign w:val="center"/>
            <w:hideMark/>
          </w:tcPr>
          <w:p w:rsidR="005F47AC" w:rsidRPr="004247EA" w:rsidRDefault="005F47AC" w:rsidP="00494E2B">
            <w:pPr>
              <w:widowControl/>
              <w:spacing w:line="240" w:lineRule="auto"/>
              <w:jc w:val="left"/>
              <w:rPr>
                <w:rFonts w:ascii="宋体" w:hAnsi="宋体"/>
                <w:kern w:val="0"/>
                <w:sz w:val="18"/>
              </w:rPr>
            </w:pPr>
            <w:r w:rsidRPr="004247EA">
              <w:rPr>
                <w:rFonts w:ascii="宋体" w:hAnsi="宋体" w:hint="eastAsia"/>
                <w:kern w:val="0"/>
                <w:sz w:val="18"/>
              </w:rPr>
              <w:t>通常情况下，对主体和主体行为的基本要素进行描述的数据资源。</w:t>
            </w:r>
          </w:p>
        </w:tc>
      </w:tr>
      <w:tr w:rsidR="005F47AC" w:rsidRPr="004247EA" w:rsidTr="00494E2B">
        <w:trPr>
          <w:trHeight w:val="285"/>
        </w:trPr>
        <w:tc>
          <w:tcPr>
            <w:tcW w:w="724"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2</w:t>
            </w:r>
          </w:p>
        </w:tc>
        <w:tc>
          <w:tcPr>
            <w:tcW w:w="1410"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生物特征信息</w:t>
            </w:r>
          </w:p>
        </w:tc>
        <w:tc>
          <w:tcPr>
            <w:tcW w:w="2866" w:type="pct"/>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特指对主体的生物特征进行描述的数据资源，如：指纹、DNA、外貌、足迹等。</w:t>
            </w:r>
          </w:p>
        </w:tc>
      </w:tr>
      <w:tr w:rsidR="005F47AC" w:rsidRPr="004247EA" w:rsidTr="00494E2B">
        <w:trPr>
          <w:trHeight w:val="285"/>
        </w:trPr>
        <w:tc>
          <w:tcPr>
            <w:tcW w:w="724"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3</w:t>
            </w:r>
          </w:p>
        </w:tc>
        <w:tc>
          <w:tcPr>
            <w:tcW w:w="1410"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关系信息</w:t>
            </w:r>
          </w:p>
        </w:tc>
        <w:tc>
          <w:tcPr>
            <w:tcW w:w="2866" w:type="pct"/>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对主体在社会活动中与其他主体主要关系进行描述的数据资源。</w:t>
            </w:r>
          </w:p>
        </w:tc>
      </w:tr>
      <w:tr w:rsidR="005F47AC" w:rsidRPr="004247EA" w:rsidTr="00494E2B">
        <w:trPr>
          <w:trHeight w:val="285"/>
        </w:trPr>
        <w:tc>
          <w:tcPr>
            <w:tcW w:w="724"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4</w:t>
            </w:r>
          </w:p>
        </w:tc>
        <w:tc>
          <w:tcPr>
            <w:tcW w:w="1410"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活动信息</w:t>
            </w:r>
          </w:p>
        </w:tc>
        <w:tc>
          <w:tcPr>
            <w:tcW w:w="2866" w:type="pct"/>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对主体参与的各种活动进行描述的数据资源。</w:t>
            </w:r>
            <w:r w:rsidRPr="004247EA">
              <w:rPr>
                <w:rFonts w:ascii="宋体" w:hAnsi="宋体" w:cs="宋体"/>
                <w:kern w:val="0"/>
                <w:sz w:val="18"/>
                <w:szCs w:val="18"/>
              </w:rPr>
              <w:t xml:space="preserve"> </w:t>
            </w:r>
          </w:p>
        </w:tc>
      </w:tr>
      <w:tr w:rsidR="005F47AC" w:rsidRPr="004247EA" w:rsidTr="00494E2B">
        <w:trPr>
          <w:trHeight w:val="285"/>
        </w:trPr>
        <w:tc>
          <w:tcPr>
            <w:tcW w:w="724"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5</w:t>
            </w:r>
          </w:p>
        </w:tc>
        <w:tc>
          <w:tcPr>
            <w:tcW w:w="1410"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图片影像信息</w:t>
            </w:r>
          </w:p>
        </w:tc>
        <w:tc>
          <w:tcPr>
            <w:tcW w:w="2866" w:type="pct"/>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特指与主体有关的以图片、音频或影像的格式存储的数据资源。</w:t>
            </w:r>
            <w:r w:rsidRPr="004247EA">
              <w:rPr>
                <w:rFonts w:ascii="宋体" w:hAnsi="宋体" w:cs="宋体"/>
                <w:kern w:val="0"/>
                <w:sz w:val="18"/>
                <w:szCs w:val="18"/>
              </w:rPr>
              <w:t xml:space="preserve"> </w:t>
            </w:r>
          </w:p>
        </w:tc>
      </w:tr>
      <w:tr w:rsidR="005F47AC" w:rsidRPr="004247EA" w:rsidTr="00494E2B">
        <w:trPr>
          <w:trHeight w:val="285"/>
        </w:trPr>
        <w:tc>
          <w:tcPr>
            <w:tcW w:w="724"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6</w:t>
            </w:r>
          </w:p>
        </w:tc>
        <w:tc>
          <w:tcPr>
            <w:tcW w:w="1410"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文档资料信息</w:t>
            </w:r>
          </w:p>
        </w:tc>
        <w:tc>
          <w:tcPr>
            <w:tcW w:w="2866" w:type="pct"/>
            <w:shd w:val="clear" w:color="auto" w:fill="auto"/>
            <w:vAlign w:val="center"/>
            <w:hideMark/>
          </w:tcPr>
          <w:p w:rsidR="005F47AC" w:rsidRPr="004247EA" w:rsidRDefault="005F47AC" w:rsidP="00494E2B">
            <w:pPr>
              <w:widowControl/>
              <w:spacing w:line="240" w:lineRule="auto"/>
              <w:jc w:val="left"/>
              <w:rPr>
                <w:rFonts w:ascii="宋体" w:hAnsi="宋体"/>
                <w:kern w:val="0"/>
                <w:sz w:val="18"/>
              </w:rPr>
            </w:pPr>
            <w:r w:rsidRPr="004247EA">
              <w:rPr>
                <w:rFonts w:ascii="宋体" w:hAnsi="宋体" w:hint="eastAsia"/>
                <w:kern w:val="0"/>
                <w:sz w:val="18"/>
              </w:rPr>
              <w:t>特指与主体相关的多类信息、情报以表、单、证、卡的方式体现的数据资源，包括许可证、文书或笔录等。</w:t>
            </w:r>
          </w:p>
        </w:tc>
      </w:tr>
    </w:tbl>
    <w:p w:rsidR="005F47AC" w:rsidRPr="004247EA" w:rsidRDefault="005F47AC" w:rsidP="005F47AC">
      <w:pPr>
        <w:pStyle w:val="a"/>
        <w:numPr>
          <w:ilvl w:val="0"/>
          <w:numId w:val="0"/>
        </w:numPr>
        <w:spacing w:before="312" w:after="312" w:line="240" w:lineRule="auto"/>
        <w:ind w:left="425"/>
      </w:pPr>
      <w:bookmarkStart w:id="10" w:name="_Toc421520900"/>
      <w:bookmarkStart w:id="11" w:name="_Toc424135156"/>
      <w:r w:rsidRPr="004247EA">
        <w:rPr>
          <w:rFonts w:hint="eastAsia"/>
        </w:rPr>
        <w:t>附表5：数据资源要素细目分类代码表</w:t>
      </w:r>
      <w:bookmarkEnd w:id="10"/>
      <w:bookmarkEnd w:id="11"/>
    </w:p>
    <w:tbl>
      <w:tblPr>
        <w:tblW w:w="5000" w:type="pct"/>
        <w:tblLook w:val="04A0" w:firstRow="1" w:lastRow="0" w:firstColumn="1" w:lastColumn="0" w:noHBand="0" w:noVBand="1"/>
      </w:tblPr>
      <w:tblGrid>
        <w:gridCol w:w="1241"/>
        <w:gridCol w:w="2252"/>
        <w:gridCol w:w="4793"/>
      </w:tblGrid>
      <w:tr w:rsidR="005F47AC" w:rsidRPr="004247EA" w:rsidTr="00494E2B">
        <w:trPr>
          <w:trHeight w:val="285"/>
        </w:trPr>
        <w:tc>
          <w:tcPr>
            <w:tcW w:w="749" w:type="pct"/>
            <w:tcBorders>
              <w:top w:val="single" w:sz="8" w:space="0" w:color="auto"/>
              <w:left w:val="single" w:sz="8" w:space="0" w:color="auto"/>
              <w:bottom w:val="single" w:sz="8" w:space="0" w:color="auto"/>
              <w:right w:val="single" w:sz="8" w:space="0" w:color="auto"/>
            </w:tcBorders>
            <w:shd w:val="clear" w:color="auto" w:fill="EEECE1"/>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代码</w:t>
            </w:r>
          </w:p>
        </w:tc>
        <w:tc>
          <w:tcPr>
            <w:tcW w:w="1359" w:type="pct"/>
            <w:tcBorders>
              <w:top w:val="single" w:sz="8" w:space="0" w:color="auto"/>
              <w:left w:val="nil"/>
              <w:bottom w:val="single" w:sz="8" w:space="0" w:color="auto"/>
              <w:right w:val="single" w:sz="8" w:space="0" w:color="auto"/>
            </w:tcBorders>
            <w:shd w:val="clear" w:color="auto" w:fill="EEECE1"/>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名称</w:t>
            </w:r>
          </w:p>
        </w:tc>
        <w:tc>
          <w:tcPr>
            <w:tcW w:w="2893" w:type="pct"/>
            <w:tcBorders>
              <w:top w:val="single" w:sz="8" w:space="0" w:color="auto"/>
              <w:left w:val="nil"/>
              <w:bottom w:val="single" w:sz="8" w:space="0" w:color="auto"/>
              <w:right w:val="single" w:sz="8" w:space="0" w:color="auto"/>
            </w:tcBorders>
            <w:shd w:val="clear" w:color="auto" w:fill="EEECE1"/>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说明</w:t>
            </w:r>
          </w:p>
        </w:tc>
      </w:tr>
      <w:tr w:rsidR="005F47AC" w:rsidRPr="004247EA" w:rsidTr="00494E2B">
        <w:trPr>
          <w:trHeight w:val="285"/>
        </w:trPr>
        <w:tc>
          <w:tcPr>
            <w:tcW w:w="749" w:type="pct"/>
            <w:tcBorders>
              <w:top w:val="nil"/>
              <w:left w:val="single" w:sz="8" w:space="0" w:color="auto"/>
              <w:bottom w:val="single" w:sz="8" w:space="0" w:color="auto"/>
              <w:right w:val="single" w:sz="8"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1</w:t>
            </w:r>
          </w:p>
        </w:tc>
        <w:tc>
          <w:tcPr>
            <w:tcW w:w="1359" w:type="pct"/>
            <w:tcBorders>
              <w:top w:val="nil"/>
              <w:left w:val="nil"/>
              <w:bottom w:val="single" w:sz="8" w:space="0" w:color="auto"/>
              <w:right w:val="single" w:sz="8"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精神属性</w:t>
            </w:r>
          </w:p>
        </w:tc>
        <w:tc>
          <w:tcPr>
            <w:tcW w:w="2893" w:type="pct"/>
            <w:tcBorders>
              <w:top w:val="nil"/>
              <w:left w:val="nil"/>
              <w:bottom w:val="single" w:sz="8" w:space="0" w:color="auto"/>
              <w:right w:val="single" w:sz="8" w:space="0" w:color="auto"/>
            </w:tcBorders>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 xml:space="preserve">特指主体的宗教信仰（是否邪教）、兴趣爱好、关注内容、参加赛事、著作等。　</w:t>
            </w:r>
            <w:r w:rsidRPr="004247EA">
              <w:rPr>
                <w:rFonts w:ascii="宋体" w:hAnsi="宋体" w:cs="宋体"/>
                <w:kern w:val="0"/>
                <w:sz w:val="18"/>
                <w:szCs w:val="18"/>
              </w:rPr>
              <w:t xml:space="preserve"> </w:t>
            </w:r>
          </w:p>
        </w:tc>
      </w:tr>
      <w:tr w:rsidR="005F47AC" w:rsidRPr="004247EA" w:rsidTr="00494E2B">
        <w:trPr>
          <w:trHeight w:val="285"/>
        </w:trPr>
        <w:tc>
          <w:tcPr>
            <w:tcW w:w="749" w:type="pct"/>
            <w:tcBorders>
              <w:top w:val="nil"/>
              <w:left w:val="single" w:sz="8" w:space="0" w:color="auto"/>
              <w:bottom w:val="single" w:sz="4" w:space="0" w:color="auto"/>
              <w:right w:val="single" w:sz="8"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2</w:t>
            </w:r>
          </w:p>
        </w:tc>
        <w:tc>
          <w:tcPr>
            <w:tcW w:w="1359" w:type="pct"/>
            <w:tcBorders>
              <w:top w:val="nil"/>
              <w:left w:val="nil"/>
              <w:bottom w:val="single" w:sz="4" w:space="0" w:color="auto"/>
              <w:right w:val="single" w:sz="8"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社会信用</w:t>
            </w:r>
          </w:p>
        </w:tc>
        <w:tc>
          <w:tcPr>
            <w:tcW w:w="2893" w:type="pct"/>
            <w:tcBorders>
              <w:top w:val="nil"/>
              <w:left w:val="nil"/>
              <w:bottom w:val="single" w:sz="4" w:space="0" w:color="auto"/>
              <w:right w:val="single" w:sz="8" w:space="0" w:color="auto"/>
            </w:tcBorders>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纳税、法院、银行、金融领域的信用记录、各种欠费信息、违法犯罪记录、各种奖惩等。</w:t>
            </w:r>
            <w:r w:rsidRPr="004247EA">
              <w:rPr>
                <w:rFonts w:ascii="宋体" w:hAnsi="宋体" w:cs="宋体"/>
                <w:kern w:val="0"/>
                <w:sz w:val="18"/>
                <w:szCs w:val="18"/>
              </w:rPr>
              <w:t xml:space="preserve"> </w:t>
            </w:r>
          </w:p>
        </w:tc>
      </w:tr>
      <w:tr w:rsidR="005F47AC" w:rsidRPr="004247EA" w:rsidTr="00494E2B">
        <w:trPr>
          <w:trHeight w:val="285"/>
        </w:trPr>
        <w:tc>
          <w:tcPr>
            <w:tcW w:w="7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3</w:t>
            </w:r>
          </w:p>
        </w:tc>
        <w:tc>
          <w:tcPr>
            <w:tcW w:w="13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实名活动</w:t>
            </w:r>
          </w:p>
        </w:tc>
        <w:tc>
          <w:tcPr>
            <w:tcW w:w="28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主体以实名进行的各类活动。</w:t>
            </w:r>
            <w:r w:rsidRPr="004247EA">
              <w:rPr>
                <w:rFonts w:ascii="宋体" w:hAnsi="宋体" w:cs="宋体"/>
                <w:kern w:val="0"/>
                <w:sz w:val="18"/>
                <w:szCs w:val="18"/>
              </w:rPr>
              <w:t xml:space="preserve"> </w:t>
            </w:r>
          </w:p>
        </w:tc>
      </w:tr>
      <w:tr w:rsidR="005F47AC" w:rsidRPr="004247EA" w:rsidTr="00494E2B">
        <w:trPr>
          <w:trHeight w:val="285"/>
        </w:trPr>
        <w:tc>
          <w:tcPr>
            <w:tcW w:w="7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4</w:t>
            </w:r>
          </w:p>
        </w:tc>
        <w:tc>
          <w:tcPr>
            <w:tcW w:w="13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非实名活动</w:t>
            </w:r>
          </w:p>
        </w:tc>
        <w:tc>
          <w:tcPr>
            <w:tcW w:w="28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主体不以实名身份、而以虚拟身份或特定标识进行的各类活动。</w:t>
            </w:r>
            <w:r w:rsidRPr="004247EA">
              <w:rPr>
                <w:rFonts w:ascii="宋体" w:hAnsi="宋体" w:cs="宋体"/>
                <w:kern w:val="0"/>
                <w:sz w:val="18"/>
                <w:szCs w:val="18"/>
              </w:rPr>
              <w:t xml:space="preserve"> </w:t>
            </w:r>
          </w:p>
        </w:tc>
      </w:tr>
    </w:tbl>
    <w:p w:rsidR="005F47AC" w:rsidRPr="004247EA" w:rsidRDefault="005F47AC" w:rsidP="005F47AC">
      <w:pPr>
        <w:pStyle w:val="a"/>
        <w:numPr>
          <w:ilvl w:val="0"/>
          <w:numId w:val="0"/>
        </w:numPr>
        <w:spacing w:before="312" w:after="312" w:line="240" w:lineRule="auto"/>
        <w:ind w:left="425"/>
      </w:pPr>
      <w:bookmarkStart w:id="12" w:name="_Toc421520901"/>
      <w:bookmarkStart w:id="13" w:name="_Toc424135157"/>
      <w:r w:rsidRPr="004247EA">
        <w:rPr>
          <w:rFonts w:hint="eastAsia"/>
        </w:rPr>
        <w:t>附表</w:t>
      </w:r>
      <w:bookmarkStart w:id="14" w:name="_GoBack"/>
      <w:bookmarkEnd w:id="14"/>
      <w:r w:rsidRPr="004247EA">
        <w:rPr>
          <w:rFonts w:hint="eastAsia"/>
        </w:rPr>
        <w:t>6：数据资源属性分类代码表</w:t>
      </w:r>
      <w:bookmarkEnd w:id="12"/>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222"/>
        <w:gridCol w:w="4798"/>
      </w:tblGrid>
      <w:tr w:rsidR="005F47AC" w:rsidRPr="004247EA" w:rsidTr="00494E2B">
        <w:trPr>
          <w:trHeight w:val="285"/>
        </w:trPr>
        <w:tc>
          <w:tcPr>
            <w:tcW w:w="769" w:type="pct"/>
            <w:shd w:val="clear" w:color="auto" w:fill="EEECE1"/>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代码</w:t>
            </w:r>
          </w:p>
        </w:tc>
        <w:tc>
          <w:tcPr>
            <w:tcW w:w="1339" w:type="pct"/>
            <w:shd w:val="clear" w:color="auto" w:fill="EEECE1"/>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名称</w:t>
            </w:r>
          </w:p>
        </w:tc>
        <w:tc>
          <w:tcPr>
            <w:tcW w:w="2893" w:type="pct"/>
            <w:shd w:val="clear" w:color="auto" w:fill="EEECE1"/>
            <w:vAlign w:val="center"/>
            <w:hideMark/>
          </w:tcPr>
          <w:p w:rsidR="005F47AC" w:rsidRPr="004247EA" w:rsidRDefault="005F47AC" w:rsidP="00494E2B">
            <w:pPr>
              <w:widowControl/>
              <w:jc w:val="center"/>
              <w:rPr>
                <w:rFonts w:ascii="宋体" w:hAnsi="宋体" w:cs="宋体"/>
                <w:b/>
                <w:bCs/>
                <w:kern w:val="0"/>
                <w:sz w:val="18"/>
                <w:szCs w:val="18"/>
              </w:rPr>
            </w:pPr>
            <w:r w:rsidRPr="004247EA">
              <w:rPr>
                <w:rFonts w:ascii="宋体" w:hAnsi="宋体" w:cs="宋体" w:hint="eastAsia"/>
                <w:b/>
                <w:bCs/>
                <w:kern w:val="0"/>
                <w:sz w:val="18"/>
                <w:szCs w:val="18"/>
              </w:rPr>
              <w:t>说明</w:t>
            </w:r>
          </w:p>
        </w:tc>
      </w:tr>
      <w:tr w:rsidR="005F47AC" w:rsidRPr="004247EA" w:rsidTr="00494E2B">
        <w:trPr>
          <w:trHeight w:val="285"/>
        </w:trPr>
        <w:tc>
          <w:tcPr>
            <w:tcW w:w="769"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1</w:t>
            </w:r>
          </w:p>
        </w:tc>
        <w:tc>
          <w:tcPr>
            <w:tcW w:w="1339"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行政管理行为</w:t>
            </w:r>
          </w:p>
        </w:tc>
        <w:tc>
          <w:tcPr>
            <w:tcW w:w="2893" w:type="pct"/>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公安机关根据行政相关法律或公安机关部门规章制度进行管理的行为。</w:t>
            </w:r>
          </w:p>
        </w:tc>
      </w:tr>
      <w:tr w:rsidR="005F47AC" w:rsidRPr="004247EA" w:rsidTr="00494E2B">
        <w:trPr>
          <w:trHeight w:val="285"/>
        </w:trPr>
        <w:tc>
          <w:tcPr>
            <w:tcW w:w="769"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2</w:t>
            </w:r>
          </w:p>
        </w:tc>
        <w:tc>
          <w:tcPr>
            <w:tcW w:w="1339"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社会管理行为</w:t>
            </w:r>
          </w:p>
        </w:tc>
        <w:tc>
          <w:tcPr>
            <w:tcW w:w="2893" w:type="pct"/>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没有法律法规约束，但公安机关出于职能的需要，对社会有约束力的管理行为。</w:t>
            </w:r>
          </w:p>
        </w:tc>
      </w:tr>
      <w:tr w:rsidR="005F47AC" w:rsidRPr="004247EA" w:rsidTr="00494E2B">
        <w:trPr>
          <w:trHeight w:val="285"/>
        </w:trPr>
        <w:tc>
          <w:tcPr>
            <w:tcW w:w="769"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lastRenderedPageBreak/>
              <w:t>3</w:t>
            </w:r>
          </w:p>
        </w:tc>
        <w:tc>
          <w:tcPr>
            <w:tcW w:w="1339"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侦查调查行为</w:t>
            </w:r>
          </w:p>
        </w:tc>
        <w:tc>
          <w:tcPr>
            <w:tcW w:w="2893" w:type="pct"/>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公安机关行使打击犯罪，维护社会治安进行侦查破案的行为。</w:t>
            </w:r>
          </w:p>
        </w:tc>
      </w:tr>
      <w:tr w:rsidR="005F47AC" w:rsidRPr="004247EA" w:rsidTr="00494E2B">
        <w:trPr>
          <w:trHeight w:val="285"/>
        </w:trPr>
        <w:tc>
          <w:tcPr>
            <w:tcW w:w="769"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4</w:t>
            </w:r>
          </w:p>
        </w:tc>
        <w:tc>
          <w:tcPr>
            <w:tcW w:w="1339"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违法犯罪行为</w:t>
            </w:r>
          </w:p>
        </w:tc>
        <w:tc>
          <w:tcPr>
            <w:tcW w:w="2893" w:type="pct"/>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犯罪嫌疑人进行的违法犯罪行为。</w:t>
            </w:r>
          </w:p>
        </w:tc>
      </w:tr>
      <w:tr w:rsidR="005F47AC" w:rsidRPr="004247EA" w:rsidTr="00494E2B">
        <w:trPr>
          <w:trHeight w:val="285"/>
        </w:trPr>
        <w:tc>
          <w:tcPr>
            <w:tcW w:w="769"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5</w:t>
            </w:r>
          </w:p>
        </w:tc>
        <w:tc>
          <w:tcPr>
            <w:tcW w:w="1339"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内部管理行为</w:t>
            </w:r>
          </w:p>
        </w:tc>
        <w:tc>
          <w:tcPr>
            <w:tcW w:w="2893" w:type="pct"/>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警务保障行为和警务管理行为。</w:t>
            </w:r>
          </w:p>
        </w:tc>
      </w:tr>
      <w:tr w:rsidR="005F47AC" w:rsidRPr="004247EA" w:rsidTr="00494E2B">
        <w:trPr>
          <w:trHeight w:val="285"/>
        </w:trPr>
        <w:tc>
          <w:tcPr>
            <w:tcW w:w="769"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6</w:t>
            </w:r>
          </w:p>
        </w:tc>
        <w:tc>
          <w:tcPr>
            <w:tcW w:w="1339"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社会事务行为</w:t>
            </w:r>
          </w:p>
        </w:tc>
        <w:tc>
          <w:tcPr>
            <w:tcW w:w="2893" w:type="pct"/>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社会自然人和社会管理机构的行为。</w:t>
            </w:r>
          </w:p>
        </w:tc>
      </w:tr>
      <w:tr w:rsidR="005F47AC" w:rsidRPr="004247EA" w:rsidTr="00494E2B">
        <w:trPr>
          <w:trHeight w:val="285"/>
        </w:trPr>
        <w:tc>
          <w:tcPr>
            <w:tcW w:w="769"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7</w:t>
            </w:r>
          </w:p>
        </w:tc>
        <w:tc>
          <w:tcPr>
            <w:tcW w:w="1339" w:type="pct"/>
            <w:shd w:val="clear" w:color="auto" w:fill="auto"/>
            <w:vAlign w:val="center"/>
            <w:hideMark/>
          </w:tcPr>
          <w:p w:rsidR="005F47AC" w:rsidRPr="004247EA" w:rsidRDefault="005F47AC" w:rsidP="00494E2B">
            <w:pPr>
              <w:widowControl/>
              <w:jc w:val="center"/>
              <w:rPr>
                <w:rFonts w:ascii="宋体" w:hAnsi="宋体" w:cs="宋体"/>
                <w:kern w:val="0"/>
                <w:sz w:val="18"/>
                <w:szCs w:val="18"/>
              </w:rPr>
            </w:pPr>
            <w:r w:rsidRPr="004247EA">
              <w:rPr>
                <w:rFonts w:ascii="宋体" w:hAnsi="宋体" w:cs="宋体" w:hint="eastAsia"/>
                <w:kern w:val="0"/>
                <w:sz w:val="18"/>
                <w:szCs w:val="18"/>
              </w:rPr>
              <w:t>社会服务行为</w:t>
            </w:r>
          </w:p>
        </w:tc>
        <w:tc>
          <w:tcPr>
            <w:tcW w:w="2893" w:type="pct"/>
            <w:shd w:val="clear" w:color="auto" w:fill="auto"/>
            <w:vAlign w:val="center"/>
            <w:hideMark/>
          </w:tcPr>
          <w:p w:rsidR="005F47AC" w:rsidRPr="004247EA" w:rsidRDefault="005F47AC" w:rsidP="00494E2B">
            <w:pPr>
              <w:widowControl/>
              <w:spacing w:line="240" w:lineRule="auto"/>
              <w:jc w:val="left"/>
              <w:rPr>
                <w:rFonts w:ascii="宋体" w:hAnsi="宋体" w:cs="宋体"/>
                <w:kern w:val="0"/>
                <w:sz w:val="18"/>
                <w:szCs w:val="18"/>
              </w:rPr>
            </w:pPr>
            <w:r w:rsidRPr="004247EA">
              <w:rPr>
                <w:rFonts w:ascii="宋体" w:hAnsi="宋体" w:cs="宋体" w:hint="eastAsia"/>
                <w:kern w:val="0"/>
                <w:sz w:val="18"/>
                <w:szCs w:val="18"/>
              </w:rPr>
              <w:t>应社会团体、个人及组织的要求，由公安机关作为主体发出的社会行为，例如：救助，便民，查询等。</w:t>
            </w:r>
          </w:p>
        </w:tc>
      </w:tr>
    </w:tbl>
    <w:p w:rsidR="002C1EF9" w:rsidRPr="005F47AC" w:rsidRDefault="002C1EF9"/>
    <w:sectPr w:rsidR="002C1EF9" w:rsidRPr="005F47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27D" w:rsidRDefault="00DF027D" w:rsidP="005F47AC">
      <w:pPr>
        <w:spacing w:line="240" w:lineRule="auto"/>
      </w:pPr>
      <w:r>
        <w:separator/>
      </w:r>
    </w:p>
  </w:endnote>
  <w:endnote w:type="continuationSeparator" w:id="0">
    <w:p w:rsidR="00DF027D" w:rsidRDefault="00DF027D" w:rsidP="005F4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27D" w:rsidRDefault="00DF027D" w:rsidP="005F47AC">
      <w:pPr>
        <w:spacing w:line="240" w:lineRule="auto"/>
      </w:pPr>
      <w:r>
        <w:separator/>
      </w:r>
    </w:p>
  </w:footnote>
  <w:footnote w:type="continuationSeparator" w:id="0">
    <w:p w:rsidR="00DF027D" w:rsidRDefault="00DF027D" w:rsidP="005F47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7414B7"/>
    <w:multiLevelType w:val="multilevel"/>
    <w:tmpl w:val="88DE3616"/>
    <w:lvl w:ilvl="0">
      <w:start w:val="1"/>
      <w:numFmt w:val="decimal"/>
      <w:pStyle w:val="a"/>
      <w:lvlText w:val="%1"/>
      <w:lvlJc w:val="left"/>
      <w:pPr>
        <w:ind w:left="425" w:hanging="425"/>
      </w:pPr>
      <w:rPr>
        <w:rFonts w:hint="eastAsia"/>
      </w:rPr>
    </w:lvl>
    <w:lvl w:ilvl="1">
      <w:start w:val="1"/>
      <w:numFmt w:val="decimal"/>
      <w:pStyle w:val="2"/>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0"/>
      <w:lvlText w:val="%1.%2.%3"/>
      <w:lvlJc w:val="left"/>
      <w:pPr>
        <w:ind w:left="1418" w:hanging="567"/>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12"/>
    <w:rsid w:val="002C1EF9"/>
    <w:rsid w:val="005F47AC"/>
    <w:rsid w:val="008D7C12"/>
    <w:rsid w:val="00DF0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056D69-6F85-4C82-9069-AC49F448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F47AC"/>
    <w:pPr>
      <w:widowControl w:val="0"/>
      <w:spacing w:line="360" w:lineRule="auto"/>
      <w:jc w:val="both"/>
    </w:pPr>
    <w:rPr>
      <w:rFonts w:ascii="Times New Roman" w:eastAsia="宋体" w:hAnsi="Times New Roman" w:cs="Times New Roman"/>
      <w:sz w:val="24"/>
      <w:szCs w:val="24"/>
    </w:rPr>
  </w:style>
  <w:style w:type="paragraph" w:styleId="2">
    <w:name w:val="heading 2"/>
    <w:basedOn w:val="a1"/>
    <w:next w:val="a1"/>
    <w:link w:val="2Char"/>
    <w:uiPriority w:val="9"/>
    <w:unhideWhenUsed/>
    <w:qFormat/>
    <w:rsid w:val="005F47AC"/>
    <w:pPr>
      <w:keepNext/>
      <w:keepLines/>
      <w:numPr>
        <w:ilvl w:val="1"/>
        <w:numId w:val="1"/>
      </w:numPr>
      <w:spacing w:after="120"/>
      <w:outlineLvl w:val="1"/>
    </w:pPr>
    <w:rPr>
      <w:rFonts w:ascii="Cambria" w:eastAsia="黑体" w:hAnsi="Cambria"/>
      <w:bCs/>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5F47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5F47AC"/>
    <w:rPr>
      <w:sz w:val="18"/>
      <w:szCs w:val="18"/>
    </w:rPr>
  </w:style>
  <w:style w:type="paragraph" w:styleId="a6">
    <w:name w:val="footer"/>
    <w:basedOn w:val="a1"/>
    <w:link w:val="Char0"/>
    <w:uiPriority w:val="99"/>
    <w:unhideWhenUsed/>
    <w:rsid w:val="005F47AC"/>
    <w:pPr>
      <w:tabs>
        <w:tab w:val="center" w:pos="4153"/>
        <w:tab w:val="right" w:pos="8306"/>
      </w:tabs>
      <w:snapToGrid w:val="0"/>
      <w:jc w:val="left"/>
    </w:pPr>
    <w:rPr>
      <w:sz w:val="18"/>
      <w:szCs w:val="18"/>
    </w:rPr>
  </w:style>
  <w:style w:type="character" w:customStyle="1" w:styleId="Char0">
    <w:name w:val="页脚 Char"/>
    <w:basedOn w:val="a2"/>
    <w:link w:val="a6"/>
    <w:uiPriority w:val="99"/>
    <w:rsid w:val="005F47AC"/>
    <w:rPr>
      <w:sz w:val="18"/>
      <w:szCs w:val="18"/>
    </w:rPr>
  </w:style>
  <w:style w:type="character" w:customStyle="1" w:styleId="2Char">
    <w:name w:val="标题 2 Char"/>
    <w:basedOn w:val="a2"/>
    <w:link w:val="2"/>
    <w:uiPriority w:val="9"/>
    <w:rsid w:val="005F47AC"/>
    <w:rPr>
      <w:rFonts w:ascii="Cambria" w:eastAsia="黑体" w:hAnsi="Cambria" w:cs="Times New Roman"/>
      <w:bCs/>
      <w:sz w:val="30"/>
      <w:szCs w:val="32"/>
    </w:rPr>
  </w:style>
  <w:style w:type="paragraph" w:customStyle="1" w:styleId="4">
    <w:name w:val="标题4"/>
    <w:basedOn w:val="a1"/>
    <w:rsid w:val="005F47AC"/>
    <w:pPr>
      <w:numPr>
        <w:ilvl w:val="3"/>
        <w:numId w:val="1"/>
      </w:numPr>
    </w:pPr>
    <w:rPr>
      <w:rFonts w:ascii="黑体" w:eastAsia="黑体" w:hAnsi="黑体"/>
    </w:rPr>
  </w:style>
  <w:style w:type="paragraph" w:customStyle="1" w:styleId="a7">
    <w:name w:val="段"/>
    <w:link w:val="Char1"/>
    <w:rsid w:val="005F47AC"/>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1">
    <w:name w:val="段 Char"/>
    <w:link w:val="a7"/>
    <w:rsid w:val="005F47AC"/>
    <w:rPr>
      <w:rFonts w:ascii="宋体" w:eastAsia="宋体" w:hAnsi="Times New Roman" w:cs="Times New Roman"/>
      <w:noProof/>
      <w:kern w:val="0"/>
      <w:szCs w:val="20"/>
    </w:rPr>
  </w:style>
  <w:style w:type="paragraph" w:customStyle="1" w:styleId="a">
    <w:name w:val="章标题"/>
    <w:next w:val="a7"/>
    <w:rsid w:val="005F47AC"/>
    <w:pPr>
      <w:widowControl w:val="0"/>
      <w:numPr>
        <w:numId w:val="1"/>
      </w:numPr>
      <w:adjustRightInd w:val="0"/>
      <w:spacing w:beforeLines="100" w:afterLines="100" w:line="360" w:lineRule="atLeast"/>
      <w:jc w:val="both"/>
      <w:textAlignment w:val="baseline"/>
      <w:outlineLvl w:val="1"/>
    </w:pPr>
    <w:rPr>
      <w:rFonts w:ascii="黑体" w:eastAsia="黑体" w:hAnsi="Times New Roman" w:cs="Times New Roman"/>
      <w:kern w:val="0"/>
      <w:szCs w:val="20"/>
    </w:rPr>
  </w:style>
  <w:style w:type="paragraph" w:customStyle="1" w:styleId="a0">
    <w:name w:val="二级条标题"/>
    <w:basedOn w:val="a1"/>
    <w:next w:val="a7"/>
    <w:rsid w:val="005F47AC"/>
    <w:pPr>
      <w:numPr>
        <w:ilvl w:val="2"/>
        <w:numId w:val="1"/>
      </w:numPr>
      <w:adjustRightInd w:val="0"/>
      <w:spacing w:beforeLines="50" w:before="50" w:afterLines="50" w:after="50" w:line="360" w:lineRule="atLeast"/>
      <w:textAlignment w:val="baseline"/>
      <w:outlineLvl w:val="3"/>
    </w:pPr>
    <w:rPr>
      <w:rFonts w:ascii="黑体" w:eastAsia="黑体"/>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2018-09-03T06:04:00Z</dcterms:created>
  <dcterms:modified xsi:type="dcterms:W3CDTF">2018-09-03T06:05:00Z</dcterms:modified>
</cp:coreProperties>
</file>