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4CB5BC20" wp14:paraId="2C078E63" wp14:textId="2712C07B">
      <w:pPr>
        <w:jc w:val="center"/>
        <w:rPr>
          <w:sz w:val="72"/>
          <w:szCs w:val="72"/>
        </w:rPr>
      </w:pPr>
      <w:r w:rsidRPr="4CB5BC20" w:rsidR="4CB5BC20">
        <w:rPr>
          <w:sz w:val="72"/>
          <w:szCs w:val="72"/>
        </w:rPr>
        <w:t>不動產估價--基地地價</w:t>
      </w:r>
    </w:p>
    <w:p w:rsidR="4CB5BC20" w:rsidP="4CB5BC20" w:rsidRDefault="4CB5BC20" w14:paraId="67497474" w14:textId="7A8267D2">
      <w:pPr>
        <w:pStyle w:val="Normal"/>
        <w:jc w:val="left"/>
        <w:rPr>
          <w:sz w:val="52"/>
          <w:szCs w:val="52"/>
        </w:rPr>
      </w:pPr>
      <w:r w:rsidRPr="4CB5BC20" w:rsidR="4CB5BC20">
        <w:rPr>
          <w:sz w:val="52"/>
          <w:szCs w:val="52"/>
        </w:rPr>
        <w:t>基地地價</w:t>
      </w:r>
    </w:p>
    <w:p w:rsidR="4CB5BC20" w:rsidP="4CB5BC20" w:rsidRDefault="4CB5BC20" w14:paraId="4A972367" w14:textId="7E551AD7">
      <w:pPr>
        <w:pStyle w:val="Normal"/>
        <w:jc w:val="left"/>
        <w:rPr>
          <w:sz w:val="52"/>
          <w:szCs w:val="52"/>
        </w:rPr>
      </w:pPr>
      <w:r w:rsidRPr="4CB5BC20" w:rsidR="4CB5BC20">
        <w:rPr>
          <w:sz w:val="48"/>
          <w:szCs w:val="48"/>
        </w:rPr>
        <w:t>選定原則</w:t>
      </w:r>
    </w:p>
    <w:p w:rsidR="4CB5BC20" w:rsidP="4CB5BC20" w:rsidRDefault="4CB5BC20" w14:paraId="6B22F03E" w14:textId="3E674313">
      <w:pPr>
        <w:pStyle w:val="Normal"/>
        <w:jc w:val="left"/>
        <w:rPr>
          <w:sz w:val="48"/>
          <w:szCs w:val="48"/>
        </w:rPr>
      </w:pPr>
      <w:r w:rsidRPr="4CB5BC20" w:rsidR="4CB5BC20">
        <w:rPr>
          <w:sz w:val="40"/>
          <w:szCs w:val="40"/>
        </w:rPr>
        <w:t>代表性</w:t>
      </w:r>
    </w:p>
    <w:p w:rsidR="4CB5BC20" w:rsidP="4CB5BC20" w:rsidRDefault="4CB5BC20" w14:paraId="3E872706" w14:textId="39D41CB8">
      <w:pPr>
        <w:pStyle w:val="Normal"/>
        <w:jc w:val="left"/>
        <w:rPr>
          <w:sz w:val="40"/>
          <w:szCs w:val="40"/>
        </w:rPr>
      </w:pPr>
      <w:r w:rsidRPr="4CB5BC20" w:rsidR="4CB5BC20">
        <w:rPr>
          <w:sz w:val="24"/>
          <w:szCs w:val="24"/>
        </w:rPr>
        <w:t>基準地的面積具有代表性嗎?</w:t>
      </w:r>
    </w:p>
    <w:p w:rsidR="4CB5BC20" w:rsidP="4CB5BC20" w:rsidRDefault="4CB5BC20" w14:paraId="6F3903B9" w14:textId="6D15CB85">
      <w:pPr>
        <w:pStyle w:val="Normal"/>
        <w:jc w:val="left"/>
        <w:rPr>
          <w:sz w:val="24"/>
          <w:szCs w:val="24"/>
        </w:rPr>
      </w:pPr>
      <w:r w:rsidRPr="4CB5BC20" w:rsidR="4CB5BC20">
        <w:rPr>
          <w:sz w:val="24"/>
          <w:szCs w:val="24"/>
        </w:rPr>
        <w:t>近價區段內土地面積越大，就越具有代表性。</w:t>
      </w:r>
    </w:p>
    <w:p w:rsidR="4CB5BC20" w:rsidP="4CB5BC20" w:rsidRDefault="4CB5BC20" w14:paraId="5897AE6B" w14:textId="08C02E66">
      <w:pPr>
        <w:pStyle w:val="Normal"/>
        <w:jc w:val="left"/>
        <w:rPr>
          <w:sz w:val="40"/>
          <w:szCs w:val="40"/>
        </w:rPr>
      </w:pPr>
      <w:r w:rsidRPr="4CB5BC20" w:rsidR="4CB5BC20">
        <w:rPr>
          <w:sz w:val="40"/>
          <w:szCs w:val="40"/>
        </w:rPr>
        <w:t>顯著性</w:t>
      </w:r>
    </w:p>
    <w:p w:rsidR="4CB5BC20" w:rsidP="4CB5BC20" w:rsidRDefault="4CB5BC20" w14:paraId="5258D154" w14:textId="3A3CCD2C">
      <w:pPr>
        <w:pStyle w:val="Normal"/>
        <w:jc w:val="left"/>
        <w:rPr>
          <w:sz w:val="40"/>
          <w:szCs w:val="40"/>
        </w:rPr>
      </w:pPr>
      <w:r w:rsidRPr="4CB5BC20" w:rsidR="4CB5BC20">
        <w:rPr>
          <w:sz w:val="24"/>
          <w:szCs w:val="24"/>
        </w:rPr>
        <w:t>該宗土地容易識別嗎?</w:t>
      </w:r>
    </w:p>
    <w:p w:rsidR="4CB5BC20" w:rsidP="4CB5BC20" w:rsidRDefault="4CB5BC20" w14:paraId="092F1A8C" w14:textId="6FC369EE">
      <w:pPr>
        <w:pStyle w:val="Normal"/>
        <w:jc w:val="left"/>
        <w:rPr>
          <w:sz w:val="24"/>
          <w:szCs w:val="24"/>
        </w:rPr>
      </w:pPr>
      <w:r w:rsidRPr="4CB5BC20" w:rsidR="4CB5BC20">
        <w:rPr>
          <w:sz w:val="24"/>
          <w:szCs w:val="24"/>
        </w:rPr>
        <w:t>該宗土地越容易識別</w:t>
      </w:r>
      <w:r w:rsidRPr="4CB5BC20" w:rsidR="4CB5BC20">
        <w:rPr>
          <w:sz w:val="24"/>
          <w:szCs w:val="24"/>
        </w:rPr>
        <w:t>，就越具有顯著性。</w:t>
      </w:r>
    </w:p>
    <w:p w:rsidR="4CB5BC20" w:rsidP="4CB5BC20" w:rsidRDefault="4CB5BC20" w14:paraId="4194965E" w14:textId="6B5A7040">
      <w:pPr>
        <w:pStyle w:val="Normal"/>
        <w:jc w:val="left"/>
        <w:rPr>
          <w:sz w:val="40"/>
          <w:szCs w:val="40"/>
        </w:rPr>
      </w:pPr>
      <w:r w:rsidRPr="4CB5BC20" w:rsidR="4CB5BC20">
        <w:rPr>
          <w:sz w:val="40"/>
          <w:szCs w:val="40"/>
        </w:rPr>
        <w:t>恆久性</w:t>
      </w:r>
    </w:p>
    <w:p w:rsidR="4CB5BC20" w:rsidP="4CB5BC20" w:rsidRDefault="4CB5BC20" w14:paraId="5F8EC5CE" w14:textId="18EE5C53">
      <w:pPr>
        <w:pStyle w:val="Normal"/>
        <w:jc w:val="left"/>
        <w:rPr>
          <w:sz w:val="24"/>
          <w:szCs w:val="24"/>
        </w:rPr>
      </w:pPr>
      <w:r w:rsidRPr="4CB5BC20" w:rsidR="4CB5BC20">
        <w:rPr>
          <w:sz w:val="24"/>
          <w:szCs w:val="24"/>
        </w:rPr>
        <w:t>該宗土地的地形及地質不易變更嗎?</w:t>
      </w:r>
    </w:p>
    <w:p w:rsidR="4CB5BC20" w:rsidP="4CB5BC20" w:rsidRDefault="4CB5BC20" w14:paraId="55FEF3A5" w14:textId="42ED1159">
      <w:pPr>
        <w:pStyle w:val="Normal"/>
        <w:jc w:val="left"/>
        <w:rPr>
          <w:sz w:val="24"/>
          <w:szCs w:val="24"/>
        </w:rPr>
      </w:pPr>
      <w:r w:rsidRPr="4CB5BC20" w:rsidR="4CB5BC20">
        <w:rPr>
          <w:sz w:val="24"/>
          <w:szCs w:val="24"/>
        </w:rPr>
        <w:t>該宗土地的地形及地質越不易變更，就越具有恆久性。</w:t>
      </w:r>
    </w:p>
    <w:p w:rsidR="4CB5BC20" w:rsidP="4CB5BC20" w:rsidRDefault="4CB5BC20" w14:paraId="04587C2A" w14:textId="6028BFDA">
      <w:pPr>
        <w:pStyle w:val="Normal"/>
        <w:jc w:val="left"/>
        <w:rPr>
          <w:sz w:val="40"/>
          <w:szCs w:val="40"/>
        </w:rPr>
      </w:pPr>
      <w:r w:rsidRPr="4CB5BC20" w:rsidR="4CB5BC20">
        <w:rPr>
          <w:sz w:val="40"/>
          <w:szCs w:val="40"/>
        </w:rPr>
        <w:t>均勻性</w:t>
      </w:r>
    </w:p>
    <w:p w:rsidR="4CB5BC20" w:rsidP="4CB5BC20" w:rsidRDefault="4CB5BC20" w14:paraId="615ED3E2" w14:textId="33F9B639">
      <w:pPr>
        <w:pStyle w:val="Normal"/>
        <w:jc w:val="left"/>
        <w:rPr>
          <w:sz w:val="24"/>
          <w:szCs w:val="24"/>
        </w:rPr>
      </w:pPr>
      <w:r w:rsidRPr="4CB5BC20" w:rsidR="4CB5BC20">
        <w:rPr>
          <w:sz w:val="24"/>
          <w:szCs w:val="24"/>
        </w:rPr>
        <w:t>各地均勻分布的程度?</w:t>
      </w:r>
    </w:p>
    <w:p w:rsidR="4CB5BC20" w:rsidP="4CB5BC20" w:rsidRDefault="4CB5BC20" w14:paraId="063B461C" w14:textId="00492A20">
      <w:pPr>
        <w:pStyle w:val="Normal"/>
        <w:jc w:val="left"/>
        <w:rPr>
          <w:sz w:val="24"/>
          <w:szCs w:val="24"/>
        </w:rPr>
      </w:pPr>
      <w:r w:rsidRPr="4CB5BC20" w:rsidR="4CB5BC20">
        <w:rPr>
          <w:sz w:val="24"/>
          <w:szCs w:val="24"/>
        </w:rPr>
        <w:t>各地分布越均勻，就越具有均勻性。</w:t>
      </w:r>
    </w:p>
    <w:p w:rsidR="4CB5BC20" w:rsidP="4CB5BC20" w:rsidRDefault="4CB5BC20" w14:paraId="5466DA44" w14:textId="6F7A1A1F">
      <w:pPr>
        <w:pStyle w:val="Normal"/>
        <w:jc w:val="left"/>
        <w:rPr>
          <w:sz w:val="40"/>
          <w:szCs w:val="40"/>
        </w:rPr>
      </w:pPr>
      <w:r w:rsidRPr="4CB5BC20" w:rsidR="4CB5BC20">
        <w:rPr>
          <w:sz w:val="40"/>
          <w:szCs w:val="40"/>
        </w:rPr>
        <w:t>完整性</w:t>
      </w:r>
    </w:p>
    <w:p w:rsidR="4CB5BC20" w:rsidP="4CB5BC20" w:rsidRDefault="4CB5BC20" w14:paraId="1BF9286E" w14:textId="43329805">
      <w:pPr>
        <w:pStyle w:val="Normal"/>
        <w:jc w:val="left"/>
        <w:rPr>
          <w:sz w:val="40"/>
          <w:szCs w:val="40"/>
        </w:rPr>
      </w:pPr>
      <w:r w:rsidRPr="4CB5BC20" w:rsidR="4CB5BC20">
        <w:rPr>
          <w:sz w:val="24"/>
          <w:szCs w:val="24"/>
        </w:rPr>
        <w:t>以該土地形狀方整為準。</w:t>
      </w:r>
    </w:p>
    <w:p w:rsidR="4CB5BC20" w:rsidP="4CB5BC20" w:rsidRDefault="4CB5BC20" w14:paraId="07CDEEAB" w14:textId="2AF348D8">
      <w:pPr>
        <w:pStyle w:val="Normal"/>
        <w:jc w:val="left"/>
        <w:rPr>
          <w:sz w:val="24"/>
          <w:szCs w:val="24"/>
        </w:rPr>
      </w:pPr>
      <w:r w:rsidRPr="4CB5BC20" w:rsidR="4CB5BC20">
        <w:rPr>
          <w:sz w:val="24"/>
          <w:szCs w:val="24"/>
        </w:rPr>
        <w:t>該土地形狀越方整</w:t>
      </w:r>
      <w:r w:rsidRPr="4CB5BC20" w:rsidR="4CB5BC20">
        <w:rPr>
          <w:sz w:val="24"/>
          <w:szCs w:val="24"/>
        </w:rPr>
        <w:t>，就越具有完整性</w:t>
      </w:r>
      <w:r w:rsidRPr="4CB5BC20" w:rsidR="4CB5BC20">
        <w:rPr>
          <w:sz w:val="24"/>
          <w:szCs w:val="24"/>
        </w:rPr>
        <w:t>。</w:t>
      </w:r>
    </w:p>
    <w:p w:rsidR="4CB5BC20" w:rsidP="4CB5BC20" w:rsidRDefault="4CB5BC20" w14:paraId="731A6932" w14:textId="2DFA693A">
      <w:pPr>
        <w:pStyle w:val="Normal"/>
        <w:jc w:val="left"/>
        <w:rPr>
          <w:sz w:val="48"/>
          <w:szCs w:val="48"/>
        </w:rPr>
      </w:pPr>
      <w:r w:rsidRPr="4CB5BC20" w:rsidR="4CB5BC20">
        <w:rPr>
          <w:sz w:val="48"/>
          <w:szCs w:val="48"/>
        </w:rPr>
        <w:t>查估程序</w:t>
      </w:r>
    </w:p>
    <w:p w:rsidR="4CB5BC20" w:rsidP="4CB5BC20" w:rsidRDefault="4CB5BC20" w14:paraId="03D0D1CD" w14:textId="6A31EB56">
      <w:pPr>
        <w:pStyle w:val="Normal"/>
        <w:jc w:val="left"/>
        <w:rPr>
          <w:sz w:val="24"/>
          <w:szCs w:val="24"/>
        </w:rPr>
      </w:pPr>
      <w:r w:rsidRPr="4CB5BC20" w:rsidR="4CB5BC20">
        <w:rPr>
          <w:sz w:val="24"/>
          <w:szCs w:val="24"/>
        </w:rPr>
        <w:t>基地地價查估的主要步驟依序如下</w:t>
      </w:r>
      <w:r w:rsidRPr="4CB5BC20" w:rsidR="4CB5BC20">
        <w:rPr>
          <w:sz w:val="24"/>
          <w:szCs w:val="24"/>
        </w:rPr>
        <w:t>。</w:t>
      </w:r>
    </w:p>
    <w:p w:rsidR="4CB5BC20" w:rsidP="4CB5BC20" w:rsidRDefault="4CB5BC20" w14:paraId="0B27F04A" w14:textId="5AAF9AEA">
      <w:pPr>
        <w:pStyle w:val="ListParagraph"/>
        <w:numPr>
          <w:ilvl w:val="0"/>
          <w:numId w:val="1"/>
        </w:numPr>
        <w:jc w:val="left"/>
        <w:rPr>
          <w:sz w:val="24"/>
          <w:szCs w:val="24"/>
        </w:rPr>
      </w:pPr>
      <w:r w:rsidRPr="4CB5BC20" w:rsidR="4CB5BC20">
        <w:rPr>
          <w:sz w:val="24"/>
          <w:szCs w:val="24"/>
        </w:rPr>
        <w:t>準備有關圖籍</w:t>
      </w:r>
      <w:r w:rsidRPr="4CB5BC20" w:rsidR="4CB5BC20">
        <w:rPr>
          <w:sz w:val="24"/>
          <w:szCs w:val="24"/>
        </w:rPr>
        <w:t>。</w:t>
      </w:r>
    </w:p>
    <w:p w:rsidR="4CB5BC20" w:rsidP="4CB5BC20" w:rsidRDefault="4CB5BC20" w14:paraId="511EBC86" w14:textId="415919FB">
      <w:pPr>
        <w:pStyle w:val="ListParagraph"/>
        <w:numPr>
          <w:ilvl w:val="0"/>
          <w:numId w:val="1"/>
        </w:numPr>
        <w:jc w:val="left"/>
        <w:rPr>
          <w:sz w:val="24"/>
          <w:szCs w:val="24"/>
        </w:rPr>
      </w:pPr>
      <w:r w:rsidRPr="4CB5BC20" w:rsidR="4CB5BC20">
        <w:rPr>
          <w:sz w:val="24"/>
          <w:szCs w:val="24"/>
        </w:rPr>
        <w:t>劃分近價區段</w:t>
      </w:r>
      <w:r w:rsidRPr="4CB5BC20" w:rsidR="4CB5BC20">
        <w:rPr>
          <w:sz w:val="24"/>
          <w:szCs w:val="24"/>
        </w:rPr>
        <w:t>。</w:t>
      </w:r>
    </w:p>
    <w:p w:rsidR="4CB5BC20" w:rsidP="4CB5BC20" w:rsidRDefault="4CB5BC20" w14:paraId="6BD85C58" w14:textId="03648C25">
      <w:pPr>
        <w:pStyle w:val="ListParagraph"/>
        <w:numPr>
          <w:ilvl w:val="0"/>
          <w:numId w:val="1"/>
        </w:numPr>
        <w:jc w:val="left"/>
        <w:rPr>
          <w:sz w:val="24"/>
          <w:szCs w:val="24"/>
        </w:rPr>
      </w:pPr>
      <w:r w:rsidRPr="4CB5BC20" w:rsidR="4CB5BC20">
        <w:rPr>
          <w:sz w:val="24"/>
          <w:szCs w:val="24"/>
        </w:rPr>
        <w:t>選定基準地</w:t>
      </w:r>
      <w:r w:rsidRPr="4CB5BC20" w:rsidR="4CB5BC20">
        <w:rPr>
          <w:sz w:val="24"/>
          <w:szCs w:val="24"/>
        </w:rPr>
        <w:t>。</w:t>
      </w:r>
    </w:p>
    <w:p w:rsidR="4CB5BC20" w:rsidP="4CB5BC20" w:rsidRDefault="4CB5BC20" w14:paraId="2C342691" w14:textId="366F6D0F">
      <w:pPr>
        <w:pStyle w:val="ListParagraph"/>
        <w:numPr>
          <w:ilvl w:val="0"/>
          <w:numId w:val="1"/>
        </w:numPr>
        <w:jc w:val="left"/>
        <w:rPr>
          <w:sz w:val="24"/>
          <w:szCs w:val="24"/>
        </w:rPr>
      </w:pPr>
      <w:r w:rsidRPr="4CB5BC20" w:rsidR="4CB5BC20">
        <w:rPr>
          <w:sz w:val="24"/>
          <w:szCs w:val="24"/>
        </w:rPr>
        <w:t>查估基準地地價</w:t>
      </w:r>
      <w:r w:rsidRPr="4CB5BC20" w:rsidR="4CB5BC20">
        <w:rPr>
          <w:sz w:val="24"/>
          <w:szCs w:val="24"/>
        </w:rPr>
        <w:t>。</w:t>
      </w:r>
    </w:p>
    <w:p w:rsidR="4CB5BC20" w:rsidP="4CB5BC20" w:rsidRDefault="4CB5BC20" w14:paraId="04F5AA79" w14:textId="7684EE6E">
      <w:pPr>
        <w:pStyle w:val="ListParagraph"/>
        <w:numPr>
          <w:ilvl w:val="0"/>
          <w:numId w:val="1"/>
        </w:numPr>
        <w:jc w:val="left"/>
        <w:rPr>
          <w:sz w:val="24"/>
          <w:szCs w:val="24"/>
        </w:rPr>
      </w:pPr>
      <w:r w:rsidRPr="4CB5BC20" w:rsidR="4CB5BC20">
        <w:rPr>
          <w:sz w:val="24"/>
          <w:szCs w:val="24"/>
        </w:rPr>
        <w:t>審議基準地地價</w:t>
      </w:r>
      <w:r w:rsidRPr="4CB5BC20" w:rsidR="4CB5BC20">
        <w:rPr>
          <w:sz w:val="24"/>
          <w:szCs w:val="24"/>
        </w:rPr>
        <w:t>。</w:t>
      </w:r>
    </w:p>
    <w:p w:rsidR="4CB5BC20" w:rsidP="4CB5BC20" w:rsidRDefault="4CB5BC20" w14:paraId="4D37E566" w14:textId="0F01C200">
      <w:pPr>
        <w:pStyle w:val="Normal"/>
        <w:jc w:val="left"/>
        <w:rPr>
          <w:sz w:val="40"/>
          <w:szCs w:val="40"/>
        </w:rPr>
      </w:pPr>
      <w:r w:rsidRPr="4CB5BC20" w:rsidR="4CB5BC20">
        <w:rPr>
          <w:sz w:val="40"/>
          <w:szCs w:val="40"/>
        </w:rPr>
        <w:t>準備有關圖籍</w:t>
      </w:r>
    </w:p>
    <w:p w:rsidR="4CB5BC20" w:rsidP="4CB5BC20" w:rsidRDefault="4CB5BC20" w14:paraId="7B858B5A" w14:textId="1DFD2EED">
      <w:pPr>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4CB5BC20" w:rsidR="4CB5BC20">
        <w:rPr>
          <w:rFonts w:ascii="Aptos" w:hAnsi="Aptos" w:eastAsia="Aptos" w:cs="Aptos"/>
          <w:b w:val="0"/>
          <w:bCs w:val="0"/>
          <w:i w:val="0"/>
          <w:iCs w:val="0"/>
          <w:caps w:val="0"/>
          <w:smallCaps w:val="0"/>
          <w:noProof w:val="0"/>
          <w:color w:val="000000" w:themeColor="text1" w:themeTint="FF" w:themeShade="FF"/>
          <w:sz w:val="24"/>
          <w:szCs w:val="24"/>
          <w:lang w:val="en-US"/>
        </w:rPr>
        <w:t>在進行基準地估價前需要蒐集包括下列資料，方便進行地價估價作業</w:t>
      </w:r>
      <w:r w:rsidRPr="4CB5BC20" w:rsidR="4CB5BC20">
        <w:rPr>
          <w:rFonts w:ascii="Aptos" w:hAnsi="Aptos" w:eastAsia="Aptos" w:cs="Aptos"/>
          <w:b w:val="0"/>
          <w:bCs w:val="0"/>
          <w:i w:val="0"/>
          <w:iCs w:val="0"/>
          <w:caps w:val="0"/>
          <w:smallCaps w:val="0"/>
          <w:noProof w:val="0"/>
          <w:color w:val="000000" w:themeColor="text1" w:themeTint="FF" w:themeShade="FF"/>
          <w:sz w:val="24"/>
          <w:szCs w:val="24"/>
          <w:lang w:val="en-US"/>
        </w:rPr>
        <w:t>。</w:t>
      </w:r>
    </w:p>
    <w:p w:rsidR="4CB5BC20" w:rsidP="4CB5BC20" w:rsidRDefault="4CB5BC20" w14:paraId="0D4F4F9C" w14:textId="6251ADCA">
      <w:pPr>
        <w:pStyle w:val="ListParagraph"/>
        <w:numPr>
          <w:ilvl w:val="0"/>
          <w:numId w:val="2"/>
        </w:numPr>
        <w:spacing w:after="160" w:line="279"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4CB5BC20" w:rsidR="4CB5BC20">
        <w:rPr>
          <w:rFonts w:ascii="Aptos" w:hAnsi="Aptos" w:eastAsia="Aptos" w:cs="Aptos"/>
          <w:b w:val="0"/>
          <w:bCs w:val="0"/>
          <w:i w:val="0"/>
          <w:iCs w:val="0"/>
          <w:caps w:val="0"/>
          <w:smallCaps w:val="0"/>
          <w:noProof w:val="0"/>
          <w:color w:val="000000" w:themeColor="text1" w:themeTint="FF" w:themeShade="FF"/>
          <w:sz w:val="24"/>
          <w:szCs w:val="24"/>
          <w:lang w:val="en-US"/>
        </w:rPr>
        <w:t>查估之基準地的不動產相關資料</w:t>
      </w:r>
    </w:p>
    <w:p w:rsidR="4CB5BC20" w:rsidP="4CB5BC20" w:rsidRDefault="4CB5BC20" w14:paraId="43264DEC" w14:textId="43D176FB">
      <w:pPr>
        <w:pStyle w:val="ListParagraph"/>
        <w:numPr>
          <w:ilvl w:val="0"/>
          <w:numId w:val="2"/>
        </w:numPr>
        <w:spacing w:after="160" w:line="279"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4CB5BC20" w:rsidR="4CB5BC20">
        <w:rPr>
          <w:rFonts w:ascii="Aptos" w:hAnsi="Aptos" w:eastAsia="Aptos" w:cs="Aptos"/>
          <w:b w:val="0"/>
          <w:bCs w:val="0"/>
          <w:i w:val="0"/>
          <w:iCs w:val="0"/>
          <w:caps w:val="0"/>
          <w:smallCaps w:val="0"/>
          <w:noProof w:val="0"/>
          <w:color w:val="000000" w:themeColor="text1" w:themeTint="FF" w:themeShade="FF"/>
          <w:sz w:val="24"/>
          <w:szCs w:val="24"/>
          <w:lang w:val="en-US"/>
        </w:rPr>
        <w:t>都市計畫動產相關資料</w:t>
      </w:r>
    </w:p>
    <w:p w:rsidR="4CB5BC20" w:rsidP="4CB5BC20" w:rsidRDefault="4CB5BC20" w14:paraId="5E1311CA" w14:textId="359F6331">
      <w:pPr>
        <w:pStyle w:val="ListParagraph"/>
        <w:numPr>
          <w:ilvl w:val="0"/>
          <w:numId w:val="2"/>
        </w:numPr>
        <w:spacing w:after="160" w:line="279"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4CB5BC20" w:rsidR="4CB5BC20">
        <w:rPr>
          <w:rFonts w:ascii="Aptos" w:hAnsi="Aptos" w:eastAsia="Aptos" w:cs="Aptos"/>
          <w:b w:val="0"/>
          <w:bCs w:val="0"/>
          <w:i w:val="0"/>
          <w:iCs w:val="0"/>
          <w:caps w:val="0"/>
          <w:smallCaps w:val="0"/>
          <w:noProof w:val="0"/>
          <w:color w:val="000000" w:themeColor="text1" w:themeTint="FF" w:themeShade="FF"/>
          <w:sz w:val="24"/>
          <w:szCs w:val="24"/>
          <w:lang w:val="en-US"/>
        </w:rPr>
        <w:t>都市計畫地籍套繪圖</w:t>
      </w:r>
    </w:p>
    <w:p w:rsidR="4CB5BC20" w:rsidP="4CB5BC20" w:rsidRDefault="4CB5BC20" w14:paraId="23D3C4E3" w14:textId="788129F3">
      <w:pPr>
        <w:pStyle w:val="ListParagraph"/>
        <w:numPr>
          <w:ilvl w:val="0"/>
          <w:numId w:val="2"/>
        </w:numPr>
        <w:spacing w:after="160" w:line="279"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4CB5BC20" w:rsidR="4CB5BC20">
        <w:rPr>
          <w:rFonts w:ascii="Aptos" w:hAnsi="Aptos" w:eastAsia="Aptos" w:cs="Aptos"/>
          <w:b w:val="0"/>
          <w:bCs w:val="0"/>
          <w:i w:val="0"/>
          <w:iCs w:val="0"/>
          <w:caps w:val="0"/>
          <w:smallCaps w:val="0"/>
          <w:noProof w:val="0"/>
          <w:color w:val="000000" w:themeColor="text1" w:themeTint="FF" w:themeShade="FF"/>
          <w:sz w:val="24"/>
          <w:szCs w:val="24"/>
          <w:lang w:val="en-US"/>
        </w:rPr>
        <w:t>非都市計畫土地使用分區圖</w:t>
      </w:r>
    </w:p>
    <w:p w:rsidR="4CB5BC20" w:rsidP="4CB5BC20" w:rsidRDefault="4CB5BC20" w14:paraId="0621C88A" w14:textId="46042166">
      <w:pPr>
        <w:pStyle w:val="ListParagraph"/>
        <w:numPr>
          <w:ilvl w:val="0"/>
          <w:numId w:val="2"/>
        </w:numPr>
        <w:spacing w:after="160" w:line="279"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4CB5BC20" w:rsidR="4CB5BC20">
        <w:rPr>
          <w:rFonts w:ascii="Aptos" w:hAnsi="Aptos" w:eastAsia="Aptos" w:cs="Aptos"/>
          <w:b w:val="0"/>
          <w:bCs w:val="0"/>
          <w:i w:val="0"/>
          <w:iCs w:val="0"/>
          <w:caps w:val="0"/>
          <w:smallCaps w:val="0"/>
          <w:noProof w:val="0"/>
          <w:color w:val="000000" w:themeColor="text1" w:themeTint="FF" w:themeShade="FF"/>
          <w:sz w:val="24"/>
          <w:szCs w:val="24"/>
          <w:lang w:val="en-US"/>
        </w:rPr>
        <w:t>非都市計畫土地街道圖</w:t>
      </w:r>
    </w:p>
    <w:p w:rsidR="4CB5BC20" w:rsidP="4CB5BC20" w:rsidRDefault="4CB5BC20" w14:paraId="7D4B82ED" w14:textId="2AFA8563">
      <w:pPr>
        <w:pStyle w:val="ListParagraph"/>
        <w:numPr>
          <w:ilvl w:val="0"/>
          <w:numId w:val="2"/>
        </w:numPr>
        <w:spacing w:after="160" w:line="279"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4CB5BC20" w:rsidR="4CB5BC20">
        <w:rPr>
          <w:rFonts w:ascii="Aptos" w:hAnsi="Aptos" w:eastAsia="Aptos" w:cs="Aptos"/>
          <w:b w:val="0"/>
          <w:bCs w:val="0"/>
          <w:i w:val="0"/>
          <w:iCs w:val="0"/>
          <w:caps w:val="0"/>
          <w:smallCaps w:val="0"/>
          <w:noProof w:val="0"/>
          <w:color w:val="000000" w:themeColor="text1" w:themeTint="FF" w:themeShade="FF"/>
          <w:sz w:val="24"/>
          <w:szCs w:val="24"/>
          <w:lang w:val="en-US"/>
        </w:rPr>
        <w:t>土地使用分區圖</w:t>
      </w:r>
    </w:p>
    <w:p w:rsidR="4CB5BC20" w:rsidP="4CB5BC20" w:rsidRDefault="4CB5BC20" w14:paraId="37B6F249" w14:textId="7B836868">
      <w:pPr>
        <w:pStyle w:val="ListParagraph"/>
        <w:numPr>
          <w:ilvl w:val="0"/>
          <w:numId w:val="2"/>
        </w:numPr>
        <w:spacing w:after="160" w:line="279"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4CB5BC20" w:rsidR="4CB5BC20">
        <w:rPr>
          <w:rFonts w:ascii="Aptos" w:hAnsi="Aptos" w:eastAsia="Aptos" w:cs="Aptos"/>
          <w:b w:val="0"/>
          <w:bCs w:val="0"/>
          <w:i w:val="0"/>
          <w:iCs w:val="0"/>
          <w:caps w:val="0"/>
          <w:smallCaps w:val="0"/>
          <w:noProof w:val="0"/>
          <w:color w:val="000000" w:themeColor="text1" w:themeTint="FF" w:themeShade="FF"/>
          <w:sz w:val="24"/>
          <w:szCs w:val="24"/>
          <w:lang w:val="en-US"/>
        </w:rPr>
        <w:t>土地使用街道圖</w:t>
      </w:r>
    </w:p>
    <w:p w:rsidR="4CB5BC20" w:rsidP="4CB5BC20" w:rsidRDefault="4CB5BC20" w14:paraId="0A4969DE" w14:textId="49FCDA10">
      <w:pPr>
        <w:pStyle w:val="ListParagraph"/>
        <w:numPr>
          <w:ilvl w:val="0"/>
          <w:numId w:val="2"/>
        </w:numPr>
        <w:spacing w:after="160" w:line="279"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4CB5BC20" w:rsidR="4CB5BC20">
        <w:rPr>
          <w:rFonts w:ascii="Aptos" w:hAnsi="Aptos" w:eastAsia="Aptos" w:cs="Aptos"/>
          <w:b w:val="0"/>
          <w:bCs w:val="0"/>
          <w:i w:val="0"/>
          <w:iCs w:val="0"/>
          <w:caps w:val="0"/>
          <w:smallCaps w:val="0"/>
          <w:noProof w:val="0"/>
          <w:color w:val="000000" w:themeColor="text1" w:themeTint="FF" w:themeShade="FF"/>
          <w:sz w:val="24"/>
          <w:szCs w:val="24"/>
          <w:lang w:val="en-US"/>
        </w:rPr>
        <w:t>都市計畫圖及其說明</w:t>
      </w:r>
    </w:p>
    <w:p w:rsidR="4CB5BC20" w:rsidP="4CB5BC20" w:rsidRDefault="4CB5BC20" w14:paraId="47732EFC" w14:textId="49711393">
      <w:pPr>
        <w:pStyle w:val="ListParagraph"/>
        <w:numPr>
          <w:ilvl w:val="0"/>
          <w:numId w:val="2"/>
        </w:numPr>
        <w:spacing w:after="160" w:line="279"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4CB5BC20" w:rsidR="4CB5BC20">
        <w:rPr>
          <w:rFonts w:ascii="Aptos" w:hAnsi="Aptos" w:eastAsia="Aptos" w:cs="Aptos"/>
          <w:b w:val="0"/>
          <w:bCs w:val="0"/>
          <w:i w:val="0"/>
          <w:iCs w:val="0"/>
          <w:caps w:val="0"/>
          <w:smallCaps w:val="0"/>
          <w:noProof w:val="0"/>
          <w:color w:val="000000" w:themeColor="text1" w:themeTint="FF" w:themeShade="FF"/>
          <w:sz w:val="24"/>
          <w:szCs w:val="24"/>
          <w:lang w:val="en-US"/>
        </w:rPr>
        <w:t>禁限建範都市計畫圖及其說明</w:t>
      </w:r>
    </w:p>
    <w:p w:rsidR="4CB5BC20" w:rsidP="4CB5BC20" w:rsidRDefault="4CB5BC20" w14:paraId="3D1B8E85" w14:textId="2332995C">
      <w:pPr>
        <w:pStyle w:val="ListParagraph"/>
        <w:numPr>
          <w:ilvl w:val="0"/>
          <w:numId w:val="2"/>
        </w:numPr>
        <w:spacing w:after="160" w:line="279"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4CB5BC20" w:rsidR="4CB5BC20">
        <w:rPr>
          <w:rFonts w:ascii="Aptos" w:hAnsi="Aptos" w:eastAsia="Aptos" w:cs="Aptos"/>
          <w:b w:val="0"/>
          <w:bCs w:val="0"/>
          <w:i w:val="0"/>
          <w:iCs w:val="0"/>
          <w:caps w:val="0"/>
          <w:smallCaps w:val="0"/>
          <w:noProof w:val="0"/>
          <w:color w:val="000000" w:themeColor="text1" w:themeTint="FF" w:themeShade="FF"/>
          <w:sz w:val="24"/>
          <w:szCs w:val="24"/>
          <w:lang w:val="en-US"/>
        </w:rPr>
        <w:t>禁限建範圍圖</w:t>
      </w:r>
    </w:p>
    <w:p w:rsidR="4CB5BC20" w:rsidP="4CB5BC20" w:rsidRDefault="4CB5BC20" w14:paraId="6FEED457" w14:textId="63A21098">
      <w:pPr>
        <w:pStyle w:val="Normal"/>
        <w:ind w:left="0"/>
        <w:jc w:val="left"/>
        <w:rPr>
          <w:sz w:val="40"/>
          <w:szCs w:val="40"/>
        </w:rPr>
      </w:pPr>
      <w:r w:rsidRPr="4CB5BC20" w:rsidR="4CB5BC20">
        <w:rPr>
          <w:sz w:val="40"/>
          <w:szCs w:val="40"/>
        </w:rPr>
        <w:t>劃分近價區段</w:t>
      </w:r>
    </w:p>
    <w:p w:rsidR="4CB5BC20" w:rsidP="4CB5BC20" w:rsidRDefault="4CB5BC20" w14:paraId="52C61EB9" w14:textId="7B13896F">
      <w:pPr>
        <w:pStyle w:val="Normal"/>
        <w:ind w:left="0"/>
        <w:jc w:val="left"/>
        <w:rPr>
          <w:sz w:val="24"/>
          <w:szCs w:val="24"/>
        </w:rPr>
      </w:pPr>
      <w:r w:rsidRPr="4CB5BC20" w:rsidR="4CB5BC20">
        <w:rPr>
          <w:sz w:val="24"/>
          <w:szCs w:val="24"/>
        </w:rPr>
        <w:t>近價區段劃分類似以現行的地價調查估計規則裡的地價區段概念來劃分，係以地價相近、地段相連、土地情況相同來劃分，不過，話雖如此，為了改善在過去公部門地價查估的缺失，基準地之劃分需由地政機關採取逐次布置基準地這種方式進行，因為這樣，在篩選基準地時，主要以地價之同質空間為準。</w:t>
      </w:r>
    </w:p>
    <w:p w:rsidR="4CB5BC20" w:rsidP="4CB5BC20" w:rsidRDefault="4CB5BC20" w14:paraId="18CCFF74" w14:textId="7D49E019">
      <w:pPr>
        <w:pStyle w:val="Normal"/>
        <w:ind w:left="0"/>
        <w:jc w:val="left"/>
        <w:rPr>
          <w:sz w:val="24"/>
          <w:szCs w:val="24"/>
        </w:rPr>
      </w:pPr>
      <w:r w:rsidRPr="4CB5BC20" w:rsidR="4CB5BC20">
        <w:rPr>
          <w:sz w:val="24"/>
          <w:szCs w:val="24"/>
        </w:rPr>
        <w:t>直轄縣或縣</w:t>
      </w:r>
      <w:r w:rsidRPr="4CB5BC20" w:rsidR="4CB5BC20">
        <w:rPr>
          <w:sz w:val="24"/>
          <w:szCs w:val="24"/>
        </w:rPr>
        <w:t>(市)地政機關應該依影響地價因素對近價區段劃分，其劃分依據如下。</w:t>
      </w:r>
    </w:p>
    <w:p w:rsidR="4CB5BC20" w:rsidP="4CB5BC20" w:rsidRDefault="4CB5BC20" w14:paraId="5791D379" w14:textId="62753A32">
      <w:pPr>
        <w:pStyle w:val="ListParagraph"/>
        <w:numPr>
          <w:ilvl w:val="0"/>
          <w:numId w:val="12"/>
        </w:numPr>
        <w:jc w:val="left"/>
        <w:rPr>
          <w:sz w:val="24"/>
          <w:szCs w:val="24"/>
        </w:rPr>
      </w:pPr>
      <w:r w:rsidRPr="4CB5BC20" w:rsidR="4CB5BC20">
        <w:rPr>
          <w:sz w:val="24"/>
          <w:szCs w:val="24"/>
        </w:rPr>
        <w:t>行政區劃之公法的管制程度</w:t>
      </w:r>
    </w:p>
    <w:p w:rsidR="4CB5BC20" w:rsidP="4CB5BC20" w:rsidRDefault="4CB5BC20" w14:paraId="568C0731" w14:textId="568006E6">
      <w:pPr>
        <w:pStyle w:val="ListParagraph"/>
        <w:numPr>
          <w:ilvl w:val="0"/>
          <w:numId w:val="12"/>
        </w:numPr>
        <w:jc w:val="left"/>
        <w:rPr>
          <w:sz w:val="24"/>
          <w:szCs w:val="24"/>
        </w:rPr>
      </w:pPr>
      <w:r w:rsidRPr="4CB5BC20" w:rsidR="4CB5BC20">
        <w:rPr>
          <w:sz w:val="24"/>
          <w:szCs w:val="24"/>
        </w:rPr>
        <w:t>土地利用之公法的管制程度</w:t>
      </w:r>
    </w:p>
    <w:p w:rsidR="4CB5BC20" w:rsidP="4CB5BC20" w:rsidRDefault="4CB5BC20" w14:paraId="3CDED765" w14:textId="1537E82F">
      <w:pPr>
        <w:pStyle w:val="ListParagraph"/>
        <w:numPr>
          <w:ilvl w:val="0"/>
          <w:numId w:val="12"/>
        </w:numPr>
        <w:jc w:val="left"/>
        <w:rPr>
          <w:sz w:val="24"/>
          <w:szCs w:val="24"/>
        </w:rPr>
      </w:pPr>
      <w:r w:rsidRPr="4CB5BC20" w:rsidR="4CB5BC20">
        <w:rPr>
          <w:sz w:val="24"/>
          <w:szCs w:val="24"/>
        </w:rPr>
        <w:t>地形、地質等自然條件</w:t>
      </w:r>
    </w:p>
    <w:p w:rsidR="4CB5BC20" w:rsidP="4CB5BC20" w:rsidRDefault="4CB5BC20" w14:paraId="4C4EBEA1" w14:textId="100E33E5">
      <w:pPr>
        <w:pStyle w:val="ListParagraph"/>
        <w:numPr>
          <w:ilvl w:val="0"/>
          <w:numId w:val="12"/>
        </w:numPr>
        <w:jc w:val="left"/>
        <w:rPr>
          <w:sz w:val="24"/>
          <w:szCs w:val="24"/>
        </w:rPr>
      </w:pPr>
      <w:r w:rsidRPr="4CB5BC20" w:rsidR="4CB5BC20">
        <w:rPr>
          <w:sz w:val="24"/>
          <w:szCs w:val="24"/>
        </w:rPr>
        <w:t>交通設施、公共設施、用設施、商業設施等設施之接近狀態</w:t>
      </w:r>
      <w:r w:rsidRPr="4CB5BC20" w:rsidR="4CB5BC20">
        <w:rPr>
          <w:sz w:val="24"/>
          <w:szCs w:val="24"/>
        </w:rPr>
        <w:t>。</w:t>
      </w:r>
    </w:p>
    <w:p w:rsidR="4CB5BC20" w:rsidP="4CB5BC20" w:rsidRDefault="4CB5BC20" w14:paraId="1413A626" w14:textId="0F9BA652">
      <w:pPr>
        <w:pStyle w:val="ListParagraph"/>
        <w:numPr>
          <w:ilvl w:val="0"/>
          <w:numId w:val="12"/>
        </w:numPr>
        <w:jc w:val="left"/>
        <w:rPr>
          <w:sz w:val="24"/>
          <w:szCs w:val="24"/>
        </w:rPr>
      </w:pPr>
      <w:r w:rsidRPr="4CB5BC20" w:rsidR="4CB5BC20">
        <w:rPr>
          <w:sz w:val="24"/>
          <w:szCs w:val="24"/>
        </w:rPr>
        <w:t>土地利用狀態</w:t>
      </w:r>
    </w:p>
    <w:p w:rsidR="4CB5BC20" w:rsidP="4CB5BC20" w:rsidRDefault="4CB5BC20" w14:paraId="614BF682" w14:textId="6B56E188">
      <w:pPr>
        <w:pStyle w:val="ListParagraph"/>
        <w:numPr>
          <w:ilvl w:val="0"/>
          <w:numId w:val="12"/>
        </w:numPr>
        <w:jc w:val="left"/>
        <w:rPr>
          <w:sz w:val="24"/>
          <w:szCs w:val="24"/>
        </w:rPr>
      </w:pPr>
      <w:r w:rsidRPr="4CB5BC20" w:rsidR="4CB5BC20">
        <w:rPr>
          <w:sz w:val="24"/>
          <w:szCs w:val="24"/>
        </w:rPr>
        <w:t>事業種類</w:t>
      </w:r>
    </w:p>
    <w:p w:rsidR="4CB5BC20" w:rsidP="4CB5BC20" w:rsidRDefault="4CB5BC20" w14:paraId="3EC5B7DD" w14:textId="09080CDE">
      <w:pPr>
        <w:pStyle w:val="ListParagraph"/>
        <w:numPr>
          <w:ilvl w:val="0"/>
          <w:numId w:val="12"/>
        </w:numPr>
        <w:jc w:val="left"/>
        <w:rPr>
          <w:sz w:val="24"/>
          <w:szCs w:val="24"/>
        </w:rPr>
      </w:pPr>
      <w:r w:rsidRPr="4CB5BC20" w:rsidR="4CB5BC20">
        <w:rPr>
          <w:sz w:val="24"/>
          <w:szCs w:val="24"/>
        </w:rPr>
        <w:t>事業繁榮程度</w:t>
      </w:r>
    </w:p>
    <w:p w:rsidR="4CB5BC20" w:rsidP="4CB5BC20" w:rsidRDefault="4CB5BC20" w14:paraId="04319121" w14:textId="32FA109B">
      <w:pPr>
        <w:pStyle w:val="ListParagraph"/>
        <w:numPr>
          <w:ilvl w:val="0"/>
          <w:numId w:val="12"/>
        </w:numPr>
        <w:jc w:val="left"/>
        <w:rPr>
          <w:sz w:val="24"/>
          <w:szCs w:val="24"/>
        </w:rPr>
      </w:pPr>
      <w:r w:rsidRPr="4CB5BC20" w:rsidR="4CB5BC20">
        <w:rPr>
          <w:sz w:val="24"/>
          <w:szCs w:val="24"/>
        </w:rPr>
        <w:t>景觀狀況</w:t>
      </w:r>
    </w:p>
    <w:p w:rsidR="4CB5BC20" w:rsidP="4CB5BC20" w:rsidRDefault="4CB5BC20" w14:paraId="6B7CB3CF" w14:textId="1100A6AA">
      <w:pPr>
        <w:pStyle w:val="ListParagraph"/>
        <w:numPr>
          <w:ilvl w:val="0"/>
          <w:numId w:val="12"/>
        </w:numPr>
        <w:jc w:val="left"/>
        <w:rPr>
          <w:sz w:val="24"/>
          <w:szCs w:val="24"/>
        </w:rPr>
      </w:pPr>
      <w:r w:rsidRPr="4CB5BC20" w:rsidR="4CB5BC20">
        <w:rPr>
          <w:sz w:val="24"/>
          <w:szCs w:val="24"/>
        </w:rPr>
        <w:t>災害狀況</w:t>
      </w:r>
    </w:p>
    <w:p w:rsidR="4CB5BC20" w:rsidP="4CB5BC20" w:rsidRDefault="4CB5BC20" w14:paraId="72B2EEC1" w14:textId="6B47EAD4">
      <w:pPr>
        <w:pStyle w:val="ListParagraph"/>
        <w:numPr>
          <w:ilvl w:val="0"/>
          <w:numId w:val="12"/>
        </w:numPr>
        <w:jc w:val="left"/>
        <w:rPr>
          <w:sz w:val="24"/>
          <w:szCs w:val="24"/>
        </w:rPr>
      </w:pPr>
      <w:r w:rsidRPr="4CB5BC20" w:rsidR="4CB5BC20">
        <w:rPr>
          <w:sz w:val="24"/>
          <w:szCs w:val="24"/>
        </w:rPr>
        <w:t>其他顯</w:t>
      </w:r>
      <w:r w:rsidRPr="4CB5BC20" w:rsidR="4CB5BC20">
        <w:rPr>
          <w:sz w:val="24"/>
          <w:szCs w:val="24"/>
        </w:rPr>
        <w:t>著影響地價的因素</w:t>
      </w:r>
    </w:p>
    <w:p w:rsidR="4CB5BC20" w:rsidP="4CB5BC20" w:rsidRDefault="4CB5BC20" w14:paraId="059205AC" w14:textId="1D6705DB">
      <w:pPr>
        <w:pStyle w:val="Normal"/>
        <w:ind w:left="0"/>
        <w:jc w:val="left"/>
        <w:rPr>
          <w:sz w:val="40"/>
          <w:szCs w:val="40"/>
        </w:rPr>
      </w:pPr>
      <w:r w:rsidRPr="4CB5BC20" w:rsidR="4CB5BC20">
        <w:rPr>
          <w:sz w:val="40"/>
          <w:szCs w:val="40"/>
        </w:rPr>
        <w:t>選定基準地</w:t>
      </w:r>
    </w:p>
    <w:p w:rsidR="4CB5BC20" w:rsidP="4CB5BC20" w:rsidRDefault="4CB5BC20" w14:paraId="5E31CA4F" w14:textId="0AA70DBC">
      <w:pPr>
        <w:pStyle w:val="Normal"/>
        <w:ind w:left="0"/>
        <w:jc w:val="left"/>
        <w:rPr>
          <w:sz w:val="24"/>
          <w:szCs w:val="24"/>
        </w:rPr>
      </w:pPr>
      <w:r w:rsidRPr="4CB5BC20" w:rsidR="4CB5BC20">
        <w:rPr>
          <w:sz w:val="24"/>
          <w:szCs w:val="24"/>
        </w:rPr>
        <w:t>根據土地使用分區不同選定基準地。</w:t>
      </w:r>
    </w:p>
    <w:p w:rsidR="4CB5BC20" w:rsidP="4CB5BC20" w:rsidRDefault="4CB5BC20" w14:paraId="120BEB3D" w14:textId="584F1422">
      <w:pPr>
        <w:pStyle w:val="Normal"/>
        <w:ind w:left="0"/>
        <w:jc w:val="left"/>
        <w:rPr>
          <w:sz w:val="24"/>
          <w:szCs w:val="24"/>
        </w:rPr>
      </w:pPr>
      <w:r w:rsidRPr="4CB5BC20" w:rsidR="4CB5BC20">
        <w:rPr>
          <w:sz w:val="24"/>
          <w:szCs w:val="24"/>
        </w:rPr>
        <w:t>針對基準地之分布密度，原則上以一個近價區段設定一點。</w:t>
      </w:r>
    </w:p>
    <w:p w:rsidR="4CB5BC20" w:rsidP="4CB5BC20" w:rsidRDefault="4CB5BC20" w14:paraId="71183108" w14:textId="77C34B8B">
      <w:pPr>
        <w:pStyle w:val="Normal"/>
        <w:ind w:left="0"/>
        <w:jc w:val="left"/>
        <w:rPr>
          <w:sz w:val="24"/>
          <w:szCs w:val="24"/>
        </w:rPr>
      </w:pPr>
      <w:r w:rsidRPr="4CB5BC20" w:rsidR="4CB5BC20">
        <w:rPr>
          <w:sz w:val="24"/>
          <w:szCs w:val="24"/>
        </w:rPr>
        <w:t>在商業區</w:t>
      </w:r>
      <w:r w:rsidRPr="4CB5BC20" w:rsidR="4CB5BC20">
        <w:rPr>
          <w:sz w:val="24"/>
          <w:szCs w:val="24"/>
        </w:rPr>
        <w:t>，每五十筆設定一點</w:t>
      </w:r>
      <w:r w:rsidRPr="4CB5BC20" w:rsidR="4CB5BC20">
        <w:rPr>
          <w:sz w:val="24"/>
          <w:szCs w:val="24"/>
        </w:rPr>
        <w:t>。</w:t>
      </w:r>
    </w:p>
    <w:p w:rsidR="4CB5BC20" w:rsidP="4CB5BC20" w:rsidRDefault="4CB5BC20" w14:paraId="7970F75F" w14:textId="089A8B93">
      <w:pPr>
        <w:pStyle w:val="Normal"/>
        <w:ind w:left="0"/>
        <w:jc w:val="left"/>
        <w:rPr>
          <w:sz w:val="24"/>
          <w:szCs w:val="24"/>
        </w:rPr>
      </w:pPr>
      <w:r w:rsidRPr="4CB5BC20" w:rsidR="4CB5BC20">
        <w:rPr>
          <w:sz w:val="24"/>
          <w:szCs w:val="24"/>
        </w:rPr>
        <w:t>在住宅區，每一百筆設定一點</w:t>
      </w:r>
      <w:r w:rsidRPr="4CB5BC20" w:rsidR="4CB5BC20">
        <w:rPr>
          <w:sz w:val="24"/>
          <w:szCs w:val="24"/>
        </w:rPr>
        <w:t>。</w:t>
      </w:r>
    </w:p>
    <w:p w:rsidR="4CB5BC20" w:rsidP="4CB5BC20" w:rsidRDefault="4CB5BC20" w14:paraId="39745347" w14:textId="62B66FD4">
      <w:pPr>
        <w:pStyle w:val="Normal"/>
        <w:ind w:left="0"/>
        <w:jc w:val="left"/>
        <w:rPr>
          <w:sz w:val="24"/>
          <w:szCs w:val="24"/>
        </w:rPr>
      </w:pPr>
      <w:r w:rsidRPr="4CB5BC20" w:rsidR="4CB5BC20">
        <w:rPr>
          <w:sz w:val="24"/>
          <w:szCs w:val="24"/>
        </w:rPr>
        <w:t>在工業區，每兩百筆設定一點。</w:t>
      </w:r>
    </w:p>
    <w:p w:rsidR="4CB5BC20" w:rsidP="4CB5BC20" w:rsidRDefault="4CB5BC20" w14:paraId="06B22800" w14:textId="28B0D368">
      <w:pPr>
        <w:pStyle w:val="Normal"/>
        <w:ind w:left="0"/>
        <w:jc w:val="left"/>
        <w:rPr>
          <w:sz w:val="24"/>
          <w:szCs w:val="24"/>
        </w:rPr>
      </w:pPr>
    </w:p>
    <w:p w:rsidR="4CB5BC20" w:rsidP="4CB5BC20" w:rsidRDefault="4CB5BC20" w14:paraId="76B492BE" w14:textId="799F840B">
      <w:pPr>
        <w:pStyle w:val="Normal"/>
        <w:ind w:left="0"/>
        <w:jc w:val="left"/>
        <w:rPr>
          <w:sz w:val="24"/>
          <w:szCs w:val="24"/>
        </w:rPr>
      </w:pPr>
      <w:r w:rsidRPr="4CB5BC20" w:rsidR="4CB5BC20">
        <w:rPr>
          <w:sz w:val="24"/>
          <w:szCs w:val="24"/>
        </w:rPr>
        <w:t>基準地之分布密度之點數計算方式主要以區段和筆數為準，如下表。</w:t>
      </w:r>
    </w:p>
    <w:tbl>
      <w:tblPr>
        <w:tblStyle w:val="TableGrid"/>
        <w:tblW w:w="0" w:type="auto"/>
        <w:tblLayout w:type="fixed"/>
        <w:tblLook w:val="06A0" w:firstRow="1" w:lastRow="0" w:firstColumn="1" w:lastColumn="0" w:noHBand="1" w:noVBand="1"/>
      </w:tblPr>
      <w:tblGrid>
        <w:gridCol w:w="4680"/>
        <w:gridCol w:w="4680"/>
      </w:tblGrid>
      <w:tr w:rsidR="4CB5BC20" w:rsidTr="4CB5BC20" w14:paraId="0D2239CE">
        <w:trPr>
          <w:trHeight w:val="300"/>
        </w:trPr>
        <w:tc>
          <w:tcPr>
            <w:tcW w:w="4680" w:type="dxa"/>
            <w:tcMar/>
          </w:tcPr>
          <w:p w:rsidR="4CB5BC20" w:rsidP="4CB5BC20" w:rsidRDefault="4CB5BC20" w14:paraId="07F584CB" w14:textId="3DE4B6EE">
            <w:pPr>
              <w:pStyle w:val="Normal"/>
              <w:rPr>
                <w:sz w:val="24"/>
                <w:szCs w:val="24"/>
              </w:rPr>
            </w:pPr>
            <w:r w:rsidRPr="4CB5BC20" w:rsidR="4CB5BC20">
              <w:rPr>
                <w:sz w:val="24"/>
                <w:szCs w:val="24"/>
              </w:rPr>
              <w:t>區段</w:t>
            </w:r>
          </w:p>
        </w:tc>
        <w:tc>
          <w:tcPr>
            <w:tcW w:w="4680" w:type="dxa"/>
            <w:tcMar/>
          </w:tcPr>
          <w:p w:rsidR="4CB5BC20" w:rsidP="4CB5BC20" w:rsidRDefault="4CB5BC20" w14:paraId="6A9BEFDB" w14:textId="215F30E7">
            <w:pPr>
              <w:pStyle w:val="Normal"/>
              <w:rPr>
                <w:sz w:val="24"/>
                <w:szCs w:val="24"/>
              </w:rPr>
            </w:pPr>
            <w:r w:rsidRPr="4CB5BC20" w:rsidR="4CB5BC20">
              <w:rPr>
                <w:sz w:val="24"/>
                <w:szCs w:val="24"/>
              </w:rPr>
              <w:t>點數</w:t>
            </w:r>
          </w:p>
        </w:tc>
      </w:tr>
      <w:tr w:rsidR="4CB5BC20" w:rsidTr="4CB5BC20" w14:paraId="4A6527FC">
        <w:trPr>
          <w:trHeight w:val="300"/>
        </w:trPr>
        <w:tc>
          <w:tcPr>
            <w:tcW w:w="4680" w:type="dxa"/>
            <w:tcMar/>
          </w:tcPr>
          <w:p w:rsidR="4CB5BC20" w:rsidP="4CB5BC20" w:rsidRDefault="4CB5BC20" w14:paraId="652D378E" w14:textId="3C84A09C">
            <w:pPr>
              <w:pStyle w:val="Normal"/>
              <w:rPr>
                <w:sz w:val="24"/>
                <w:szCs w:val="24"/>
              </w:rPr>
            </w:pPr>
            <w:r w:rsidRPr="4CB5BC20" w:rsidR="4CB5BC20">
              <w:rPr>
                <w:sz w:val="24"/>
                <w:szCs w:val="24"/>
              </w:rPr>
              <w:t>近價區段</w:t>
            </w:r>
          </w:p>
        </w:tc>
        <w:tc>
          <w:tcPr>
            <w:tcW w:w="4680" w:type="dxa"/>
            <w:tcMar/>
          </w:tcPr>
          <w:p w:rsidR="4CB5BC20" w:rsidP="4CB5BC20" w:rsidRDefault="4CB5BC20" w14:paraId="7B91B45A" w14:textId="2B75C5C1">
            <w:pPr>
              <w:pStyle w:val="Normal"/>
              <w:rPr>
                <w:sz w:val="24"/>
                <w:szCs w:val="24"/>
              </w:rPr>
            </w:pPr>
            <w:r w:rsidRPr="4CB5BC20" w:rsidR="4CB5BC20">
              <w:rPr>
                <w:sz w:val="24"/>
                <w:szCs w:val="24"/>
              </w:rPr>
              <w:t>每一筆</w:t>
            </w:r>
          </w:p>
        </w:tc>
      </w:tr>
      <w:tr w:rsidR="4CB5BC20" w:rsidTr="4CB5BC20" w14:paraId="5478FD26">
        <w:trPr>
          <w:trHeight w:val="300"/>
        </w:trPr>
        <w:tc>
          <w:tcPr>
            <w:tcW w:w="4680" w:type="dxa"/>
            <w:tcMar/>
          </w:tcPr>
          <w:p w:rsidR="4CB5BC20" w:rsidP="4CB5BC20" w:rsidRDefault="4CB5BC20" w14:paraId="6A5CF1E9" w14:textId="1F74F8DD">
            <w:pPr>
              <w:pStyle w:val="Normal"/>
              <w:rPr>
                <w:sz w:val="24"/>
                <w:szCs w:val="24"/>
              </w:rPr>
            </w:pPr>
            <w:r w:rsidRPr="4CB5BC20" w:rsidR="4CB5BC20">
              <w:rPr>
                <w:sz w:val="24"/>
                <w:szCs w:val="24"/>
              </w:rPr>
              <w:t>商業區</w:t>
            </w:r>
          </w:p>
        </w:tc>
        <w:tc>
          <w:tcPr>
            <w:tcW w:w="4680" w:type="dxa"/>
            <w:tcMar/>
          </w:tcPr>
          <w:p w:rsidR="4CB5BC20" w:rsidP="4CB5BC20" w:rsidRDefault="4CB5BC20" w14:paraId="6200BDE7" w14:textId="1FA928CE">
            <w:pPr>
              <w:pStyle w:val="Normal"/>
              <w:rPr>
                <w:sz w:val="24"/>
                <w:szCs w:val="24"/>
              </w:rPr>
            </w:pPr>
            <w:r w:rsidRPr="4CB5BC20" w:rsidR="4CB5BC20">
              <w:rPr>
                <w:sz w:val="24"/>
                <w:szCs w:val="24"/>
              </w:rPr>
              <w:t>每五十筆</w:t>
            </w:r>
          </w:p>
        </w:tc>
      </w:tr>
      <w:tr w:rsidR="4CB5BC20" w:rsidTr="4CB5BC20" w14:paraId="36C5A752">
        <w:trPr>
          <w:trHeight w:val="300"/>
        </w:trPr>
        <w:tc>
          <w:tcPr>
            <w:tcW w:w="4680" w:type="dxa"/>
            <w:tcMar/>
          </w:tcPr>
          <w:p w:rsidR="4CB5BC20" w:rsidP="4CB5BC20" w:rsidRDefault="4CB5BC20" w14:paraId="3F7DBC6E" w14:textId="71E9E958">
            <w:pPr>
              <w:pStyle w:val="Normal"/>
              <w:rPr>
                <w:sz w:val="24"/>
                <w:szCs w:val="24"/>
              </w:rPr>
            </w:pPr>
            <w:r w:rsidRPr="4CB5BC20" w:rsidR="4CB5BC20">
              <w:rPr>
                <w:sz w:val="24"/>
                <w:szCs w:val="24"/>
              </w:rPr>
              <w:t>住宅區</w:t>
            </w:r>
          </w:p>
        </w:tc>
        <w:tc>
          <w:tcPr>
            <w:tcW w:w="4680" w:type="dxa"/>
            <w:tcMar/>
          </w:tcPr>
          <w:p w:rsidR="4CB5BC20" w:rsidP="4CB5BC20" w:rsidRDefault="4CB5BC20" w14:paraId="6AA9B26F" w14:textId="27FE70E1">
            <w:pPr>
              <w:pStyle w:val="Normal"/>
              <w:rPr>
                <w:sz w:val="24"/>
                <w:szCs w:val="24"/>
              </w:rPr>
            </w:pPr>
            <w:r w:rsidRPr="4CB5BC20" w:rsidR="4CB5BC20">
              <w:rPr>
                <w:sz w:val="24"/>
                <w:szCs w:val="24"/>
              </w:rPr>
              <w:t>每一百筆</w:t>
            </w:r>
          </w:p>
        </w:tc>
      </w:tr>
      <w:tr w:rsidR="4CB5BC20" w:rsidTr="4CB5BC20" w14:paraId="55EF088B">
        <w:trPr>
          <w:trHeight w:val="300"/>
        </w:trPr>
        <w:tc>
          <w:tcPr>
            <w:tcW w:w="4680" w:type="dxa"/>
            <w:tcMar/>
          </w:tcPr>
          <w:p w:rsidR="4CB5BC20" w:rsidP="4CB5BC20" w:rsidRDefault="4CB5BC20" w14:paraId="6AADDDF0" w14:textId="714599A9">
            <w:pPr>
              <w:pStyle w:val="Normal"/>
              <w:rPr>
                <w:sz w:val="24"/>
                <w:szCs w:val="24"/>
              </w:rPr>
            </w:pPr>
            <w:r w:rsidRPr="4CB5BC20" w:rsidR="4CB5BC20">
              <w:rPr>
                <w:sz w:val="24"/>
                <w:szCs w:val="24"/>
              </w:rPr>
              <w:t>工業區</w:t>
            </w:r>
          </w:p>
        </w:tc>
        <w:tc>
          <w:tcPr>
            <w:tcW w:w="4680" w:type="dxa"/>
            <w:tcMar/>
          </w:tcPr>
          <w:p w:rsidR="4CB5BC20" w:rsidP="4CB5BC20" w:rsidRDefault="4CB5BC20" w14:paraId="7AD6390C" w14:textId="465C6AE9">
            <w:pPr>
              <w:pStyle w:val="Normal"/>
              <w:rPr>
                <w:sz w:val="24"/>
                <w:szCs w:val="24"/>
              </w:rPr>
            </w:pPr>
            <w:r w:rsidRPr="4CB5BC20" w:rsidR="4CB5BC20">
              <w:rPr>
                <w:sz w:val="24"/>
                <w:szCs w:val="24"/>
              </w:rPr>
              <w:t>每兩百筆</w:t>
            </w:r>
          </w:p>
        </w:tc>
      </w:tr>
    </w:tbl>
    <w:p w:rsidR="4CB5BC20" w:rsidP="4CB5BC20" w:rsidRDefault="4CB5BC20" w14:paraId="620E4D38" w14:textId="05A3BB8C">
      <w:pPr>
        <w:pStyle w:val="Normal"/>
        <w:ind w:left="0"/>
        <w:jc w:val="left"/>
        <w:rPr>
          <w:sz w:val="24"/>
          <w:szCs w:val="24"/>
        </w:rPr>
      </w:pPr>
    </w:p>
    <w:p w:rsidR="4CB5BC20" w:rsidP="4CB5BC20" w:rsidRDefault="4CB5BC20" w14:paraId="1B1FCF71" w14:textId="208882DB">
      <w:pPr>
        <w:pStyle w:val="Normal"/>
        <w:ind w:left="0"/>
        <w:jc w:val="left"/>
        <w:rPr>
          <w:sz w:val="24"/>
          <w:szCs w:val="24"/>
        </w:rPr>
      </w:pPr>
      <w:r w:rsidRPr="4CB5BC20" w:rsidR="4CB5BC20">
        <w:rPr>
          <w:sz w:val="24"/>
          <w:szCs w:val="24"/>
        </w:rPr>
        <w:t>然而，這些只是大原則，這幾年來為了因應地方發展政策、地價變動狀況，因此在選定基準地也會參酌縣市政府地價發展做調整之</w:t>
      </w:r>
      <w:r w:rsidRPr="4CB5BC20" w:rsidR="4CB5BC20">
        <w:rPr>
          <w:sz w:val="24"/>
          <w:szCs w:val="24"/>
        </w:rPr>
        <w:t>。</w:t>
      </w:r>
    </w:p>
    <w:p w:rsidR="4CB5BC20" w:rsidP="4CB5BC20" w:rsidRDefault="4CB5BC20" w14:paraId="68B8A0C3" w14:textId="3FD32A1B">
      <w:pPr>
        <w:pStyle w:val="Normal"/>
        <w:ind w:left="0"/>
        <w:jc w:val="left"/>
        <w:rPr>
          <w:sz w:val="40"/>
          <w:szCs w:val="40"/>
        </w:rPr>
      </w:pPr>
      <w:r w:rsidRPr="4CB5BC20" w:rsidR="4CB5BC20">
        <w:rPr>
          <w:sz w:val="40"/>
          <w:szCs w:val="40"/>
        </w:rPr>
        <w:t>查估基準地地價</w:t>
      </w:r>
    </w:p>
    <w:p w:rsidR="4CB5BC20" w:rsidP="4CB5BC20" w:rsidRDefault="4CB5BC20" w14:paraId="5DD92E22" w14:textId="5273EBB5">
      <w:pPr>
        <w:pStyle w:val="Normal"/>
        <w:ind w:left="0"/>
        <w:jc w:val="left"/>
        <w:rPr>
          <w:sz w:val="24"/>
          <w:szCs w:val="24"/>
        </w:rPr>
      </w:pPr>
      <w:r w:rsidRPr="4CB5BC20" w:rsidR="4CB5BC20">
        <w:rPr>
          <w:sz w:val="24"/>
          <w:szCs w:val="24"/>
        </w:rPr>
        <w:t>應該按照相關規範推估基準地的正常價格</w:t>
      </w:r>
      <w:r w:rsidRPr="4CB5BC20" w:rsidR="4CB5BC20">
        <w:rPr>
          <w:sz w:val="24"/>
          <w:szCs w:val="24"/>
        </w:rPr>
        <w:t>。</w:t>
      </w:r>
      <w:r w:rsidRPr="4CB5BC20" w:rsidR="4CB5BC20">
        <w:rPr>
          <w:sz w:val="24"/>
          <w:szCs w:val="24"/>
        </w:rPr>
        <w:t>其價格以每年三月三十一日為準</w:t>
      </w:r>
      <w:r w:rsidRPr="4CB5BC20" w:rsidR="4CB5BC20">
        <w:rPr>
          <w:sz w:val="24"/>
          <w:szCs w:val="24"/>
        </w:rPr>
        <w:t>。</w:t>
      </w:r>
    </w:p>
    <w:p w:rsidR="4CB5BC20" w:rsidP="4CB5BC20" w:rsidRDefault="4CB5BC20" w14:paraId="0F68BFDF" w14:textId="30775E22">
      <w:pPr>
        <w:pStyle w:val="Normal"/>
        <w:ind w:left="0"/>
        <w:jc w:val="left"/>
        <w:rPr>
          <w:sz w:val="24"/>
          <w:szCs w:val="24"/>
        </w:rPr>
      </w:pPr>
      <w:r w:rsidRPr="4CB5BC20" w:rsidR="4CB5BC20">
        <w:rPr>
          <w:sz w:val="24"/>
          <w:szCs w:val="24"/>
        </w:rPr>
        <w:t>針對基準地地價，應該依不動產估價技術規則查估之且應該從比較法、收益法、成本法或其他適當估價方法中採取兩種</w:t>
      </w:r>
      <w:r w:rsidRPr="4CB5BC20" w:rsidR="4CB5BC20">
        <w:rPr>
          <w:sz w:val="24"/>
          <w:szCs w:val="24"/>
        </w:rPr>
        <w:t>(含)</w:t>
      </w:r>
      <w:r w:rsidRPr="4CB5BC20" w:rsidR="4CB5BC20">
        <w:rPr>
          <w:sz w:val="24"/>
          <w:szCs w:val="24"/>
        </w:rPr>
        <w:t>以上方法估價之。但因特殊情況致使無法採取兩種</w:t>
      </w:r>
      <w:r w:rsidRPr="4CB5BC20" w:rsidR="4CB5BC20">
        <w:rPr>
          <w:sz w:val="24"/>
          <w:szCs w:val="24"/>
        </w:rPr>
        <w:t>(含)</w:t>
      </w:r>
      <w:r w:rsidRPr="4CB5BC20" w:rsidR="4CB5BC20">
        <w:rPr>
          <w:sz w:val="24"/>
          <w:szCs w:val="24"/>
        </w:rPr>
        <w:t>以上方法估價，不在此限。</w:t>
      </w:r>
    </w:p>
    <w:p w:rsidR="4CB5BC20" w:rsidP="4CB5BC20" w:rsidRDefault="4CB5BC20" w14:paraId="6F720652" w14:textId="2892A876">
      <w:pPr>
        <w:pStyle w:val="Normal"/>
        <w:ind w:left="0"/>
        <w:jc w:val="left"/>
        <w:rPr>
          <w:sz w:val="24"/>
          <w:szCs w:val="24"/>
        </w:rPr>
      </w:pPr>
    </w:p>
    <w:p w:rsidR="4CB5BC20" w:rsidP="4CB5BC20" w:rsidRDefault="4CB5BC20" w14:paraId="077DB950" w14:textId="42B3A895">
      <w:pPr>
        <w:pStyle w:val="Normal"/>
        <w:ind w:left="0"/>
        <w:jc w:val="left"/>
        <w:rPr>
          <w:sz w:val="40"/>
          <w:szCs w:val="40"/>
        </w:rPr>
      </w:pPr>
      <w:r w:rsidRPr="4CB5BC20" w:rsidR="4CB5BC20">
        <w:rPr>
          <w:sz w:val="40"/>
          <w:szCs w:val="40"/>
        </w:rPr>
        <w:t>審議基準地地價</w:t>
      </w:r>
    </w:p>
    <w:p w:rsidR="4CB5BC20" w:rsidP="4CB5BC20" w:rsidRDefault="4CB5BC20" w14:paraId="448EDB3C" w14:textId="25299D0E">
      <w:pPr>
        <w:pStyle w:val="Normal"/>
        <w:jc w:val="left"/>
        <w:rPr>
          <w:sz w:val="24"/>
          <w:szCs w:val="24"/>
        </w:rPr>
      </w:pPr>
      <w:r w:rsidRPr="4CB5BC20" w:rsidR="4CB5BC20">
        <w:rPr>
          <w:sz w:val="24"/>
          <w:szCs w:val="24"/>
        </w:rPr>
        <w:t>直轄市或縣</w:t>
      </w:r>
      <w:r w:rsidRPr="4CB5BC20" w:rsidR="4CB5BC20">
        <w:rPr>
          <w:sz w:val="24"/>
          <w:szCs w:val="24"/>
        </w:rPr>
        <w:t>(市)地政機關應該依不動產估價技術規則第15條規定，決定基準地地價並填寫基準地估價報告表然後送請專案小組審議。</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2">
    <w:nsid w:val="53817c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71a9d58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3bac996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3e9ccd7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509d7fc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22957e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7a99e17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3b580e1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4aa0c0a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46b7837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a5380a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5f030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BCB2A7F"/>
    <w:rsid w:val="4CB5BC20"/>
    <w:rsid w:val="6BCB2A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B2A7F"/>
  <w15:chartTrackingRefBased/>
  <w15:docId w15:val="{5AC4C6EA-C44C-4C2C-914B-BFBDE6D79AB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282e97d138b0478e"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2024-04-24T04:48:50.0503392Z</dcterms:created>
  <dcterms:modified xsi:type="dcterms:W3CDTF">2024-04-25T06:38:03.6136958Z</dcterms:modified>
  <dc:creator>奕捷 黃</dc:creator>
  <lastModifiedBy>奕捷 黃</lastModifiedBy>
</coreProperties>
</file>