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3C1D430" wp14:paraId="2C078E63" wp14:textId="1FDEA087">
      <w:pPr>
        <w:jc w:val="center"/>
        <w:rPr>
          <w:sz w:val="72"/>
          <w:szCs w:val="72"/>
        </w:rPr>
      </w:pPr>
      <w:r w:rsidRPr="23C1D430" w:rsidR="23C1D430">
        <w:rPr>
          <w:sz w:val="72"/>
          <w:szCs w:val="72"/>
        </w:rPr>
        <w:t>不動產估價</w:t>
      </w:r>
      <w:r w:rsidRPr="23C1D430" w:rsidR="23C1D430">
        <w:rPr>
          <w:sz w:val="72"/>
          <w:szCs w:val="72"/>
        </w:rPr>
        <w:t>--</w:t>
      </w:r>
      <w:r w:rsidRPr="23C1D430" w:rsidR="23C1D430">
        <w:rPr>
          <w:sz w:val="72"/>
          <w:szCs w:val="72"/>
        </w:rPr>
        <w:t>路線價</w:t>
      </w:r>
    </w:p>
    <w:p w:rsidR="23C1D430" w:rsidP="23C1D430" w:rsidRDefault="23C1D430" w14:paraId="497C42B0" w14:textId="64145109">
      <w:pPr>
        <w:jc w:val="left"/>
        <w:rPr>
          <w:sz w:val="52"/>
          <w:szCs w:val="52"/>
        </w:rPr>
      </w:pPr>
      <w:r w:rsidRPr="23C1D430" w:rsidR="23C1D430">
        <w:rPr>
          <w:sz w:val="52"/>
          <w:szCs w:val="52"/>
        </w:rPr>
        <w:t>路線價</w:t>
      </w:r>
    </w:p>
    <w:p w:rsidR="23C1D430" w:rsidP="23C1D430" w:rsidRDefault="23C1D430" w14:paraId="632D7396" w14:textId="2EA46959">
      <w:pPr>
        <w:pStyle w:val="Normal"/>
        <w:jc w:val="left"/>
        <w:rPr>
          <w:sz w:val="48"/>
          <w:szCs w:val="48"/>
        </w:rPr>
      </w:pPr>
      <w:r w:rsidRPr="23C1D430" w:rsidR="23C1D430">
        <w:rPr>
          <w:sz w:val="48"/>
          <w:szCs w:val="48"/>
        </w:rPr>
        <w:t>說明</w:t>
      </w:r>
    </w:p>
    <w:p w:rsidR="23C1D430" w:rsidP="23C1D430" w:rsidRDefault="23C1D430" w14:paraId="5022D200" w14:textId="737885F8">
      <w:pPr>
        <w:pStyle w:val="Normal"/>
        <w:jc w:val="left"/>
        <w:rPr>
          <w:sz w:val="24"/>
          <w:szCs w:val="24"/>
        </w:rPr>
      </w:pPr>
      <w:r w:rsidRPr="23C1D430" w:rsidR="23C1D430">
        <w:rPr>
          <w:sz w:val="24"/>
          <w:szCs w:val="24"/>
        </w:rPr>
        <w:t>針對面臨特定接到而且具有可及性(參考，我的筆記，基地地價.docx裡提到五大特性)相等之市街土地，設定標準深度以求取在該深度上數宗土地之代表單價，然後將該單價附設於路線上。該單價被稱為該土地的路線價。</w:t>
      </w:r>
    </w:p>
    <w:p w:rsidR="23C1D430" w:rsidP="23C1D430" w:rsidRDefault="23C1D430" w14:paraId="14268CCB" w14:textId="3ACC50A9">
      <w:pPr>
        <w:jc w:val="left"/>
        <w:rPr>
          <w:sz w:val="48"/>
          <w:szCs w:val="48"/>
        </w:rPr>
      </w:pPr>
      <w:r w:rsidRPr="23C1D430" w:rsidR="23C1D430">
        <w:rPr>
          <w:sz w:val="48"/>
          <w:szCs w:val="48"/>
        </w:rPr>
        <w:t>估價</w:t>
      </w:r>
    </w:p>
    <w:p w:rsidR="23C1D430" w:rsidP="23C1D430" w:rsidRDefault="23C1D430" w14:paraId="206B6387" w14:textId="4D5D9AD3">
      <w:pPr>
        <w:pStyle w:val="Normal"/>
        <w:jc w:val="left"/>
        <w:rPr>
          <w:sz w:val="40"/>
          <w:szCs w:val="40"/>
        </w:rPr>
      </w:pPr>
      <w:r w:rsidRPr="23C1D430" w:rsidR="23C1D430">
        <w:rPr>
          <w:sz w:val="40"/>
          <w:szCs w:val="40"/>
        </w:rPr>
        <w:t>估價方法</w:t>
      </w:r>
    </w:p>
    <w:p w:rsidR="23C1D430" w:rsidP="23C1D430" w:rsidRDefault="23C1D430" w14:paraId="6D0E62D2" w14:textId="0E8F03C7">
      <w:pPr>
        <w:pStyle w:val="Normal"/>
        <w:jc w:val="left"/>
        <w:rPr>
          <w:sz w:val="40"/>
          <w:szCs w:val="40"/>
        </w:rPr>
      </w:pPr>
      <w:r w:rsidRPr="23C1D430" w:rsidR="23C1D430">
        <w:rPr>
          <w:sz w:val="40"/>
          <w:szCs w:val="40"/>
        </w:rPr>
        <w:t>目前</w:t>
      </w:r>
      <w:r w:rsidRPr="23C1D430" w:rsidR="23C1D430">
        <w:rPr>
          <w:sz w:val="40"/>
          <w:szCs w:val="40"/>
        </w:rPr>
        <w:t>疑慮</w:t>
      </w:r>
    </w:p>
    <w:p w:rsidR="23C1D430" w:rsidP="23C1D430" w:rsidRDefault="23C1D430" w14:paraId="6888270B" w14:textId="1D41E5F1">
      <w:pPr>
        <w:pStyle w:val="Normal"/>
        <w:jc w:val="left"/>
        <w:rPr>
          <w:sz w:val="24"/>
          <w:szCs w:val="24"/>
        </w:rPr>
      </w:pPr>
      <w:r w:rsidRPr="23C1D430" w:rsidR="23C1D430">
        <w:rPr>
          <w:sz w:val="24"/>
          <w:szCs w:val="24"/>
        </w:rPr>
        <w:t>目前路線價估價存在著下列疑慮</w:t>
      </w:r>
      <w:r w:rsidRPr="23C1D430" w:rsidR="23C1D430">
        <w:rPr>
          <w:sz w:val="24"/>
          <w:szCs w:val="24"/>
        </w:rPr>
        <w:t>：</w:t>
      </w:r>
    </w:p>
    <w:p w:rsidR="23C1D430" w:rsidP="23C1D430" w:rsidRDefault="23C1D430" w14:paraId="23369162" w14:textId="21BCDEB9">
      <w:pPr>
        <w:pStyle w:val="Normal"/>
        <w:jc w:val="left"/>
        <w:rPr>
          <w:sz w:val="24"/>
          <w:szCs w:val="24"/>
        </w:rPr>
      </w:pPr>
      <w:r w:rsidRPr="23C1D430" w:rsidR="23C1D430">
        <w:rPr>
          <w:sz w:val="24"/>
          <w:szCs w:val="24"/>
        </w:rPr>
        <w:t>繁榮街道路線價區段之存廢問題</w:t>
      </w:r>
      <w:r w:rsidRPr="23C1D430" w:rsidR="23C1D430">
        <w:rPr>
          <w:sz w:val="24"/>
          <w:szCs w:val="24"/>
        </w:rPr>
        <w:t>。</w:t>
      </w:r>
    </w:p>
    <w:p w:rsidR="23C1D430" w:rsidP="23C1D430" w:rsidRDefault="23C1D430" w14:paraId="40D15C15" w14:textId="0DAFF2EC">
      <w:pPr>
        <w:pStyle w:val="Normal"/>
        <w:jc w:val="left"/>
        <w:rPr>
          <w:sz w:val="24"/>
          <w:szCs w:val="24"/>
        </w:rPr>
      </w:pPr>
      <w:r w:rsidRPr="23C1D430" w:rsidR="23C1D430">
        <w:rPr>
          <w:sz w:val="24"/>
          <w:szCs w:val="24"/>
        </w:rPr>
        <w:t>繁榮街道路線價區段之認定標準。</w:t>
      </w:r>
    </w:p>
    <w:p w:rsidR="23C1D430" w:rsidP="23C1D430" w:rsidRDefault="23C1D430" w14:paraId="508380CD" w14:textId="25CC20F4">
      <w:pPr>
        <w:pStyle w:val="Normal"/>
        <w:jc w:val="left"/>
        <w:rPr>
          <w:sz w:val="24"/>
          <w:szCs w:val="24"/>
        </w:rPr>
      </w:pPr>
      <w:r w:rsidRPr="23C1D430" w:rsidR="23C1D430">
        <w:rPr>
          <w:sz w:val="24"/>
          <w:szCs w:val="24"/>
        </w:rPr>
        <w:t>合理之臨街深度標準</w:t>
      </w:r>
      <w:r w:rsidRPr="23C1D430" w:rsidR="23C1D430">
        <w:rPr>
          <w:sz w:val="24"/>
          <w:szCs w:val="24"/>
        </w:rPr>
        <w:t>。</w:t>
      </w:r>
    </w:p>
    <w:p w:rsidR="23C1D430" w:rsidP="23C1D430" w:rsidRDefault="23C1D430" w14:paraId="74974427" w14:textId="20C0C09F">
      <w:pPr>
        <w:pStyle w:val="Normal"/>
        <w:jc w:val="left"/>
        <w:rPr>
          <w:sz w:val="24"/>
          <w:szCs w:val="24"/>
        </w:rPr>
      </w:pPr>
      <w:r w:rsidRPr="23C1D430" w:rsidR="23C1D430">
        <w:rPr>
          <w:sz w:val="24"/>
          <w:szCs w:val="24"/>
        </w:rPr>
        <w:t>應該按照使用分區或商業使用強度區分不同標準深度嗎</w:t>
      </w:r>
      <w:r w:rsidRPr="23C1D430" w:rsidR="23C1D430">
        <w:rPr>
          <w:sz w:val="24"/>
          <w:szCs w:val="24"/>
        </w:rPr>
        <w:t>?</w:t>
      </w:r>
    </w:p>
    <w:p w:rsidR="23C1D430" w:rsidP="23C1D430" w:rsidRDefault="23C1D430" w14:paraId="15D6D9CB" w14:textId="1A2DA5BF">
      <w:pPr>
        <w:pStyle w:val="Normal"/>
        <w:jc w:val="left"/>
        <w:rPr>
          <w:sz w:val="24"/>
          <w:szCs w:val="24"/>
        </w:rPr>
      </w:pPr>
      <w:r w:rsidRPr="23C1D430" w:rsidR="23C1D430">
        <w:rPr>
          <w:sz w:val="24"/>
          <w:szCs w:val="24"/>
        </w:rPr>
        <w:t>鄰街深度指數之合理級距。</w:t>
      </w:r>
    </w:p>
    <w:p w:rsidR="23C1D430" w:rsidP="23C1D430" w:rsidRDefault="23C1D430" w14:paraId="755C463D" w14:textId="156921CC">
      <w:pPr>
        <w:pStyle w:val="Normal"/>
        <w:jc w:val="left"/>
        <w:rPr>
          <w:sz w:val="24"/>
          <w:szCs w:val="24"/>
        </w:rPr>
      </w:pPr>
      <w:r w:rsidRPr="23C1D430" w:rsidR="23C1D430">
        <w:rPr>
          <w:sz w:val="24"/>
          <w:szCs w:val="24"/>
        </w:rPr>
        <w:t>針對深度遞減率，應該考慮畸零地情況，訂定逆遞減率嗎</w:t>
      </w:r>
      <w:r w:rsidRPr="23C1D430" w:rsidR="23C1D430">
        <w:rPr>
          <w:sz w:val="24"/>
          <w:szCs w:val="24"/>
        </w:rPr>
        <w:t>?</w:t>
      </w:r>
    </w:p>
    <w:p w:rsidR="23C1D430" w:rsidP="23C1D430" w:rsidRDefault="23C1D430" w14:paraId="0F004FE8" w14:textId="4EE3F55F">
      <w:pPr>
        <w:pStyle w:val="Normal"/>
        <w:jc w:val="left"/>
        <w:rPr>
          <w:sz w:val="24"/>
          <w:szCs w:val="24"/>
        </w:rPr>
      </w:pPr>
      <w:r w:rsidRPr="23C1D430" w:rsidR="23C1D430">
        <w:rPr>
          <w:sz w:val="24"/>
          <w:szCs w:val="24"/>
        </w:rPr>
        <w:t>針對深度遞減率的價格差距，應該隨著深度遞減增加之嗎</w:t>
      </w:r>
      <w:r w:rsidRPr="23C1D430" w:rsidR="23C1D430">
        <w:rPr>
          <w:sz w:val="24"/>
          <w:szCs w:val="24"/>
        </w:rPr>
        <w:t>?</w:t>
      </w:r>
    </w:p>
    <w:p w:rsidR="23C1D430" w:rsidP="23C1D430" w:rsidRDefault="23C1D430" w14:paraId="5D8D81AF" w14:textId="1D91CC1C">
      <w:pPr>
        <w:pStyle w:val="Normal"/>
        <w:jc w:val="left"/>
        <w:rPr>
          <w:sz w:val="24"/>
          <w:szCs w:val="24"/>
        </w:rPr>
      </w:pPr>
      <w:r w:rsidRPr="23C1D430" w:rsidR="23C1D430">
        <w:rPr>
          <w:sz w:val="24"/>
          <w:szCs w:val="24"/>
        </w:rPr>
        <w:t>針對路角地，應該加成嗎?若是，針對其加成之臨街寬度標準及逐級加成標準應該配合</w:t>
      </w:r>
      <w:r w:rsidRPr="23C1D430" w:rsidR="23C1D430">
        <w:rPr>
          <w:sz w:val="24"/>
          <w:szCs w:val="24"/>
        </w:rPr>
        <w:t>使用分區或商業使用強度區分嗎?</w:t>
      </w:r>
    </w:p>
    <w:p w:rsidR="23C1D430" w:rsidP="23C1D430" w:rsidRDefault="23C1D430" w14:paraId="1898458B" w14:textId="026FECDE">
      <w:pPr>
        <w:pStyle w:val="Normal"/>
        <w:jc w:val="left"/>
        <w:rPr>
          <w:sz w:val="24"/>
          <w:szCs w:val="24"/>
        </w:rPr>
      </w:pPr>
      <w:r w:rsidRPr="23C1D430" w:rsidR="23C1D430">
        <w:rPr>
          <w:sz w:val="24"/>
          <w:szCs w:val="24"/>
        </w:rPr>
        <w:t>針對雙面臨街之土地、三角形地之角度修正率、不規則地形土地之計算原則等相關標準之訂定，其詳加探討研究</w:t>
      </w:r>
      <w:r w:rsidRPr="23C1D430" w:rsidR="23C1D430">
        <w:rPr>
          <w:sz w:val="24"/>
          <w:szCs w:val="24"/>
        </w:rPr>
        <w:t>。</w:t>
      </w:r>
    </w:p>
    <w:p w:rsidR="23C1D430" w:rsidP="23C1D430" w:rsidRDefault="23C1D430" w14:paraId="1B0A9185" w14:textId="3E0F4C6F">
      <w:pPr>
        <w:pStyle w:val="Normal"/>
        <w:jc w:val="left"/>
        <w:rPr>
          <w:sz w:val="36"/>
          <w:szCs w:val="36"/>
        </w:rPr>
      </w:pPr>
      <w:r w:rsidRPr="23C1D430" w:rsidR="23C1D430">
        <w:rPr>
          <w:sz w:val="36"/>
          <w:szCs w:val="36"/>
        </w:rPr>
        <w:t>參考來源</w:t>
      </w:r>
    </w:p>
    <w:p w:rsidR="23C1D430" w:rsidP="23C1D430" w:rsidRDefault="23C1D430" w14:paraId="2E107115" w14:textId="76FE19D5">
      <w:pPr>
        <w:pStyle w:val="Normal"/>
        <w:jc w:val="left"/>
        <w:rPr>
          <w:sz w:val="24"/>
          <w:szCs w:val="24"/>
        </w:rPr>
      </w:pPr>
      <w:r w:rsidRPr="23C1D430" w:rsidR="23C1D430">
        <w:rPr>
          <w:sz w:val="24"/>
          <w:szCs w:val="24"/>
        </w:rPr>
        <w:t>不動產估價課本CH17 page 347。</w:t>
      </w:r>
    </w:p>
    <w:p w:rsidR="23C1D430" w:rsidP="23C1D430" w:rsidRDefault="23C1D430" w14:paraId="08ED511C" w14:textId="45B47D9E">
      <w:pPr>
        <w:pStyle w:val="Normal"/>
        <w:jc w:val="left"/>
        <w:rPr>
          <w:sz w:val="24"/>
          <w:szCs w:val="24"/>
        </w:rPr>
      </w:pPr>
    </w:p>
    <w:p w:rsidR="23C1D430" w:rsidP="23C1D430" w:rsidRDefault="23C1D430" w14:paraId="35235604" w14:textId="4560A5B2">
      <w:pPr>
        <w:pStyle w:val="Normal"/>
        <w:jc w:val="left"/>
        <w:rPr>
          <w:sz w:val="24"/>
          <w:szCs w:val="24"/>
        </w:rPr>
      </w:pPr>
    </w:p>
    <w:p w:rsidR="23C1D430" w:rsidP="23C1D430" w:rsidRDefault="23C1D430" w14:paraId="19B17D8F" w14:textId="1C89B969">
      <w:pPr>
        <w:pStyle w:val="Normal"/>
        <w:jc w:val="left"/>
        <w:rPr>
          <w:sz w:val="24"/>
          <w:szCs w:val="24"/>
        </w:rPr>
      </w:pPr>
    </w:p>
    <w:p w:rsidR="23C1D430" w:rsidP="23C1D430" w:rsidRDefault="23C1D430" w14:paraId="2457FB3B" w14:textId="326EFC70">
      <w:pPr>
        <w:jc w:val="left"/>
        <w:rPr>
          <w:sz w:val="48"/>
          <w:szCs w:val="48"/>
        </w:rPr>
      </w:pPr>
      <w:r w:rsidRPr="23C1D430" w:rsidR="23C1D430">
        <w:rPr>
          <w:sz w:val="48"/>
          <w:szCs w:val="48"/>
        </w:rPr>
        <w:t>劃分</w:t>
      </w:r>
    </w:p>
    <w:p w:rsidR="23C1D430" w:rsidP="23C1D430" w:rsidRDefault="23C1D430" w14:paraId="7152DE85" w14:textId="16637122">
      <w:pPr>
        <w:pStyle w:val="Normal"/>
        <w:ind w:left="0"/>
        <w:rPr>
          <w:noProof w:val="0"/>
          <w:lang w:val="en-US"/>
        </w:rPr>
      </w:pPr>
      <w:r w:rsidRPr="23C1D430" w:rsidR="23C1D430">
        <w:rPr>
          <w:sz w:val="24"/>
          <w:szCs w:val="24"/>
        </w:rPr>
        <w:t>主要</w:t>
      </w:r>
      <w:r w:rsidRPr="23C1D430" w:rsidR="23C1D430">
        <w:rPr>
          <w:sz w:val="24"/>
          <w:szCs w:val="24"/>
        </w:rPr>
        <w:t>規範於</w:t>
      </w:r>
      <w:r w:rsidRPr="23C1D430" w:rsidR="23C1D430">
        <w:rPr>
          <w:noProof w:val="0"/>
          <w:lang w:val="en-US"/>
        </w:rPr>
        <w:t>地價調查估計規則第18條第2項。</w:t>
      </w:r>
    </w:p>
    <w:p w:rsidR="23C1D430" w:rsidP="23C1D430" w:rsidRDefault="23C1D430" w14:paraId="6F61E5DC" w14:textId="2743A058">
      <w:pPr>
        <w:pStyle w:val="Normal"/>
        <w:jc w:val="left"/>
        <w:rPr>
          <w:sz w:val="24"/>
          <w:szCs w:val="24"/>
        </w:rPr>
      </w:pPr>
    </w:p>
    <w:p w:rsidR="23C1D430" w:rsidP="23C1D430" w:rsidRDefault="23C1D430" w14:paraId="53DA8279" w14:textId="442CDBE1">
      <w:pPr>
        <w:pStyle w:val="Normal"/>
        <w:jc w:val="left"/>
        <w:rPr>
          <w:sz w:val="24"/>
          <w:szCs w:val="24"/>
        </w:rPr>
      </w:pPr>
      <w:r w:rsidRPr="23C1D430" w:rsidR="23C1D430">
        <w:rPr>
          <w:sz w:val="24"/>
          <w:szCs w:val="24"/>
        </w:rPr>
        <w:t>情況一</w:t>
      </w:r>
      <w:r w:rsidRPr="23C1D430" w:rsidR="23C1D430">
        <w:rPr>
          <w:sz w:val="24"/>
          <w:szCs w:val="24"/>
        </w:rPr>
        <w:t>：</w:t>
      </w:r>
    </w:p>
    <w:p w:rsidR="23C1D430" w:rsidP="23C1D430" w:rsidRDefault="23C1D430" w14:paraId="2816E136" w14:textId="22F8D22E">
      <w:pPr>
        <w:pStyle w:val="Normal"/>
        <w:rPr>
          <w:noProof w:val="0"/>
          <w:lang w:val="en-US"/>
        </w:rPr>
      </w:pPr>
      <w:r w:rsidRPr="23C1D430" w:rsidR="23C1D430">
        <w:rPr>
          <w:sz w:val="24"/>
          <w:szCs w:val="24"/>
        </w:rPr>
        <w:t>針對</w:t>
      </w:r>
      <w:r w:rsidRPr="23C1D430" w:rsidR="23C1D430">
        <w:rPr>
          <w:noProof w:val="0"/>
          <w:lang w:val="en-US"/>
        </w:rPr>
        <w:t>已開闢道路及其二側或一側帶狀土地，若其地價與一般地價區段之地價有顯著差異</w:t>
      </w:r>
      <w:r w:rsidRPr="23C1D430" w:rsidR="23C1D430">
        <w:rPr>
          <w:noProof w:val="0"/>
          <w:lang w:val="en-US"/>
        </w:rPr>
        <w:t>，則得就具有顯著商業活動之繁榮地區，依當地發展及地價高低情形，劃設繁榮街道路線價區段。</w:t>
      </w:r>
    </w:p>
    <w:p w:rsidR="23C1D430" w:rsidP="23C1D430" w:rsidRDefault="23C1D430" w14:paraId="2FA97829" w14:textId="4B53FBA3">
      <w:pPr>
        <w:pStyle w:val="Normal"/>
        <w:rPr>
          <w:noProof w:val="0"/>
          <w:lang w:val="en-US"/>
        </w:rPr>
      </w:pPr>
    </w:p>
    <w:p w:rsidR="23C1D430" w:rsidP="23C1D430" w:rsidRDefault="23C1D430" w14:paraId="249582C4" w14:textId="056D26D7">
      <w:pPr>
        <w:pStyle w:val="Normal"/>
        <w:rPr>
          <w:noProof w:val="0"/>
          <w:lang w:val="en-US"/>
        </w:rPr>
      </w:pPr>
      <w:r w:rsidRPr="23C1D430" w:rsidR="23C1D430">
        <w:rPr>
          <w:noProof w:val="0"/>
          <w:lang w:val="en-US"/>
        </w:rPr>
        <w:t>情況二：</w:t>
      </w:r>
    </w:p>
    <w:p w:rsidR="23C1D430" w:rsidP="23C1D430" w:rsidRDefault="23C1D430" w14:paraId="429F9A3C" w14:textId="5925BE97">
      <w:pPr>
        <w:pStyle w:val="Normal"/>
        <w:rPr>
          <w:noProof w:val="0"/>
          <w:lang w:val="en-US"/>
        </w:rPr>
      </w:pPr>
      <w:r w:rsidRPr="23C1D430" w:rsidR="23C1D430">
        <w:rPr>
          <w:noProof w:val="0"/>
          <w:lang w:val="en-US"/>
        </w:rPr>
        <w:t>針對繁榮街道以外已開闢之道路且鄰接該道路之土地，若其地價一般地價區段之地價顯著較高者，則得於適當範圍劃設一般路線價區段</w:t>
      </w:r>
      <w:r w:rsidRPr="23C1D430" w:rsidR="23C1D430">
        <w:rPr>
          <w:noProof w:val="0"/>
          <w:lang w:val="en-US"/>
        </w:rPr>
        <w:t>。</w:t>
      </w:r>
    </w:p>
    <w:p w:rsidR="23C1D430" w:rsidP="23C1D430" w:rsidRDefault="23C1D430" w14:paraId="4CDC0B62" w14:textId="08C57F79">
      <w:pPr>
        <w:pStyle w:val="Normal"/>
        <w:jc w:val="left"/>
        <w:rPr>
          <w:noProof w:val="0"/>
          <w:lang w:val="en-US"/>
        </w:rPr>
      </w:pPr>
    </w:p>
    <w:p w:rsidR="23C1D430" w:rsidP="23C1D430" w:rsidRDefault="23C1D430" w14:paraId="4242EDC2" w14:textId="1233CE4E">
      <w:pPr>
        <w:jc w:val="left"/>
        <w:rPr>
          <w:sz w:val="48"/>
          <w:szCs w:val="48"/>
        </w:rPr>
      </w:pPr>
      <w:r w:rsidRPr="23C1D430" w:rsidR="23C1D430">
        <w:rPr>
          <w:sz w:val="48"/>
          <w:szCs w:val="48"/>
        </w:rPr>
        <w:t>與宗地單位地價之相關資訊</w:t>
      </w:r>
    </w:p>
    <w:p w:rsidR="23C1D430" w:rsidP="23C1D430" w:rsidRDefault="23C1D430" w14:paraId="23CFA96A" w14:textId="7BC1EEDA">
      <w:pPr>
        <w:pStyle w:val="Normal"/>
        <w:ind w:left="0"/>
        <w:rPr>
          <w:noProof w:val="0"/>
          <w:lang w:val="en-US"/>
        </w:rPr>
      </w:pPr>
      <w:r w:rsidRPr="23C1D430" w:rsidR="23C1D430">
        <w:rPr>
          <w:noProof w:val="0"/>
          <w:lang w:val="en-US"/>
        </w:rPr>
        <w:t>地價調查估計規則第23條第1項提到，針對屬於繁榮街道路價區段之土地，應該由直轄市或縣(市)地政機關依繁榮街道路價區段的宗地單位地價之計算為原則計算之。</w:t>
      </w:r>
    </w:p>
    <w:p w:rsidR="23C1D430" w:rsidP="23C1D430" w:rsidRDefault="23C1D430" w14:paraId="275C6B8C" w14:textId="4A908C68">
      <w:pPr>
        <w:pStyle w:val="Normal"/>
        <w:jc w:val="left"/>
        <w:rPr>
          <w:sz w:val="48"/>
          <w:szCs w:val="48"/>
        </w:rPr>
      </w:pPr>
      <w:r w:rsidRPr="23C1D430" w:rsidR="23C1D430">
        <w:rPr>
          <w:sz w:val="48"/>
          <w:szCs w:val="48"/>
        </w:rPr>
        <w:t>與</w:t>
      </w:r>
      <w:r w:rsidRPr="23C1D430" w:rsidR="23C1D430">
        <w:rPr>
          <w:noProof w:val="0"/>
          <w:sz w:val="48"/>
          <w:szCs w:val="48"/>
          <w:lang w:val="en-US"/>
        </w:rPr>
        <w:t>直轄市或縣</w:t>
      </w:r>
      <w:r w:rsidRPr="23C1D430" w:rsidR="23C1D430">
        <w:rPr>
          <w:noProof w:val="0"/>
          <w:sz w:val="48"/>
          <w:szCs w:val="48"/>
          <w:lang w:val="en-US"/>
        </w:rPr>
        <w:t>(市)地政機關</w:t>
      </w:r>
      <w:r w:rsidRPr="23C1D430" w:rsidR="23C1D430">
        <w:rPr>
          <w:sz w:val="48"/>
          <w:szCs w:val="48"/>
        </w:rPr>
        <w:t>之相關資訊</w:t>
      </w:r>
    </w:p>
    <w:p w:rsidR="23C1D430" w:rsidP="23C1D430" w:rsidRDefault="23C1D430" w14:paraId="0E893762" w14:textId="5EACF546">
      <w:pPr>
        <w:pStyle w:val="Normal"/>
        <w:ind w:left="0"/>
        <w:rPr>
          <w:noProof w:val="0"/>
          <w:lang w:val="en-US"/>
        </w:rPr>
      </w:pPr>
      <w:r w:rsidRPr="23C1D430" w:rsidR="23C1D430">
        <w:rPr>
          <w:noProof w:val="0"/>
          <w:lang w:val="en-US"/>
        </w:rPr>
        <w:t>根據地價調查估計規則第24條。</w:t>
      </w:r>
    </w:p>
    <w:p w:rsidR="23C1D430" w:rsidP="23C1D430" w:rsidRDefault="23C1D430" w14:paraId="7C9AA37E" w14:textId="6545DBA3">
      <w:pPr>
        <w:pStyle w:val="Normal"/>
        <w:rPr>
          <w:noProof w:val="0"/>
          <w:lang w:val="en-US"/>
        </w:rPr>
      </w:pPr>
      <w:r w:rsidRPr="23C1D430" w:rsidR="23C1D430">
        <w:rPr>
          <w:noProof w:val="0"/>
          <w:lang w:val="en-US"/>
        </w:rPr>
        <w:t>繁榮街道路線價區段宗地單位地價計算原則應該由直轄市或縣(市)地政機關訂定。</w:t>
      </w:r>
    </w:p>
    <w:p w:rsidR="23C1D430" w:rsidP="23C1D430" w:rsidRDefault="23C1D430" w14:paraId="5D60F8D1" w14:textId="469C96F2">
      <w:pPr>
        <w:pStyle w:val="Normal"/>
        <w:jc w:val="left"/>
        <w:rPr>
          <w:sz w:val="48"/>
          <w:szCs w:val="48"/>
        </w:rPr>
      </w:pPr>
      <w:r w:rsidRPr="23C1D430" w:rsidR="23C1D430">
        <w:rPr>
          <w:sz w:val="48"/>
          <w:szCs w:val="48"/>
        </w:rPr>
        <w:t>相關規範</w:t>
      </w:r>
    </w:p>
    <w:p w:rsidR="23C1D430" w:rsidP="23C1D430" w:rsidRDefault="23C1D430" w14:paraId="2FF1C239" w14:textId="052BAC15">
      <w:pPr>
        <w:pStyle w:val="Normal"/>
        <w:jc w:val="left"/>
        <w:rPr>
          <w:sz w:val="48"/>
          <w:szCs w:val="48"/>
        </w:rPr>
      </w:pPr>
      <w:r w:rsidRPr="23C1D430" w:rsidR="23C1D430">
        <w:rPr>
          <w:sz w:val="48"/>
          <w:szCs w:val="48"/>
        </w:rPr>
        <w:t>相關法條</w:t>
      </w:r>
    </w:p>
    <w:p w:rsidR="23C1D430" w:rsidP="23C1D430" w:rsidRDefault="23C1D430" w14:paraId="655FA0A8" w14:textId="58998C41">
      <w:pPr>
        <w:pStyle w:val="Normal"/>
        <w:ind w:left="0"/>
        <w:rPr>
          <w:noProof w:val="0"/>
          <w:lang w:val="en-US"/>
        </w:rPr>
      </w:pPr>
      <w:r w:rsidRPr="23C1D430" w:rsidR="23C1D430">
        <w:rPr>
          <w:noProof w:val="0"/>
          <w:lang w:val="en-US"/>
        </w:rPr>
        <w:t>地價調查估計規則第18條第2項。</w:t>
      </w:r>
    </w:p>
    <w:p w:rsidR="23C1D430" w:rsidP="23C1D430" w:rsidRDefault="23C1D430" w14:paraId="1235DC61" w14:textId="465EB023">
      <w:pPr>
        <w:pStyle w:val="Normal"/>
        <w:ind w:left="0"/>
        <w:rPr>
          <w:noProof w:val="0"/>
          <w:lang w:val="en-US"/>
        </w:rPr>
      </w:pPr>
      <w:r w:rsidRPr="23C1D430" w:rsidR="23C1D430">
        <w:rPr>
          <w:noProof w:val="0"/>
          <w:lang w:val="en-US"/>
        </w:rPr>
        <w:t>地價調查估計規則第19條。</w:t>
      </w:r>
    </w:p>
    <w:p w:rsidR="23C1D430" w:rsidP="23C1D430" w:rsidRDefault="23C1D430" w14:paraId="04ED0098" w14:textId="4FDF76DB">
      <w:pPr>
        <w:pStyle w:val="Normal"/>
        <w:ind w:left="0"/>
        <w:rPr>
          <w:noProof w:val="0"/>
          <w:lang w:val="en-US"/>
        </w:rPr>
      </w:pPr>
      <w:r w:rsidRPr="23C1D430" w:rsidR="23C1D430">
        <w:rPr>
          <w:noProof w:val="0"/>
          <w:lang w:val="en-US"/>
        </w:rPr>
        <w:t>地價調查估計規則第23條。</w:t>
      </w:r>
    </w:p>
    <w:p w:rsidR="23C1D430" w:rsidP="23C1D430" w:rsidRDefault="23C1D430" w14:paraId="1AFED54D" w14:textId="13F20AC8">
      <w:pPr>
        <w:pStyle w:val="Normal"/>
        <w:ind w:left="0"/>
        <w:rPr>
          <w:noProof w:val="0"/>
          <w:lang w:val="en-US"/>
        </w:rPr>
      </w:pPr>
      <w:r w:rsidRPr="23C1D430" w:rsidR="23C1D430">
        <w:rPr>
          <w:noProof w:val="0"/>
          <w:lang w:val="en-US"/>
        </w:rPr>
        <w:t>地價調查估計規則第24條。</w:t>
      </w:r>
    </w:p>
    <w:p w:rsidR="23C1D430" w:rsidP="23C1D430" w:rsidRDefault="23C1D430" w14:paraId="538C4E77" w14:textId="20E65398">
      <w:pPr>
        <w:pStyle w:val="Normal"/>
        <w:jc w:val="left"/>
        <w:rPr>
          <w:sz w:val="48"/>
          <w:szCs w:val="48"/>
        </w:rPr>
      </w:pPr>
      <w:r w:rsidRPr="23C1D430" w:rsidR="23C1D430">
        <w:rPr>
          <w:sz w:val="48"/>
          <w:szCs w:val="48"/>
        </w:rPr>
        <w:t>所有法條</w:t>
      </w:r>
    </w:p>
    <w:p w:rsidR="23C1D430" w:rsidP="23C1D430" w:rsidRDefault="23C1D430" w14:paraId="20D382E4" w14:textId="28916982">
      <w:pPr>
        <w:pStyle w:val="ListParagraph"/>
        <w:numPr>
          <w:ilvl w:val="0"/>
          <w:numId w:val="2"/>
        </w:numPr>
        <w:rPr>
          <w:noProof w:val="0"/>
          <w:lang w:val="en-US"/>
        </w:rPr>
      </w:pPr>
    </w:p>
    <w:p w:rsidR="23C1D430" w:rsidP="23C1D430" w:rsidRDefault="23C1D430" w14:paraId="3E03AFB1" w14:textId="77A3A080">
      <w:pPr>
        <w:pStyle w:val="Normal"/>
        <w:ind w:left="0"/>
        <w:rPr>
          <w:noProof w:val="0"/>
          <w:lang w:val="en-US"/>
        </w:rPr>
      </w:pPr>
      <w:r w:rsidRPr="23C1D430" w:rsidR="23C1D430">
        <w:rPr>
          <w:noProof w:val="0"/>
          <w:lang w:val="en-US"/>
        </w:rPr>
        <w:t>地價調查估計規則第18條第2項。</w:t>
      </w:r>
    </w:p>
    <w:p w:rsidR="23C1D430" w:rsidP="23C1D430" w:rsidRDefault="23C1D430" w14:paraId="74457BC3" w14:textId="397AE27C">
      <w:pPr>
        <w:pStyle w:val="Normal"/>
        <w:ind w:left="0"/>
        <w:rPr>
          <w:noProof w:val="0"/>
          <w:lang w:val="en-US"/>
        </w:rPr>
      </w:pPr>
    </w:p>
    <w:p w:rsidR="23C1D430" w:rsidP="23C1D430" w:rsidRDefault="23C1D430" w14:paraId="0C8081FA" w14:textId="573BB21E">
      <w:pPr>
        <w:pStyle w:val="Normal"/>
      </w:pPr>
      <w:hyperlink r:id="R713fcb1a114345e5">
        <w:r w:rsidRPr="23C1D430" w:rsidR="23C1D430">
          <w:rPr>
            <w:rStyle w:val="Hyperlink"/>
            <w:noProof w:val="0"/>
            <w:lang w:val="en-US"/>
          </w:rPr>
          <w:t>第 18 條</w:t>
        </w:r>
      </w:hyperlink>
    </w:p>
    <w:p w:rsidR="23C1D430" w:rsidP="23C1D430" w:rsidRDefault="23C1D430" w14:paraId="29DCB1EB" w14:textId="23A8FFA8">
      <w:pPr>
        <w:pStyle w:val="Normal"/>
        <w:rPr>
          <w:noProof w:val="0"/>
          <w:lang w:val="en-US"/>
        </w:rPr>
      </w:pPr>
      <w:r w:rsidRPr="23C1D430" w:rsidR="23C1D430">
        <w:rPr>
          <w:noProof w:val="0"/>
          <w:lang w:val="en-US"/>
        </w:rPr>
        <w:t>已開闢道路及其二側或一側帶狀土地，其地價與一般地價區段之地價有顯著差異者，得就具有顯著商業活動之繁榮地區，依當地發展及地價高低情形，劃設繁榮街道路線價區段。繁榮街道以外已開闢之道路，鄰接該道路之土地，其地價顯著較高者，得於適當範圍劃設一般路線價區段。</w:t>
      </w:r>
    </w:p>
    <w:p w:rsidR="23C1D430" w:rsidP="23C1D430" w:rsidRDefault="23C1D430" w14:paraId="5A64776A" w14:textId="2A560FEE">
      <w:pPr>
        <w:pStyle w:val="ListParagraph"/>
        <w:numPr>
          <w:ilvl w:val="0"/>
          <w:numId w:val="2"/>
        </w:numPr>
        <w:rPr>
          <w:noProof w:val="0"/>
          <w:lang w:val="en-US"/>
        </w:rPr>
      </w:pPr>
    </w:p>
    <w:p w:rsidR="23C1D430" w:rsidP="23C1D430" w:rsidRDefault="23C1D430" w14:paraId="388283AC" w14:textId="61EFC8F3">
      <w:pPr>
        <w:pStyle w:val="Normal"/>
        <w:rPr>
          <w:noProof w:val="0"/>
          <w:lang w:val="en-US"/>
        </w:rPr>
      </w:pPr>
      <w:r w:rsidRPr="23C1D430" w:rsidR="23C1D430">
        <w:rPr>
          <w:noProof w:val="0"/>
          <w:lang w:val="en-US"/>
        </w:rPr>
        <w:t>地價調查估計規則第19條。</w:t>
      </w:r>
    </w:p>
    <w:p w:rsidR="23C1D430" w:rsidP="23C1D430" w:rsidRDefault="23C1D430" w14:paraId="77BA53F3" w14:textId="77A975A3">
      <w:pPr>
        <w:pStyle w:val="Normal"/>
        <w:rPr>
          <w:noProof w:val="0"/>
          <w:lang w:val="en-US"/>
        </w:rPr>
      </w:pPr>
    </w:p>
    <w:p w:rsidR="23C1D430" w:rsidP="23C1D430" w:rsidRDefault="23C1D430" w14:paraId="6B337094" w14:textId="4E480A06">
      <w:pPr>
        <w:pStyle w:val="Normal"/>
      </w:pPr>
      <w:hyperlink r:id="R8c61d0be7490461f">
        <w:r w:rsidRPr="23C1D430" w:rsidR="23C1D430">
          <w:rPr>
            <w:rStyle w:val="Hyperlink"/>
            <w:noProof w:val="0"/>
            <w:lang w:val="en-US"/>
          </w:rPr>
          <w:t>第 19 條</w:t>
        </w:r>
      </w:hyperlink>
    </w:p>
    <w:p w:rsidR="23C1D430" w:rsidP="23C1D430" w:rsidRDefault="23C1D430" w14:paraId="0B9CFDBD" w14:textId="7973486D">
      <w:pPr>
        <w:pStyle w:val="Normal"/>
        <w:rPr>
          <w:noProof w:val="0"/>
          <w:lang w:val="en-US"/>
        </w:rPr>
      </w:pPr>
      <w:r w:rsidRPr="23C1D430" w:rsidR="23C1D430">
        <w:rPr>
          <w:noProof w:val="0"/>
          <w:lang w:val="en-US"/>
        </w:rPr>
        <w:t>地價區段之界線，應以地形地貌等自然界線、道路、溝渠或使用分區、編定使用地類別等使用管制之界線或適當之地籍線為準。繁榮街道</w:t>
      </w:r>
      <w:r w:rsidRPr="23C1D430" w:rsidR="23C1D430">
        <w:rPr>
          <w:noProof w:val="0"/>
          <w:lang w:val="en-US"/>
        </w:rPr>
        <w:t>路線價</w:t>
      </w:r>
      <w:r w:rsidRPr="23C1D430" w:rsidR="23C1D430">
        <w:rPr>
          <w:noProof w:val="0"/>
          <w:lang w:val="en-US"/>
        </w:rPr>
        <w:t>區段，應以裡地線為區段界線。</w:t>
      </w:r>
      <w:r w:rsidRPr="23C1D430" w:rsidR="23C1D430">
        <w:rPr>
          <w:noProof w:val="0"/>
          <w:lang w:val="en-US"/>
        </w:rPr>
        <w:t>路線價</w:t>
      </w:r>
      <w:r w:rsidRPr="23C1D430" w:rsidR="23C1D430">
        <w:rPr>
          <w:noProof w:val="0"/>
          <w:lang w:val="en-US"/>
        </w:rPr>
        <w:t>區段之界線，應以距離臨街線適當深度範圍為準。</w:t>
      </w:r>
    </w:p>
    <w:p w:rsidR="23C1D430" w:rsidP="23C1D430" w:rsidRDefault="23C1D430" w14:paraId="7D0EDF36" w14:textId="60429AD1">
      <w:pPr>
        <w:pStyle w:val="Normal"/>
        <w:rPr>
          <w:noProof w:val="0"/>
          <w:lang w:val="en-US"/>
        </w:rPr>
      </w:pPr>
    </w:p>
    <w:p w:rsidR="23C1D430" w:rsidP="23C1D430" w:rsidRDefault="23C1D430" w14:paraId="73A70BBC" w14:textId="75F8246C">
      <w:pPr>
        <w:pStyle w:val="ListParagraph"/>
        <w:numPr>
          <w:ilvl w:val="0"/>
          <w:numId w:val="2"/>
        </w:numPr>
        <w:rPr>
          <w:noProof w:val="0"/>
          <w:lang w:val="en-US"/>
        </w:rPr>
      </w:pPr>
    </w:p>
    <w:p w:rsidR="23C1D430" w:rsidP="23C1D430" w:rsidRDefault="23C1D430" w14:paraId="3A5F6574" w14:textId="3A41ACAF">
      <w:pPr>
        <w:pStyle w:val="Normal"/>
        <w:rPr>
          <w:noProof w:val="0"/>
          <w:lang w:val="en-US"/>
        </w:rPr>
      </w:pPr>
      <w:r w:rsidRPr="23C1D430" w:rsidR="23C1D430">
        <w:rPr>
          <w:noProof w:val="0"/>
          <w:lang w:val="en-US"/>
        </w:rPr>
        <w:t>地價調查估計規則第23條。</w:t>
      </w:r>
    </w:p>
    <w:p w:rsidR="23C1D430" w:rsidP="23C1D430" w:rsidRDefault="23C1D430" w14:paraId="74CB7D2C" w14:textId="6AB6A6BD">
      <w:pPr>
        <w:pStyle w:val="Normal"/>
        <w:rPr>
          <w:noProof w:val="0"/>
          <w:lang w:val="en-US"/>
        </w:rPr>
      </w:pPr>
    </w:p>
    <w:p w:rsidR="23C1D430" w:rsidP="23C1D430" w:rsidRDefault="23C1D430" w14:paraId="0B68AC2C" w14:textId="0CC0D06D">
      <w:pPr>
        <w:pStyle w:val="Normal"/>
      </w:pPr>
      <w:hyperlink r:id="R170722f0d9ee4728">
        <w:r w:rsidRPr="23C1D430" w:rsidR="23C1D430">
          <w:rPr>
            <w:rStyle w:val="Hyperlink"/>
            <w:noProof w:val="0"/>
            <w:lang w:val="en-US"/>
          </w:rPr>
          <w:t>第 23 條</w:t>
        </w:r>
      </w:hyperlink>
    </w:p>
    <w:p w:rsidR="23C1D430" w:rsidP="23C1D430" w:rsidRDefault="23C1D430" w14:paraId="2241E1ED" w14:textId="4015343C">
      <w:pPr>
        <w:pStyle w:val="Normal"/>
        <w:rPr>
          <w:noProof w:val="0"/>
          <w:lang w:val="en-US"/>
        </w:rPr>
      </w:pPr>
      <w:r w:rsidRPr="23C1D430" w:rsidR="23C1D430">
        <w:rPr>
          <w:noProof w:val="0"/>
          <w:lang w:val="en-US"/>
        </w:rPr>
        <w:t>宗地單位地價之計算方法如下</w:t>
      </w:r>
      <w:r w:rsidRPr="23C1D430" w:rsidR="23C1D430">
        <w:rPr>
          <w:noProof w:val="0"/>
          <w:lang w:val="en-US"/>
        </w:rPr>
        <w:t>：</w:t>
      </w:r>
    </w:p>
    <w:p w:rsidR="23C1D430" w:rsidP="23C1D430" w:rsidRDefault="23C1D430" w14:paraId="76CB3D8F" w14:textId="706ADD04">
      <w:pPr>
        <w:pStyle w:val="Normal"/>
        <w:rPr>
          <w:noProof w:val="0"/>
          <w:lang w:val="en-US"/>
        </w:rPr>
      </w:pPr>
      <w:r w:rsidRPr="23C1D430" w:rsidR="23C1D430">
        <w:rPr>
          <w:noProof w:val="0"/>
          <w:lang w:val="en-US"/>
        </w:rPr>
        <w:t>一、屬於繁榮街道</w:t>
      </w:r>
      <w:r w:rsidRPr="23C1D430" w:rsidR="23C1D430">
        <w:rPr>
          <w:noProof w:val="0"/>
          <w:lang w:val="en-US"/>
        </w:rPr>
        <w:t>路線價</w:t>
      </w:r>
      <w:r w:rsidRPr="23C1D430" w:rsidR="23C1D430">
        <w:rPr>
          <w:noProof w:val="0"/>
          <w:lang w:val="en-US"/>
        </w:rPr>
        <w:t>區段之土地，由直轄市或縣（市）地政機關依繁榮街道</w:t>
      </w:r>
      <w:r w:rsidRPr="23C1D430" w:rsidR="23C1D430">
        <w:rPr>
          <w:noProof w:val="0"/>
          <w:lang w:val="en-US"/>
        </w:rPr>
        <w:t>路線價</w:t>
      </w:r>
      <w:r w:rsidRPr="23C1D430" w:rsidR="23C1D430">
        <w:rPr>
          <w:noProof w:val="0"/>
          <w:lang w:val="en-US"/>
        </w:rPr>
        <w:t>區段宗地單位地價計算原則計算</w:t>
      </w:r>
      <w:r w:rsidRPr="23C1D430" w:rsidR="23C1D430">
        <w:rPr>
          <w:noProof w:val="0"/>
          <w:lang w:val="en-US"/>
        </w:rPr>
        <w:t>。</w:t>
      </w:r>
    </w:p>
    <w:p w:rsidR="23C1D430" w:rsidP="23C1D430" w:rsidRDefault="23C1D430" w14:paraId="4B3EA96F" w14:textId="38623735">
      <w:pPr>
        <w:pStyle w:val="Normal"/>
        <w:rPr>
          <w:noProof w:val="0"/>
          <w:lang w:val="en-US"/>
        </w:rPr>
      </w:pPr>
      <w:r w:rsidRPr="23C1D430" w:rsidR="23C1D430">
        <w:rPr>
          <w:noProof w:val="0"/>
          <w:lang w:val="en-US"/>
        </w:rPr>
        <w:t>二、其他地價區段之土地，以區段地價作為宗地單位地價</w:t>
      </w:r>
      <w:r w:rsidRPr="23C1D430" w:rsidR="23C1D430">
        <w:rPr>
          <w:noProof w:val="0"/>
          <w:lang w:val="en-US"/>
        </w:rPr>
        <w:t>。</w:t>
      </w:r>
    </w:p>
    <w:p w:rsidR="23C1D430" w:rsidP="23C1D430" w:rsidRDefault="23C1D430" w14:paraId="504E172E" w14:textId="6F5B8D8F">
      <w:pPr>
        <w:pStyle w:val="Normal"/>
        <w:rPr>
          <w:noProof w:val="0"/>
          <w:lang w:val="en-US"/>
        </w:rPr>
      </w:pPr>
      <w:r w:rsidRPr="23C1D430" w:rsidR="23C1D430">
        <w:rPr>
          <w:noProof w:val="0"/>
          <w:lang w:val="en-US"/>
        </w:rPr>
        <w:t>三、跨越二個以上地價區段之土地，分別按各該區段之面積乘以各該區段地價之積之和，除以宗地面積作為宗地單位地價</w:t>
      </w:r>
      <w:r w:rsidRPr="23C1D430" w:rsidR="23C1D430">
        <w:rPr>
          <w:noProof w:val="0"/>
          <w:lang w:val="en-US"/>
        </w:rPr>
        <w:t>。</w:t>
      </w:r>
    </w:p>
    <w:p w:rsidR="23C1D430" w:rsidP="23C1D430" w:rsidRDefault="23C1D430" w14:paraId="2D7F4C9C" w14:textId="73F57519">
      <w:pPr>
        <w:pStyle w:val="Normal"/>
        <w:rPr>
          <w:noProof w:val="0"/>
          <w:lang w:val="en-US"/>
        </w:rPr>
      </w:pPr>
      <w:r w:rsidRPr="23C1D430" w:rsidR="23C1D430">
        <w:rPr>
          <w:noProof w:val="0"/>
          <w:lang w:val="en-US"/>
        </w:rPr>
        <w:t>四、宗地單位地價應以每平方公尺新臺幣元表示，計算至個位數，未達個位數四捨五入</w:t>
      </w:r>
      <w:r w:rsidRPr="23C1D430" w:rsidR="23C1D430">
        <w:rPr>
          <w:noProof w:val="0"/>
          <w:lang w:val="en-US"/>
        </w:rPr>
        <w:t>。</w:t>
      </w:r>
    </w:p>
    <w:p w:rsidR="23C1D430" w:rsidP="23C1D430" w:rsidRDefault="23C1D430" w14:paraId="64E3FFA3" w14:textId="2F652F07">
      <w:pPr>
        <w:pStyle w:val="Normal"/>
        <w:rPr>
          <w:noProof w:val="0"/>
          <w:lang w:val="en-US"/>
        </w:rPr>
      </w:pPr>
    </w:p>
    <w:p w:rsidR="23C1D430" w:rsidP="23C1D430" w:rsidRDefault="23C1D430" w14:paraId="43D06432" w14:textId="59CEBF86">
      <w:pPr>
        <w:pStyle w:val="Normal"/>
        <w:rPr>
          <w:noProof w:val="0"/>
          <w:lang w:val="en-US"/>
        </w:rPr>
      </w:pPr>
      <w:r w:rsidRPr="23C1D430" w:rsidR="23C1D430">
        <w:rPr>
          <w:noProof w:val="0"/>
          <w:lang w:val="en-US"/>
        </w:rPr>
        <w:t>(4)</w:t>
      </w:r>
    </w:p>
    <w:p w:rsidR="23C1D430" w:rsidP="23C1D430" w:rsidRDefault="23C1D430" w14:paraId="157D2108" w14:textId="594023BE">
      <w:pPr>
        <w:pStyle w:val="Normal"/>
        <w:rPr>
          <w:noProof w:val="0"/>
          <w:lang w:val="en-US"/>
        </w:rPr>
      </w:pPr>
      <w:r w:rsidRPr="23C1D430" w:rsidR="23C1D430">
        <w:rPr>
          <w:noProof w:val="0"/>
          <w:lang w:val="en-US"/>
        </w:rPr>
        <w:t>地價調查估計規則第24條。</w:t>
      </w:r>
    </w:p>
    <w:p w:rsidR="23C1D430" w:rsidP="23C1D430" w:rsidRDefault="23C1D430" w14:paraId="03446112" w14:textId="12C53619">
      <w:pPr>
        <w:pStyle w:val="Normal"/>
        <w:rPr>
          <w:noProof w:val="0"/>
          <w:lang w:val="en-US"/>
        </w:rPr>
      </w:pPr>
    </w:p>
    <w:p w:rsidR="23C1D430" w:rsidP="23C1D430" w:rsidRDefault="23C1D430" w14:paraId="693984F6" w14:textId="57D888E5">
      <w:pPr>
        <w:pStyle w:val="Normal"/>
      </w:pPr>
      <w:hyperlink r:id="Rf4fbd8886004461e">
        <w:r w:rsidRPr="23C1D430" w:rsidR="23C1D430">
          <w:rPr>
            <w:rStyle w:val="Hyperlink"/>
            <w:noProof w:val="0"/>
            <w:lang w:val="en-US"/>
          </w:rPr>
          <w:t>第 24 條</w:t>
        </w:r>
      </w:hyperlink>
    </w:p>
    <w:p w:rsidR="23C1D430" w:rsidP="23C1D430" w:rsidRDefault="23C1D430" w14:paraId="550BA584" w14:textId="7D3C2B32">
      <w:pPr>
        <w:pStyle w:val="Normal"/>
        <w:rPr>
          <w:noProof w:val="0"/>
          <w:lang w:val="en-US"/>
        </w:rPr>
      </w:pPr>
      <w:r w:rsidRPr="23C1D430" w:rsidR="23C1D430">
        <w:rPr>
          <w:noProof w:val="0"/>
          <w:lang w:val="en-US"/>
        </w:rPr>
        <w:t>下列事項應由直轄市或縣（市）地政機關訂定</w:t>
      </w:r>
      <w:r w:rsidRPr="23C1D430" w:rsidR="23C1D430">
        <w:rPr>
          <w:noProof w:val="0"/>
          <w:lang w:val="en-US"/>
        </w:rPr>
        <w:t>：</w:t>
      </w:r>
    </w:p>
    <w:p w:rsidR="23C1D430" w:rsidP="23C1D430" w:rsidRDefault="23C1D430" w14:paraId="3E01DFEB" w14:textId="36746F9A">
      <w:pPr>
        <w:pStyle w:val="Normal"/>
        <w:rPr>
          <w:noProof w:val="0"/>
          <w:lang w:val="en-US"/>
        </w:rPr>
      </w:pPr>
      <w:r w:rsidRPr="23C1D430" w:rsidR="23C1D430">
        <w:rPr>
          <w:noProof w:val="0"/>
          <w:lang w:val="en-US"/>
        </w:rPr>
        <w:t>一、實施地價調查估計作業規定</w:t>
      </w:r>
      <w:r w:rsidRPr="23C1D430" w:rsidR="23C1D430">
        <w:rPr>
          <w:noProof w:val="0"/>
          <w:lang w:val="en-US"/>
        </w:rPr>
        <w:t>。</w:t>
      </w:r>
    </w:p>
    <w:p w:rsidR="23C1D430" w:rsidP="23C1D430" w:rsidRDefault="23C1D430" w14:paraId="461125BA" w14:textId="334A0A3F">
      <w:pPr>
        <w:pStyle w:val="Normal"/>
        <w:rPr>
          <w:noProof w:val="0"/>
          <w:lang w:val="en-US"/>
        </w:rPr>
      </w:pPr>
      <w:r w:rsidRPr="23C1D430" w:rsidR="23C1D430">
        <w:rPr>
          <w:noProof w:val="0"/>
          <w:lang w:val="en-US"/>
        </w:rPr>
        <w:t>二、繁榮街道</w:t>
      </w:r>
      <w:r w:rsidRPr="23C1D430" w:rsidR="23C1D430">
        <w:rPr>
          <w:noProof w:val="0"/>
          <w:lang w:val="en-US"/>
        </w:rPr>
        <w:t>路線價</w:t>
      </w:r>
      <w:r w:rsidRPr="23C1D430" w:rsidR="23C1D430">
        <w:rPr>
          <w:noProof w:val="0"/>
          <w:lang w:val="en-US"/>
        </w:rPr>
        <w:t>區段宗地單位地價計算原則</w:t>
      </w:r>
      <w:r w:rsidRPr="23C1D430" w:rsidR="23C1D430">
        <w:rPr>
          <w:noProof w:val="0"/>
          <w:lang w:val="en-US"/>
        </w:rPr>
        <w:t>。</w:t>
      </w:r>
    </w:p>
    <w:p w:rsidR="23C1D430" w:rsidP="23C1D430" w:rsidRDefault="23C1D430" w14:paraId="025C9B35" w14:textId="1319CDA6">
      <w:pPr>
        <w:pStyle w:val="Normal"/>
        <w:rPr>
          <w:noProof w:val="0"/>
          <w:lang w:val="en-US"/>
        </w:rPr>
      </w:pPr>
      <w:r w:rsidRPr="23C1D430" w:rsidR="23C1D430">
        <w:rPr>
          <w:noProof w:val="0"/>
          <w:lang w:val="en-US"/>
        </w:rPr>
        <w:t>三、建物標準單價表</w:t>
      </w:r>
      <w:r w:rsidRPr="23C1D430" w:rsidR="23C1D430">
        <w:rPr>
          <w:noProof w:val="0"/>
          <w:lang w:val="en-US"/>
        </w:rPr>
        <w:t>。</w:t>
      </w:r>
    </w:p>
    <w:p w:rsidR="23C1D430" w:rsidP="23C1D430" w:rsidRDefault="23C1D430" w14:paraId="7A77805E" w14:textId="532D27AB">
      <w:pPr>
        <w:pStyle w:val="Normal"/>
        <w:rPr>
          <w:noProof w:val="0"/>
          <w:lang w:val="en-US"/>
        </w:rPr>
      </w:pPr>
      <w:r w:rsidRPr="23C1D430" w:rsidR="23C1D430">
        <w:rPr>
          <w:noProof w:val="0"/>
          <w:lang w:val="en-US"/>
        </w:rPr>
        <w:t>四、建物耐用年數及每年折舊率</w:t>
      </w:r>
      <w:r w:rsidRPr="23C1D430" w:rsidR="23C1D430">
        <w:rPr>
          <w:noProof w:val="0"/>
          <w:lang w:val="en-US"/>
        </w:rPr>
        <w:t>。</w:t>
      </w:r>
    </w:p>
    <w:p w:rsidR="23C1D430" w:rsidP="23C1D430" w:rsidRDefault="23C1D430" w14:paraId="1F47BFE7" w14:textId="6508D5C4">
      <w:pPr>
        <w:pStyle w:val="Normal"/>
        <w:rPr>
          <w:noProof w:val="0"/>
          <w:lang w:val="en-US"/>
        </w:rPr>
      </w:pPr>
      <w:r w:rsidRPr="23C1D430" w:rsidR="23C1D430">
        <w:rPr>
          <w:noProof w:val="0"/>
          <w:lang w:val="en-US"/>
        </w:rPr>
        <w:t>五、全棟建物之裝潢、設備及庭園設施等費用</w:t>
      </w:r>
      <w:r w:rsidRPr="23C1D430" w:rsidR="23C1D430">
        <w:rPr>
          <w:noProof w:val="0"/>
          <w:lang w:val="en-US"/>
        </w:rPr>
        <w:t>。</w:t>
      </w:r>
    </w:p>
    <w:p w:rsidR="23C1D430" w:rsidP="23C1D430" w:rsidRDefault="23C1D430" w14:paraId="7224C1F0" w14:textId="5A49CF30">
      <w:pPr>
        <w:pStyle w:val="Normal"/>
        <w:rPr>
          <w:noProof w:val="0"/>
          <w:lang w:val="en-US"/>
        </w:rPr>
      </w:pPr>
      <w:r w:rsidRPr="23C1D430" w:rsidR="23C1D430">
        <w:rPr>
          <w:noProof w:val="0"/>
          <w:lang w:val="en-US"/>
        </w:rPr>
        <w:t>六、土地每單位種植農作改良物面積標準單價或農作改良物每株標準單價</w:t>
      </w:r>
      <w:r w:rsidRPr="23C1D430" w:rsidR="23C1D430">
        <w:rPr>
          <w:noProof w:val="0"/>
          <w:lang w:val="en-US"/>
        </w:rPr>
        <w:t>。</w:t>
      </w:r>
    </w:p>
    <w:p w:rsidR="23C1D430" w:rsidP="23C1D430" w:rsidRDefault="23C1D430" w14:paraId="0E475B10" w14:textId="363FA453">
      <w:pPr>
        <w:pStyle w:val="Normal"/>
        <w:rPr>
          <w:noProof w:val="0"/>
          <w:lang w:val="en-US"/>
        </w:rPr>
      </w:pPr>
      <w:r w:rsidRPr="23C1D430" w:rsidR="23C1D430">
        <w:rPr>
          <w:noProof w:val="0"/>
          <w:lang w:val="en-US"/>
        </w:rPr>
        <w:t>七、土地收益資本化率及建物收益資本化率</w:t>
      </w:r>
      <w:r w:rsidRPr="23C1D430" w:rsidR="23C1D430">
        <w:rPr>
          <w:noProof w:val="0"/>
          <w:lang w:val="en-US"/>
        </w:rPr>
        <w:t>。</w:t>
      </w:r>
    </w:p>
    <w:p w:rsidR="23C1D430" w:rsidP="23C1D430" w:rsidRDefault="23C1D430" w14:paraId="0D7F4DA8" w14:textId="6F1D8246">
      <w:pPr>
        <w:pStyle w:val="Normal"/>
        <w:rPr>
          <w:noProof w:val="0"/>
          <w:lang w:val="en-US"/>
        </w:rPr>
      </w:pPr>
      <w:r w:rsidRPr="23C1D430" w:rsidR="23C1D430">
        <w:rPr>
          <w:noProof w:val="0"/>
          <w:lang w:val="en-US"/>
        </w:rPr>
        <w:t>八、調整至估價基準日地價用之比率</w:t>
      </w:r>
      <w:r w:rsidRPr="23C1D430" w:rsidR="23C1D430">
        <w:rPr>
          <w:noProof w:val="0"/>
          <w:lang w:val="en-US"/>
        </w:rPr>
        <w:t>。</w:t>
      </w:r>
    </w:p>
    <w:p w:rsidR="23C1D430" w:rsidP="23C1D430" w:rsidRDefault="23C1D430" w14:paraId="5BA7FE47" w14:textId="2F3D829F">
      <w:pPr>
        <w:pStyle w:val="Normal"/>
        <w:rPr>
          <w:noProof w:val="0"/>
          <w:lang w:val="en-US"/>
        </w:rPr>
      </w:pPr>
      <w:r w:rsidRPr="23C1D430" w:rsidR="23C1D430">
        <w:rPr>
          <w:noProof w:val="0"/>
          <w:lang w:val="en-US"/>
        </w:rPr>
        <w:t>九、依影響地價區域因素評價基準製作各直轄市、縣（市）或鄉（鎮、市、區）影響地價區域因素評價基準明細表</w:t>
      </w:r>
      <w:r w:rsidRPr="23C1D430" w:rsidR="23C1D430">
        <w:rPr>
          <w:noProof w:val="0"/>
          <w:lang w:val="en-US"/>
        </w:rPr>
        <w:t>。</w:t>
      </w:r>
    </w:p>
    <w:p w:rsidR="23C1D430" w:rsidP="23C1D430" w:rsidRDefault="23C1D430" w14:paraId="794FE408" w14:textId="1163B1D7">
      <w:pPr>
        <w:pStyle w:val="Normal"/>
        <w:rPr>
          <w:noProof w:val="0"/>
          <w:lang w:val="en-US"/>
        </w:rPr>
      </w:pPr>
      <w:r w:rsidRPr="23C1D430" w:rsidR="23C1D430">
        <w:rPr>
          <w:noProof w:val="0"/>
          <w:lang w:val="en-US"/>
        </w:rPr>
        <w:t>前項規定之事項，於地價調查估計授權地政事務所辦理之地區，得部分授權地政事務所定之</w:t>
      </w:r>
      <w:r w:rsidRPr="23C1D430" w:rsidR="23C1D430">
        <w:rPr>
          <w:noProof w:val="0"/>
          <w:lang w:val="en-US"/>
        </w:rPr>
        <w:t>。</w:t>
      </w:r>
    </w:p>
    <w:p w:rsidR="23C1D430" w:rsidP="23C1D430" w:rsidRDefault="23C1D430" w14:paraId="047B484B" w14:textId="36649322">
      <w:pPr>
        <w:pStyle w:val="Normal"/>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1adedd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6dde5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2C52CC"/>
    <w:rsid w:val="23C1D430"/>
    <w:rsid w:val="3B2C5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C52CC"/>
  <w15:chartTrackingRefBased/>
  <w15:docId w15:val="{D9F3499C-7375-4D17-B6B9-D3E72CC5AF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aw.moj.gov.tw/LawClass/LawSingle.aspx?pcode=D0060005&amp;flno=19&amp;kw=%e8%b7%af%e7%b7%9a%e5%83%b9" TargetMode="External" Id="R713fcb1a114345e5" /><Relationship Type="http://schemas.openxmlformats.org/officeDocument/2006/relationships/hyperlink" Target="https://law.moj.gov.tw/LawClass/LawSingle.aspx?pcode=D0060005&amp;flno=19&amp;kw=%e8%b7%af%e7%b7%9a%e5%83%b9" TargetMode="External" Id="R8c61d0be7490461f" /><Relationship Type="http://schemas.openxmlformats.org/officeDocument/2006/relationships/hyperlink" Target="https://law.moj.gov.tw/LawClass/LawSingle.aspx?pcode=D0060005&amp;flno=23&amp;kw=%e8%b7%af%e7%b7%9a%e5%83%b9" TargetMode="External" Id="R170722f0d9ee4728" /><Relationship Type="http://schemas.openxmlformats.org/officeDocument/2006/relationships/hyperlink" Target="https://law.moj.gov.tw/LawClass/LawSingle.aspx?pcode=D0060005&amp;flno=24&amp;kw=%e8%b7%af%e7%b7%9a%e5%83%b9" TargetMode="External" Id="Rf4fbd8886004461e" /><Relationship Type="http://schemas.openxmlformats.org/officeDocument/2006/relationships/numbering" Target="numbering.xml" Id="Rd5a784ac3f5b426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2024-04-24T04:48:49.3116599Z</dcterms:created>
  <dcterms:modified xsi:type="dcterms:W3CDTF">2024-04-25T01:53:56.9664127Z</dcterms:modified>
  <dc:creator>奕捷 黃</dc:creator>
  <lastModifiedBy>奕捷 黃</lastModifiedBy>
</coreProperties>
</file>