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ED9004" wp14:paraId="2C078E63" wp14:textId="1DA1370C">
      <w:pPr>
        <w:pStyle w:val="Normal"/>
        <w:jc w:val="center"/>
        <w:rPr>
          <w:rFonts w:ascii="Aptos" w:hAnsi="Aptos" w:eastAsia="Aptos" w:cs="Aptos"/>
          <w:b w:val="0"/>
          <w:bCs w:val="0"/>
          <w:i w:val="0"/>
          <w:iCs w:val="0"/>
          <w:caps w:val="0"/>
          <w:smallCaps w:val="0"/>
          <w:noProof w:val="0"/>
          <w:color w:val="000000" w:themeColor="text1" w:themeTint="FF" w:themeShade="FF"/>
          <w:sz w:val="72"/>
          <w:szCs w:val="72"/>
          <w:lang w:val="en-US"/>
        </w:rPr>
      </w:pPr>
      <w:r w:rsidRPr="29ED9004" w:rsidR="29ED9004">
        <w:rPr>
          <w:rFonts w:ascii="Aptos" w:hAnsi="Aptos" w:eastAsia="Aptos" w:cs="Aptos"/>
          <w:b w:val="0"/>
          <w:bCs w:val="0"/>
          <w:i w:val="0"/>
          <w:iCs w:val="0"/>
          <w:caps w:val="0"/>
          <w:smallCaps w:val="0"/>
          <w:noProof w:val="0"/>
          <w:color w:val="000000" w:themeColor="text1" w:themeTint="FF" w:themeShade="FF"/>
          <w:sz w:val="72"/>
          <w:szCs w:val="72"/>
          <w:lang w:val="en-US"/>
        </w:rPr>
        <w:t>不動產估價</w:t>
      </w:r>
      <w:r w:rsidRPr="29ED9004" w:rsidR="29ED9004">
        <w:rPr>
          <w:rFonts w:ascii="Aptos" w:hAnsi="Aptos" w:eastAsia="Aptos" w:cs="Aptos"/>
          <w:b w:val="0"/>
          <w:bCs w:val="0"/>
          <w:i w:val="0"/>
          <w:iCs w:val="0"/>
          <w:caps w:val="0"/>
          <w:smallCaps w:val="0"/>
          <w:noProof w:val="0"/>
          <w:color w:val="000000" w:themeColor="text1" w:themeTint="FF" w:themeShade="FF"/>
          <w:sz w:val="72"/>
          <w:szCs w:val="72"/>
          <w:lang w:val="en-US"/>
        </w:rPr>
        <w:t>--</w:t>
      </w:r>
      <w:r w:rsidRPr="29ED9004" w:rsidR="29ED9004">
        <w:rPr>
          <w:rFonts w:ascii="Aptos" w:hAnsi="Aptos" w:eastAsia="Aptos" w:cs="Aptos"/>
          <w:b w:val="0"/>
          <w:bCs w:val="0"/>
          <w:i w:val="0"/>
          <w:iCs w:val="0"/>
          <w:caps w:val="0"/>
          <w:smallCaps w:val="0"/>
          <w:noProof w:val="0"/>
          <w:color w:val="000000" w:themeColor="text1" w:themeTint="FF" w:themeShade="FF"/>
          <w:sz w:val="72"/>
          <w:szCs w:val="72"/>
          <w:lang w:val="en-US"/>
        </w:rPr>
        <w:t>都市更新權利估價</w:t>
      </w:r>
    </w:p>
    <w:p w:rsidR="29ED9004" w:rsidP="29ED9004" w:rsidRDefault="29ED9004" w14:paraId="3614E334" w14:textId="21F6A5F6">
      <w:pPr>
        <w:pStyle w:val="Normal"/>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9ED9004" w:rsidR="29ED9004">
        <w:rPr>
          <w:rFonts w:ascii="Aptos" w:hAnsi="Aptos" w:eastAsia="Aptos" w:cs="Aptos"/>
          <w:b w:val="0"/>
          <w:bCs w:val="0"/>
          <w:i w:val="0"/>
          <w:iCs w:val="0"/>
          <w:caps w:val="0"/>
          <w:smallCaps w:val="0"/>
          <w:noProof w:val="0"/>
          <w:color w:val="000000" w:themeColor="text1" w:themeTint="FF" w:themeShade="FF"/>
          <w:sz w:val="52"/>
          <w:szCs w:val="52"/>
          <w:lang w:val="en-US"/>
        </w:rPr>
        <w:t>都市更新權利估價</w:t>
      </w:r>
    </w:p>
    <w:p w:rsidR="29ED9004" w:rsidP="29ED9004" w:rsidRDefault="29ED9004" w14:paraId="01BAABDB" w14:textId="4275AD3E">
      <w:pPr>
        <w:pStyle w:val="Normal"/>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9ED9004" w:rsidR="29ED9004">
        <w:rPr>
          <w:rFonts w:ascii="Aptos" w:hAnsi="Aptos" w:eastAsia="Aptos" w:cs="Aptos"/>
          <w:b w:val="0"/>
          <w:bCs w:val="0"/>
          <w:i w:val="0"/>
          <w:iCs w:val="0"/>
          <w:caps w:val="0"/>
          <w:smallCaps w:val="0"/>
          <w:noProof w:val="0"/>
          <w:color w:val="000000" w:themeColor="text1" w:themeTint="FF" w:themeShade="FF"/>
          <w:sz w:val="48"/>
          <w:szCs w:val="48"/>
          <w:lang w:val="en-US"/>
        </w:rPr>
        <w:t>相關規範</w:t>
      </w:r>
    </w:p>
    <w:p w:rsidR="29ED9004" w:rsidP="29ED9004" w:rsidRDefault="29ED9004" w14:paraId="63B06B2E" w14:textId="5BE61B94">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權利變換主要規範於</w:t>
      </w:r>
    </w:p>
    <w:p w:rsidR="29ED9004" w:rsidP="29ED9004" w:rsidRDefault="29ED9004" w14:paraId="0E25372C" w14:textId="67968FA9">
      <w:pPr>
        <w:pStyle w:val="ListParagraph"/>
        <w:numPr>
          <w:ilvl w:val="0"/>
          <w:numId w:val="1"/>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都市更新條例</w:t>
      </w:r>
    </w:p>
    <w:p w:rsidR="29ED9004" w:rsidP="29ED9004" w:rsidRDefault="29ED9004" w14:paraId="23668381" w14:textId="2EDE3073">
      <w:pPr>
        <w:pStyle w:val="ListParagraph"/>
        <w:numPr>
          <w:ilvl w:val="0"/>
          <w:numId w:val="1"/>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都市更新條例施行細則</w:t>
      </w:r>
    </w:p>
    <w:p w:rsidR="29ED9004" w:rsidP="29ED9004" w:rsidRDefault="29ED9004" w14:paraId="18166AA3" w14:textId="445A35DE">
      <w:pPr>
        <w:pStyle w:val="ListParagraph"/>
        <w:numPr>
          <w:ilvl w:val="0"/>
          <w:numId w:val="1"/>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都市更新權變換實施辦法</w:t>
      </w:r>
    </w:p>
    <w:p w:rsidR="29ED9004" w:rsidP="29ED9004" w:rsidRDefault="29ED9004" w14:paraId="39845C69" w14:textId="2355A8D9">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還有相關都市更新相關法規</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w:t>
      </w:r>
    </w:p>
    <w:p w:rsidR="29ED9004" w:rsidP="29ED9004" w:rsidRDefault="29ED9004" w14:paraId="289D2BA9" w14:textId="70C4CB47">
      <w:pPr>
        <w:pStyle w:val="Normal"/>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9ED9004" w:rsidR="29ED9004">
        <w:rPr>
          <w:rFonts w:ascii="Aptos" w:hAnsi="Aptos" w:eastAsia="Aptos" w:cs="Aptos"/>
          <w:b w:val="0"/>
          <w:bCs w:val="0"/>
          <w:i w:val="0"/>
          <w:iCs w:val="0"/>
          <w:caps w:val="0"/>
          <w:smallCaps w:val="0"/>
          <w:noProof w:val="0"/>
          <w:color w:val="000000" w:themeColor="text1" w:themeTint="FF" w:themeShade="FF"/>
          <w:sz w:val="48"/>
          <w:szCs w:val="48"/>
          <w:lang w:val="en-US"/>
        </w:rPr>
        <w:t>相關程序</w:t>
      </w:r>
    </w:p>
    <w:p w:rsidR="29ED9004" w:rsidP="29ED9004" w:rsidRDefault="29ED9004" w14:paraId="755C0A2C" w14:textId="575A7ADF">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根據現行法規，都市更新辦理權利變換的作業階段依序如下</w:t>
      </w:r>
    </w:p>
    <w:p w:rsidR="29ED9004" w:rsidP="29ED9004" w:rsidRDefault="29ED9004" w14:paraId="0BB26181" w14:textId="31E1E961">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更新前權利調查前權利調查與處理階段</w:t>
      </w:r>
    </w:p>
    <w:p w:rsidR="29ED9004" w:rsidP="29ED9004" w:rsidRDefault="29ED9004" w14:paraId="071B0574" w14:textId="1B8E0B07">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更新後權利調查與分配階段</w:t>
      </w:r>
    </w:p>
    <w:p w:rsidR="29ED9004" w:rsidP="29ED9004" w:rsidRDefault="29ED9004" w14:paraId="1B1562F9" w14:textId="59E1865D">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權利變換計畫</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草案</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擬定與報核階段</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w:t>
      </w:r>
    </w:p>
    <w:p w:rsidR="29ED9004" w:rsidP="29ED9004" w:rsidRDefault="29ED9004" w14:paraId="7CCDD80A" w14:textId="6769DC21">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權利變換計畫審定與核定階段。</w:t>
      </w:r>
    </w:p>
    <w:p w:rsidR="29ED9004" w:rsidP="29ED9004" w:rsidRDefault="29ED9004" w14:paraId="7A41E5FA" w14:textId="0D58C03F">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29ED9004" w:rsidR="29ED9004">
        <w:rPr>
          <w:rFonts w:ascii="Aptos" w:hAnsi="Aptos" w:eastAsia="Aptos" w:cs="Aptos"/>
          <w:b w:val="0"/>
          <w:bCs w:val="0"/>
          <w:i w:val="0"/>
          <w:iCs w:val="0"/>
          <w:caps w:val="0"/>
          <w:smallCaps w:val="0"/>
          <w:noProof w:val="0"/>
          <w:color w:val="000000" w:themeColor="text1" w:themeTint="FF" w:themeShade="FF"/>
          <w:sz w:val="48"/>
          <w:szCs w:val="48"/>
          <w:lang w:val="en-US"/>
        </w:rPr>
        <w:t>都市更新</w:t>
      </w:r>
    </w:p>
    <w:p w:rsidR="29ED9004" w:rsidP="29ED9004" w:rsidRDefault="29ED9004" w14:paraId="071F6522" w14:textId="768F3EC5">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29ED9004" w:rsidR="29ED9004">
        <w:rPr>
          <w:rFonts w:ascii="Aptos" w:hAnsi="Aptos" w:eastAsia="Aptos" w:cs="Aptos"/>
          <w:b w:val="0"/>
          <w:bCs w:val="0"/>
          <w:i w:val="0"/>
          <w:iCs w:val="0"/>
          <w:caps w:val="0"/>
          <w:smallCaps w:val="0"/>
          <w:noProof w:val="0"/>
          <w:color w:val="000000" w:themeColor="text1" w:themeTint="FF" w:themeShade="FF"/>
          <w:sz w:val="40"/>
          <w:szCs w:val="40"/>
          <w:lang w:val="en-US"/>
        </w:rPr>
        <w:t>方法</w:t>
      </w:r>
    </w:p>
    <w:p w:rsidR="29ED9004" w:rsidP="29ED9004" w:rsidRDefault="29ED9004" w14:paraId="7EF6E1E2" w14:textId="131B09AB">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都市更新的手段有三種。</w:t>
      </w:r>
    </w:p>
    <w:p w:rsidR="29ED9004" w:rsidP="29ED9004" w:rsidRDefault="29ED9004" w14:paraId="3974C04E" w14:textId="09E101F2">
      <w:pPr>
        <w:pStyle w:val="ListParagraph"/>
        <w:numPr>
          <w:ilvl w:val="0"/>
          <w:numId w:val="2"/>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重建</w:t>
      </w:r>
    </w:p>
    <w:p w:rsidR="29ED9004" w:rsidP="29ED9004" w:rsidRDefault="29ED9004" w14:paraId="0190F30C" w14:textId="5FFC939A">
      <w:pPr>
        <w:pStyle w:val="ListParagraph"/>
        <w:numPr>
          <w:ilvl w:val="0"/>
          <w:numId w:val="2"/>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整建</w:t>
      </w:r>
    </w:p>
    <w:p w:rsidR="29ED9004" w:rsidP="29ED9004" w:rsidRDefault="29ED9004" w14:paraId="39632E0B" w14:textId="3AF62694">
      <w:pPr>
        <w:pStyle w:val="ListParagraph"/>
        <w:numPr>
          <w:ilvl w:val="0"/>
          <w:numId w:val="2"/>
        </w:num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維護</w:t>
      </w:r>
    </w:p>
    <w:tbl>
      <w:tblPr>
        <w:tblStyle w:val="TableGrid"/>
        <w:tblW w:w="0" w:type="auto"/>
        <w:tblLayout w:type="fixed"/>
        <w:tblLook w:val="06A0" w:firstRow="1" w:lastRow="0" w:firstColumn="1" w:lastColumn="0" w:noHBand="1" w:noVBand="1"/>
      </w:tblPr>
      <w:tblGrid>
        <w:gridCol w:w="4680"/>
        <w:gridCol w:w="4680"/>
      </w:tblGrid>
      <w:tr w:rsidR="29ED9004" w:rsidTr="29ED9004" w14:paraId="5C30B38C">
        <w:trPr>
          <w:trHeight w:val="300"/>
        </w:trPr>
        <w:tc>
          <w:tcPr>
            <w:tcW w:w="4680" w:type="dxa"/>
            <w:tcMar/>
          </w:tcPr>
          <w:p w:rsidR="29ED9004" w:rsidP="29ED9004" w:rsidRDefault="29ED9004" w14:paraId="4E3C10FD" w14:textId="3F73B43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手段</w:t>
            </w:r>
          </w:p>
        </w:tc>
        <w:tc>
          <w:tcPr>
            <w:tcW w:w="4680" w:type="dxa"/>
            <w:tcMar/>
          </w:tcPr>
          <w:p w:rsidR="29ED9004" w:rsidP="29ED9004" w:rsidRDefault="29ED9004" w14:paraId="2A78A206" w14:textId="3AD5552E">
            <w:pPr>
              <w:pStyle w:val="Normal"/>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都市更新的重建</w:t>
            </w:r>
          </w:p>
        </w:tc>
      </w:tr>
      <w:tr w:rsidR="29ED9004" w:rsidTr="29ED9004" w14:paraId="52362EEB">
        <w:trPr>
          <w:trHeight w:val="300"/>
        </w:trPr>
        <w:tc>
          <w:tcPr>
            <w:tcW w:w="4680" w:type="dxa"/>
            <w:tcMar/>
          </w:tcPr>
          <w:p w:rsidR="29ED9004" w:rsidP="29ED9004" w:rsidRDefault="29ED9004" w14:paraId="436B495B" w14:textId="4C390D4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實施方法</w:t>
            </w:r>
          </w:p>
        </w:tc>
        <w:tc>
          <w:tcPr>
            <w:tcW w:w="4680" w:type="dxa"/>
            <w:tcMar/>
          </w:tcPr>
          <w:p w:rsidR="29ED9004" w:rsidP="29ED9004" w:rsidRDefault="29ED9004" w14:paraId="2E0A818E" w14:textId="3C858D8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主要是權利變換</w:t>
            </w:r>
          </w:p>
        </w:tc>
      </w:tr>
    </w:tbl>
    <w:tbl>
      <w:tblPr>
        <w:tblStyle w:val="TableGrid"/>
        <w:tblW w:w="0" w:type="auto"/>
        <w:tblLayout w:type="fixed"/>
        <w:tblLook w:val="06A0" w:firstRow="1" w:lastRow="0" w:firstColumn="1" w:lastColumn="0" w:noHBand="1" w:noVBand="1"/>
      </w:tblPr>
      <w:tblGrid>
        <w:gridCol w:w="4680"/>
        <w:gridCol w:w="4680"/>
      </w:tblGrid>
      <w:tr w:rsidR="29ED9004" w:rsidTr="29ED9004" w14:paraId="5F99B8C1">
        <w:trPr>
          <w:trHeight w:val="300"/>
        </w:trPr>
        <w:tc>
          <w:tcPr>
            <w:tcW w:w="4680" w:type="dxa"/>
            <w:tcMar/>
          </w:tcPr>
          <w:p w:rsidR="29ED9004" w:rsidP="29ED9004" w:rsidRDefault="29ED9004" w14:paraId="6FDDCAA6" w14:textId="7C1AFEF1">
            <w:pPr>
              <w:pStyle w:val="Normal"/>
            </w:pPr>
            <w:r w:rsidR="29ED9004">
              <w:rPr/>
              <w:t>方法</w:t>
            </w:r>
          </w:p>
        </w:tc>
        <w:tc>
          <w:tcPr>
            <w:tcW w:w="4680" w:type="dxa"/>
            <w:tcMar/>
          </w:tcPr>
          <w:p w:rsidR="29ED9004" w:rsidP="29ED9004" w:rsidRDefault="29ED9004" w14:paraId="22687DE0" w14:textId="1847923D">
            <w:pPr>
              <w:pStyle w:val="Normal"/>
            </w:pPr>
            <w:r w:rsidR="29ED9004">
              <w:rPr/>
              <w:t>權利變換</w:t>
            </w:r>
          </w:p>
        </w:tc>
      </w:tr>
      <w:tr w:rsidR="29ED9004" w:rsidTr="29ED9004" w14:paraId="62B2A657">
        <w:trPr>
          <w:trHeight w:val="300"/>
        </w:trPr>
        <w:tc>
          <w:tcPr>
            <w:tcW w:w="4680" w:type="dxa"/>
            <w:tcMar/>
          </w:tcPr>
          <w:p w:rsidR="29ED9004" w:rsidP="29ED9004" w:rsidRDefault="29ED9004" w14:paraId="261F8BBD" w14:textId="62E9D72F">
            <w:pPr>
              <w:pStyle w:val="Normal"/>
            </w:pPr>
            <w:r w:rsidR="29ED9004">
              <w:rPr/>
              <w:t>基礎</w:t>
            </w:r>
          </w:p>
        </w:tc>
        <w:tc>
          <w:tcPr>
            <w:tcW w:w="4680" w:type="dxa"/>
            <w:tcMar/>
          </w:tcPr>
          <w:p w:rsidR="29ED9004" w:rsidP="29ED9004" w:rsidRDefault="29ED9004" w14:paraId="1E76DCE6" w14:textId="53FD5EAA">
            <w:pPr>
              <w:pStyle w:val="Normal"/>
            </w:pPr>
            <w:r w:rsidR="29ED9004">
              <w:rPr/>
              <w:t>主要以更新前各個權利人的權利價值</w:t>
            </w:r>
          </w:p>
        </w:tc>
      </w:tr>
      <w:tr w:rsidR="29ED9004" w:rsidTr="29ED9004" w14:paraId="2320A6DC">
        <w:trPr>
          <w:trHeight w:val="300"/>
        </w:trPr>
        <w:tc>
          <w:tcPr>
            <w:tcW w:w="4680" w:type="dxa"/>
            <w:tcMar/>
          </w:tcPr>
          <w:p w:rsidR="29ED9004" w:rsidP="29ED9004" w:rsidRDefault="29ED9004" w14:paraId="59832DBE" w14:textId="39C2009C">
            <w:pPr>
              <w:pStyle w:val="Normal"/>
            </w:pPr>
            <w:r w:rsidR="29ED9004">
              <w:rPr/>
              <w:t>計算方法</w:t>
            </w:r>
          </w:p>
        </w:tc>
        <w:tc>
          <w:tcPr>
            <w:tcW w:w="4680" w:type="dxa"/>
            <w:tcMar/>
          </w:tcPr>
          <w:p w:rsidR="29ED9004" w:rsidP="29ED9004" w:rsidRDefault="29ED9004" w14:paraId="48883191" w14:textId="0EAD1081">
            <w:pPr>
              <w:pStyle w:val="Normal"/>
            </w:pPr>
            <w:r w:rsidR="29ED9004">
              <w:rPr/>
              <w:t>以更新前各個權利人的權利價值為基礎，依個別比率來分配更新後利益及負擔更新過程中所付出之共同負擔。</w:t>
            </w:r>
          </w:p>
          <w:p w:rsidR="29ED9004" w:rsidP="29ED9004" w:rsidRDefault="29ED9004" w14:paraId="25BA07F3" w14:textId="68E4C634">
            <w:pPr>
              <w:pStyle w:val="Normal"/>
            </w:pPr>
          </w:p>
        </w:tc>
      </w:tr>
      <w:tr w:rsidR="29ED9004" w:rsidTr="29ED9004" w14:paraId="00CC0338">
        <w:trPr>
          <w:trHeight w:val="300"/>
        </w:trPr>
        <w:tc>
          <w:tcPr>
            <w:tcW w:w="4680" w:type="dxa"/>
            <w:tcMar/>
          </w:tcPr>
          <w:p w:rsidR="29ED9004" w:rsidP="29ED9004" w:rsidRDefault="29ED9004" w14:paraId="191207F4" w14:textId="194191F8">
            <w:pPr>
              <w:pStyle w:val="Normal"/>
            </w:pPr>
            <w:r w:rsidR="29ED9004">
              <w:rPr/>
              <w:t>評估項目</w:t>
            </w:r>
          </w:p>
        </w:tc>
        <w:tc>
          <w:tcPr>
            <w:tcW w:w="4680" w:type="dxa"/>
            <w:tcMar/>
          </w:tcPr>
          <w:p w:rsidR="29ED9004" w:rsidP="29ED9004" w:rsidRDefault="29ED9004" w14:paraId="723E9107" w14:textId="76DE7E95">
            <w:pPr>
              <w:pStyle w:val="Normal"/>
            </w:pPr>
            <w:r w:rsidR="29ED9004">
              <w:rPr/>
              <w:t>不動產估價技術規則第124條。</w:t>
            </w:r>
          </w:p>
        </w:tc>
      </w:tr>
    </w:tbl>
    <w:p w:rsidR="29ED9004" w:rsidRDefault="29ED9004" w14:paraId="6F2834D4" w14:textId="749430E3"/>
    <w:tbl>
      <w:tblPr>
        <w:tblStyle w:val="TableGrid"/>
        <w:tblW w:w="0" w:type="auto"/>
        <w:tblLayout w:type="fixed"/>
        <w:tblLook w:val="06A0" w:firstRow="1" w:lastRow="0" w:firstColumn="1" w:lastColumn="0" w:noHBand="1" w:noVBand="1"/>
      </w:tblPr>
      <w:tblGrid>
        <w:gridCol w:w="1058"/>
        <w:gridCol w:w="432"/>
        <w:gridCol w:w="1260"/>
        <w:gridCol w:w="3517"/>
        <w:gridCol w:w="3222"/>
      </w:tblGrid>
      <w:tr w:rsidR="29ED9004" w:rsidTr="29ED9004" w14:paraId="5EAD0430">
        <w:trPr>
          <w:trHeight w:val="300"/>
        </w:trPr>
        <w:tc>
          <w:tcPr>
            <w:tcW w:w="1490" w:type="dxa"/>
            <w:gridSpan w:val="2"/>
            <w:tcMar/>
          </w:tcPr>
          <w:p w:rsidR="29ED9004" w:rsidP="29ED9004" w:rsidRDefault="29ED9004" w14:paraId="1242D828" w14:textId="0C9F5697">
            <w:pPr>
              <w:pStyle w:val="Normal"/>
            </w:pPr>
            <w:r w:rsidR="29ED9004">
              <w:rPr/>
              <w:t>適用時機</w:t>
            </w:r>
          </w:p>
        </w:tc>
        <w:tc>
          <w:tcPr>
            <w:tcW w:w="1260" w:type="dxa"/>
            <w:tcMar/>
          </w:tcPr>
          <w:p w:rsidR="29ED9004" w:rsidP="29ED9004" w:rsidRDefault="29ED9004" w14:paraId="6BBD035D" w14:textId="7FA480F8">
            <w:pPr>
              <w:pStyle w:val="Normal"/>
            </w:pPr>
            <w:r w:rsidR="29ED9004">
              <w:rPr/>
              <w:t>項目</w:t>
            </w:r>
          </w:p>
        </w:tc>
        <w:tc>
          <w:tcPr>
            <w:tcW w:w="3517" w:type="dxa"/>
            <w:tcMar/>
          </w:tcPr>
          <w:p w:rsidR="29ED9004" w:rsidP="29ED9004" w:rsidRDefault="29ED9004" w14:paraId="434AD318" w14:textId="07F720D6">
            <w:pPr>
              <w:pStyle w:val="Normal"/>
            </w:pPr>
            <w:r w:rsidR="29ED9004">
              <w:rPr/>
              <w:t>依據法條</w:t>
            </w:r>
          </w:p>
        </w:tc>
        <w:tc>
          <w:tcPr>
            <w:tcW w:w="3222" w:type="dxa"/>
            <w:tcMar/>
          </w:tcPr>
          <w:p w:rsidR="29ED9004" w:rsidP="29ED9004" w:rsidRDefault="29ED9004" w14:paraId="0EB6D7BF" w14:textId="1117233A">
            <w:pPr>
              <w:pStyle w:val="Normal"/>
            </w:pPr>
            <w:r w:rsidR="29ED9004">
              <w:rPr/>
              <w:t>法條內容</w:t>
            </w:r>
          </w:p>
        </w:tc>
      </w:tr>
      <w:tr w:rsidR="29ED9004" w:rsidTr="29ED9004" w14:paraId="53D82B51">
        <w:trPr>
          <w:trHeight w:val="300"/>
        </w:trPr>
        <w:tc>
          <w:tcPr>
            <w:tcW w:w="1058" w:type="dxa"/>
            <w:vMerge w:val="restart"/>
            <w:tcMar/>
          </w:tcPr>
          <w:p w:rsidR="29ED9004" w:rsidP="29ED9004" w:rsidRDefault="29ED9004" w14:paraId="1D160F02" w14:textId="4F5CB2DC">
            <w:pPr>
              <w:pStyle w:val="Normal"/>
            </w:pPr>
            <w:r w:rsidR="29ED9004">
              <w:rPr/>
              <w:t>權利變化</w:t>
            </w:r>
          </w:p>
        </w:tc>
        <w:tc>
          <w:tcPr>
            <w:tcW w:w="432" w:type="dxa"/>
            <w:vMerge w:val="restart"/>
            <w:tcMar/>
          </w:tcPr>
          <w:p w:rsidR="29ED9004" w:rsidP="29ED9004" w:rsidRDefault="29ED9004" w14:paraId="0B313C2B" w14:textId="26648E3E">
            <w:pPr>
              <w:pStyle w:val="Normal"/>
            </w:pPr>
            <w:r w:rsidR="29ED9004">
              <w:rPr/>
              <w:t>前</w:t>
            </w:r>
          </w:p>
        </w:tc>
        <w:tc>
          <w:tcPr>
            <w:tcW w:w="1260" w:type="dxa"/>
            <w:vMerge w:val="restart"/>
            <w:tcMar/>
          </w:tcPr>
          <w:p w:rsidR="29ED9004" w:rsidP="29ED9004" w:rsidRDefault="29ED9004" w14:paraId="7441F64F" w14:textId="0D846945">
            <w:pPr>
              <w:pStyle w:val="Normal"/>
            </w:pPr>
            <w:r w:rsidR="29ED9004">
              <w:rPr/>
              <w:t>區分所有建物</w:t>
            </w:r>
          </w:p>
        </w:tc>
        <w:tc>
          <w:tcPr>
            <w:tcW w:w="3517" w:type="dxa"/>
            <w:tcMar/>
          </w:tcPr>
          <w:p w:rsidR="29ED9004" w:rsidP="29ED9004" w:rsidRDefault="29ED9004" w14:paraId="28734AFA" w14:textId="3571C299">
            <w:pPr>
              <w:pStyle w:val="Normal"/>
            </w:pPr>
            <w:r w:rsidR="29ED9004">
              <w:rPr/>
              <w:t>不動產估價技術規則第125條</w:t>
            </w:r>
          </w:p>
        </w:tc>
        <w:tc>
          <w:tcPr>
            <w:tcW w:w="3222" w:type="dxa"/>
            <w:tcMar/>
          </w:tcPr>
          <w:p w:rsidR="29ED9004" w:rsidP="29ED9004" w:rsidRDefault="29ED9004" w14:paraId="0967E7ED" w14:textId="74C38B0C">
            <w:pPr>
              <w:pStyle w:val="Normal"/>
            </w:pPr>
            <w:r w:rsidR="29ED9004">
              <w:rPr/>
              <w:t>該條規定了其估價規範</w:t>
            </w:r>
            <w:r w:rsidR="29ED9004">
              <w:rPr/>
              <w:t>。</w:t>
            </w:r>
          </w:p>
        </w:tc>
      </w:tr>
      <w:tr w:rsidR="29ED9004" w:rsidTr="29ED9004" w14:paraId="34B3AA41">
        <w:trPr>
          <w:trHeight w:val="300"/>
        </w:trPr>
        <w:tc>
          <w:tcPr>
            <w:tcW w:w="1058" w:type="dxa"/>
            <w:vMerge/>
            <w:tcMar/>
          </w:tcPr>
          <w:p w14:paraId="115F9E3A"/>
        </w:tc>
        <w:tc>
          <w:tcPr>
            <w:tcW w:w="432" w:type="dxa"/>
            <w:vMerge/>
            <w:tcMar/>
          </w:tcPr>
          <w:p w14:paraId="026083A9"/>
        </w:tc>
        <w:tc>
          <w:tcPr>
            <w:tcW w:w="1260" w:type="dxa"/>
            <w:vMerge/>
            <w:tcMar/>
          </w:tcPr>
          <w:p w14:paraId="782C4F75"/>
        </w:tc>
        <w:tc>
          <w:tcPr>
            <w:tcW w:w="3517" w:type="dxa"/>
            <w:tcMar/>
          </w:tcPr>
          <w:p w:rsidR="29ED9004" w:rsidP="29ED9004" w:rsidRDefault="29ED9004" w14:paraId="4AF514D5" w14:textId="5D51769F">
            <w:pPr>
              <w:pStyle w:val="Normal"/>
            </w:pPr>
            <w:r w:rsidR="29ED9004">
              <w:rPr/>
              <w:t>不動產估價技術規則第126條</w:t>
            </w:r>
          </w:p>
        </w:tc>
        <w:tc>
          <w:tcPr>
            <w:tcW w:w="3222" w:type="dxa"/>
            <w:tcMar/>
          </w:tcPr>
          <w:p w:rsidR="29ED9004" w:rsidP="29ED9004" w:rsidRDefault="29ED9004" w14:paraId="5F3E3A77" w14:textId="746673A7">
            <w:pPr>
              <w:pStyle w:val="Normal"/>
            </w:pPr>
            <w:r w:rsidR="29ED9004">
              <w:rPr/>
              <w:t>該條規定了若區分所有建物情況特殊致使依該條第1項計算出的基地權利價值顯失公平，則要以該條第2項計算出基地權利價值為準。</w:t>
            </w:r>
          </w:p>
        </w:tc>
      </w:tr>
      <w:tr w:rsidR="29ED9004" w:rsidTr="29ED9004" w14:paraId="5231C6BE">
        <w:trPr>
          <w:trHeight w:val="300"/>
        </w:trPr>
        <w:tc>
          <w:tcPr>
            <w:tcW w:w="1058" w:type="dxa"/>
            <w:vMerge/>
            <w:tcMar/>
          </w:tcPr>
          <w:p w14:paraId="17757397"/>
        </w:tc>
        <w:tc>
          <w:tcPr>
            <w:tcW w:w="432" w:type="dxa"/>
            <w:vMerge/>
            <w:tcMar/>
          </w:tcPr>
          <w:p w14:paraId="764CB726"/>
        </w:tc>
        <w:tc>
          <w:tcPr>
            <w:tcW w:w="1260" w:type="dxa"/>
            <w:tcMar/>
          </w:tcPr>
          <w:p w:rsidR="29ED9004" w:rsidP="29ED9004" w:rsidRDefault="29ED9004" w14:paraId="0543D6CC" w14:textId="63B10962">
            <w:pPr>
              <w:pStyle w:val="Normal"/>
            </w:pPr>
            <w:r w:rsidR="29ED9004">
              <w:rPr/>
              <w:t>其他</w:t>
            </w:r>
          </w:p>
        </w:tc>
        <w:tc>
          <w:tcPr>
            <w:tcW w:w="3517" w:type="dxa"/>
            <w:tcMar/>
          </w:tcPr>
          <w:p w:rsidR="29ED9004" w:rsidP="29ED9004" w:rsidRDefault="29ED9004" w14:paraId="336F0BCF" w14:textId="1655AEA1">
            <w:pPr>
              <w:pStyle w:val="Normal"/>
            </w:pPr>
            <w:r w:rsidR="29ED9004">
              <w:rPr/>
              <w:t>不動產估價技術規則第126-1條</w:t>
            </w:r>
          </w:p>
        </w:tc>
        <w:tc>
          <w:tcPr>
            <w:tcW w:w="3222" w:type="dxa"/>
            <w:tcMar/>
          </w:tcPr>
          <w:p w:rsidR="29ED9004" w:rsidP="29ED9004" w:rsidRDefault="29ED9004" w14:paraId="2FF06B97" w14:textId="7FF41811">
            <w:pPr>
              <w:pStyle w:val="Normal"/>
              <w:rPr>
                <w:rFonts w:ascii="Aptos" w:hAnsi="Aptos" w:eastAsia="Aptos" w:cs="Aptos"/>
                <w:noProof w:val="0"/>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基地權利價值</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該建物</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房地總價</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基地價值比率</w:t>
            </w:r>
          </w:p>
          <w:p w:rsidR="29ED9004" w:rsidP="29ED9004" w:rsidRDefault="29ED9004" w14:paraId="03E1E5D6" w14:textId="74F9725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權利價值</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max(基地權利價值,素地價值)</w:t>
            </w:r>
          </w:p>
        </w:tc>
      </w:tr>
      <w:tr w:rsidR="29ED9004" w:rsidTr="29ED9004" w14:paraId="329FC61A">
        <w:trPr>
          <w:trHeight w:val="300"/>
        </w:trPr>
        <w:tc>
          <w:tcPr>
            <w:tcW w:w="9489" w:type="dxa"/>
            <w:gridSpan w:val="5"/>
            <w:tcMar/>
          </w:tcPr>
          <w:p w:rsidR="29ED9004" w:rsidP="29ED9004" w:rsidRDefault="29ED9004" w14:paraId="23FC1D9C" w14:textId="2C6974D0">
            <w:pPr>
              <w:pStyle w:val="Normal"/>
            </w:pPr>
            <w:r w:rsidR="29ED9004">
              <w:rPr/>
              <w:t>備註</w:t>
            </w:r>
          </w:p>
        </w:tc>
      </w:tr>
      <w:tr w:rsidR="29ED9004" w:rsidTr="29ED9004" w14:paraId="05703C42">
        <w:trPr>
          <w:trHeight w:val="300"/>
        </w:trPr>
        <w:tc>
          <w:tcPr>
            <w:tcW w:w="9489" w:type="dxa"/>
            <w:gridSpan w:val="5"/>
            <w:tcMar/>
          </w:tcPr>
          <w:p w:rsidR="29ED9004" w:rsidP="29ED9004" w:rsidRDefault="29ED9004" w14:paraId="76705B34" w14:textId="4D09754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根據</w:t>
            </w:r>
            <w:r w:rsidR="29ED9004">
              <w:rPr/>
              <w:t>不動產估價技術規則第126-2條規定。</w:t>
            </w:r>
          </w:p>
          <w:p w:rsidR="29ED9004" w:rsidP="29ED9004" w:rsidRDefault="29ED9004" w14:paraId="273EA2FA" w14:textId="38DC8FE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針對權利變換前地上有區分所有建物之基地所有權人未持有該區分所有建物產權，</w:t>
            </w:r>
          </w:p>
          <w:p w:rsidR="29ED9004" w:rsidP="29ED9004" w:rsidRDefault="29ED9004" w14:paraId="23EFB927" w14:textId="40ACA94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9ED9004" w:rsidP="29ED9004" w:rsidRDefault="29ED9004" w14:paraId="1B249B82" w14:textId="429EAAF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情況一</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：(規定於該條第1項</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29ED9004" w:rsidP="29ED9004" w:rsidRDefault="29ED9004" w14:paraId="1F022E0E" w14:textId="0FBF5C6A">
            <w:pPr>
              <w:pStyle w:val="Normal"/>
              <w:rPr>
                <w:rFonts w:ascii="MingLiU" w:hAnsi="MingLiU" w:eastAsia="MingLiU" w:cs="MingLiU"/>
                <w:noProof w:val="0"/>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若該基地所有權人持有之土地持分可確認其對應之區分所有建物，則依該法第125條或第126條計算其對應區分所有建物之基地權利價值，再扣除該合法區分所有建物權利價值。</w:t>
            </w:r>
          </w:p>
          <w:p w:rsidR="29ED9004" w:rsidP="29ED9004" w:rsidRDefault="29ED9004" w14:paraId="5BB555A5" w14:textId="692A013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29ED9004" w:rsidP="29ED9004" w:rsidRDefault="29ED9004" w14:paraId="6D092602" w14:textId="4AB7653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情況二</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 (規定於該條第2項)</w:t>
            </w:r>
          </w:p>
          <w:p w:rsidR="29ED9004" w:rsidP="29ED9004" w:rsidRDefault="29ED9004" w14:paraId="5AF65DFF" w14:textId="77A9225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若該基地所有權人持有之土地持分無法確認其對應之區分所有建物，則依下列方式辦理</w:t>
            </w:r>
          </w:p>
          <w:p w:rsidR="29ED9004" w:rsidP="29ED9004" w:rsidRDefault="29ED9004" w14:paraId="51C5F358" w14:textId="2F1DA1B4">
            <w:pPr>
              <w:pStyle w:val="Normal"/>
              <w:rPr>
                <w:noProof w:val="0"/>
                <w:lang w:val="en-US"/>
              </w:rPr>
            </w:pPr>
            <w:r w:rsidRPr="29ED9004" w:rsidR="29ED9004">
              <w:rPr>
                <w:noProof w:val="0"/>
                <w:lang w:val="en-US"/>
              </w:rPr>
              <w:t>依該法第125條或第126條計算同一建築基地平均單價。</w:t>
            </w:r>
          </w:p>
          <w:p w:rsidR="29ED9004" w:rsidP="29ED9004" w:rsidRDefault="29ED9004" w14:paraId="7C89A46C" w14:textId="09ED4969">
            <w:pPr>
              <w:pStyle w:val="Normal"/>
              <w:rPr>
                <w:noProof w:val="0"/>
                <w:lang w:val="en-US"/>
              </w:rPr>
            </w:pPr>
            <w:r w:rsidRPr="29ED9004" w:rsidR="29ED9004">
              <w:rPr>
                <w:noProof w:val="0"/>
                <w:lang w:val="en-US"/>
              </w:rPr>
              <w:t>前目平均單價乘以無持分建物權屬之基地持分面積</w:t>
            </w:r>
            <w:r w:rsidRPr="29ED9004" w:rsidR="29ED9004">
              <w:rPr>
                <w:noProof w:val="0"/>
                <w:lang w:val="en-US"/>
              </w:rPr>
              <w:t>。</w:t>
            </w:r>
          </w:p>
          <w:p w:rsidR="29ED9004" w:rsidP="29ED9004" w:rsidRDefault="29ED9004" w14:paraId="26823ADD" w14:textId="3EB3547A">
            <w:pPr>
              <w:pStyle w:val="Normal"/>
              <w:rPr>
                <w:noProof w:val="0"/>
                <w:lang w:val="en-US"/>
              </w:rPr>
            </w:pPr>
            <w:r w:rsidRPr="29ED9004" w:rsidR="29ED9004">
              <w:rPr>
                <w:noProof w:val="0"/>
                <w:lang w:val="en-US"/>
              </w:rPr>
              <w:t>計算地上建物全棟之權利價值</w:t>
            </w:r>
            <w:r w:rsidRPr="29ED9004" w:rsidR="29ED9004">
              <w:rPr>
                <w:noProof w:val="0"/>
                <w:lang w:val="en-US"/>
              </w:rPr>
              <w:t>。</w:t>
            </w:r>
          </w:p>
          <w:p w:rsidR="29ED9004" w:rsidP="29ED9004" w:rsidRDefault="29ED9004" w14:paraId="23C42F88" w14:textId="6F952CD1">
            <w:pPr>
              <w:pStyle w:val="Normal"/>
              <w:rPr>
                <w:noProof w:val="0"/>
                <w:lang w:val="en-US"/>
              </w:rPr>
            </w:pPr>
            <w:r w:rsidRPr="29ED9004" w:rsidR="29ED9004">
              <w:rPr>
                <w:noProof w:val="0"/>
                <w:lang w:val="en-US"/>
              </w:rPr>
              <w:t>前目乘以無持分建物權屬之基地持分比例</w:t>
            </w:r>
            <w:r w:rsidRPr="29ED9004" w:rsidR="29ED9004">
              <w:rPr>
                <w:noProof w:val="0"/>
                <w:lang w:val="en-US"/>
              </w:rPr>
              <w:t>。</w:t>
            </w:r>
          </w:p>
          <w:p w:rsidR="29ED9004" w:rsidP="29ED9004" w:rsidRDefault="29ED9004" w14:paraId="2BFE8ABB" w14:textId="0940AD1F">
            <w:pPr>
              <w:pStyle w:val="Normal"/>
              <w:rPr>
                <w:noProof w:val="0"/>
                <w:lang w:val="en-US"/>
              </w:rPr>
            </w:pPr>
            <w:r w:rsidRPr="29ED9004" w:rsidR="29ED9004">
              <w:rPr>
                <w:noProof w:val="0"/>
                <w:lang w:val="en-US"/>
              </w:rPr>
              <w:t>第二目扣除前目之餘額</w:t>
            </w:r>
            <w:r w:rsidRPr="29ED9004" w:rsidR="29ED9004">
              <w:rPr>
                <w:noProof w:val="0"/>
                <w:lang w:val="en-US"/>
              </w:rPr>
              <w:t>。</w:t>
            </w:r>
          </w:p>
          <w:p w:rsidR="29ED9004" w:rsidP="29ED9004" w:rsidRDefault="29ED9004" w14:paraId="6320CB5A" w14:textId="3797B78B">
            <w:pPr>
              <w:pStyle w:val="Normal"/>
              <w:rPr>
                <w:noProof w:val="0"/>
                <w:lang w:val="en-US"/>
              </w:rPr>
            </w:pPr>
          </w:p>
          <w:p w:rsidR="29ED9004" w:rsidP="29ED9004" w:rsidRDefault="29ED9004" w14:paraId="2A245BD3" w14:textId="589DDF3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29ED9004" w:rsidR="29ED9004">
              <w:rPr>
                <w:noProof w:val="0"/>
                <w:lang w:val="en-US"/>
              </w:rPr>
              <w:t>情況三：</w:t>
            </w:r>
            <w:r w:rsidRPr="29ED9004" w:rsidR="29ED9004">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(規定於該條第3項)</w:t>
            </w:r>
          </w:p>
          <w:p w:rsidR="29ED9004" w:rsidP="29ED9004" w:rsidRDefault="29ED9004" w14:paraId="0D61B143" w14:textId="67A07EC0">
            <w:pPr>
              <w:pStyle w:val="Normal"/>
              <w:rPr>
                <w:noProof w:val="0"/>
                <w:lang w:val="en-US"/>
              </w:rPr>
            </w:pPr>
            <w:r w:rsidRPr="29ED9004" w:rsidR="29ED9004">
              <w:rPr>
                <w:noProof w:val="0"/>
                <w:lang w:val="en-US"/>
              </w:rPr>
              <w:t>前項無持分建物權屬之基地所有權人與其地上建物所有權人自行協議者，依其協議辦理</w:t>
            </w:r>
            <w:r w:rsidRPr="29ED9004" w:rsidR="29ED9004">
              <w:rPr>
                <w:noProof w:val="0"/>
                <w:lang w:val="en-US"/>
              </w:rPr>
              <w:t>。</w:t>
            </w:r>
          </w:p>
        </w:tc>
      </w:tr>
    </w:tbl>
    <w:p w:rsidR="29ED9004" w:rsidP="29ED9004" w:rsidRDefault="29ED9004" w14:paraId="2CE6D02A" w14:textId="617DD740">
      <w:pPr>
        <w:pStyle w:val="Normal"/>
      </w:pPr>
    </w:p>
    <w:p w:rsidR="29ED9004" w:rsidP="29ED9004" w:rsidRDefault="29ED9004" w14:paraId="5B32632F" w14:textId="6912648F">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29ED9004" w:rsidR="29ED9004">
        <w:rPr>
          <w:rFonts w:ascii="Aptos" w:hAnsi="Aptos" w:eastAsia="Aptos" w:cs="Aptos"/>
          <w:b w:val="0"/>
          <w:bCs w:val="0"/>
          <w:i w:val="0"/>
          <w:iCs w:val="0"/>
          <w:caps w:val="0"/>
          <w:smallCaps w:val="0"/>
          <w:noProof w:val="0"/>
          <w:color w:val="000000" w:themeColor="text1" w:themeTint="FF" w:themeShade="FF"/>
          <w:sz w:val="48"/>
          <w:szCs w:val="48"/>
          <w:lang w:val="en-US"/>
        </w:rPr>
        <w:t>區段徵收手段</w:t>
      </w:r>
    </w:p>
    <w:p w:rsidR="29ED9004" w:rsidP="29ED9004" w:rsidRDefault="29ED9004" w14:paraId="6C81E1BB" w14:textId="567C4F83">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本國的區段徵收採用以下方法。</w:t>
      </w:r>
    </w:p>
    <w:p w:rsidR="29ED9004" w:rsidP="29ED9004" w:rsidRDefault="29ED9004" w14:paraId="2BDB7BF0" w14:textId="35C327D4">
      <w:pPr>
        <w:pStyle w:val="Normal"/>
        <w:ind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在平面利用觀念下分配土地予土地所有權人</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w:t>
      </w:r>
    </w:p>
    <w:p w:rsidR="29ED9004" w:rsidP="29ED9004" w:rsidRDefault="29ED9004" w14:paraId="331C8FF4" w14:textId="67CFD803">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其方法不符合土地立體利用的核心精神，而且也無法掌握對於更新地區內的民眾的公平性。</w:t>
      </w:r>
    </w:p>
    <w:p w:rsidR="29ED9004" w:rsidP="29ED9004" w:rsidRDefault="29ED9004" w14:paraId="2E7570DB" w14:textId="0533F3A7">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29ED9004" w:rsidR="29ED9004">
        <w:rPr>
          <w:rFonts w:ascii="Aptos" w:hAnsi="Aptos" w:eastAsia="Aptos" w:cs="Aptos"/>
          <w:b w:val="0"/>
          <w:bCs w:val="0"/>
          <w:i w:val="0"/>
          <w:iCs w:val="0"/>
          <w:caps w:val="0"/>
          <w:smallCaps w:val="0"/>
          <w:noProof w:val="0"/>
          <w:color w:val="000000" w:themeColor="text1" w:themeTint="FF" w:themeShade="FF"/>
          <w:sz w:val="48"/>
          <w:szCs w:val="48"/>
          <w:lang w:val="en-US"/>
        </w:rPr>
        <w:t>市地重劃手段</w:t>
      </w:r>
    </w:p>
    <w:p w:rsidR="29ED9004" w:rsidP="29ED9004" w:rsidRDefault="29ED9004" w14:paraId="0E41D789" w14:textId="51746190">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跟某一節"區段徵收手段</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"一模一樣。</w:t>
      </w:r>
    </w:p>
    <w:p w:rsidR="29ED9004" w:rsidP="29ED9004" w:rsidRDefault="29ED9004" w14:paraId="2C925DB8" w14:textId="100B313F">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9ED9004" w:rsidP="29ED9004" w:rsidRDefault="29ED9004" w14:paraId="4F9CC585" w14:textId="55620C91">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29ED9004" w:rsidR="29ED9004">
        <w:rPr>
          <w:rFonts w:ascii="Aptos" w:hAnsi="Aptos" w:eastAsia="Aptos" w:cs="Aptos"/>
          <w:b w:val="0"/>
          <w:bCs w:val="0"/>
          <w:i w:val="0"/>
          <w:iCs w:val="0"/>
          <w:caps w:val="0"/>
          <w:smallCaps w:val="0"/>
          <w:noProof w:val="0"/>
          <w:color w:val="000000" w:themeColor="text1" w:themeTint="FF" w:themeShade="FF"/>
          <w:sz w:val="48"/>
          <w:szCs w:val="48"/>
          <w:lang w:val="en-US"/>
        </w:rPr>
        <w:t>權利價值</w:t>
      </w:r>
    </w:p>
    <w:p w:rsidR="29ED9004" w:rsidP="29ED9004" w:rsidRDefault="29ED9004" w14:paraId="17021423" w14:textId="0725C567">
      <w:pPr>
        <w:pStyle w:val="Normal"/>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29ED9004" w:rsidR="29ED9004">
        <w:rPr>
          <w:rFonts w:ascii="Aptos" w:hAnsi="Aptos" w:eastAsia="Aptos" w:cs="Aptos"/>
          <w:b w:val="0"/>
          <w:bCs w:val="0"/>
          <w:i w:val="0"/>
          <w:iCs w:val="0"/>
          <w:caps w:val="0"/>
          <w:smallCaps w:val="0"/>
          <w:noProof w:val="0"/>
          <w:color w:val="000000" w:themeColor="text1" w:themeTint="FF" w:themeShade="FF"/>
          <w:sz w:val="40"/>
          <w:szCs w:val="40"/>
          <w:lang w:val="en-US"/>
        </w:rPr>
        <w:t>更新前權利價值之評定</w:t>
      </w:r>
    </w:p>
    <w:p w:rsidR="29ED9004" w:rsidP="29ED9004" w:rsidRDefault="29ED9004" w14:paraId="5880E482" w14:textId="5B48CCEA">
      <w:pPr>
        <w:pStyle w:val="Normal"/>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9ED9004" w:rsidR="29ED9004">
        <w:rPr>
          <w:rFonts w:ascii="Aptos" w:hAnsi="Aptos" w:eastAsia="Aptos" w:cs="Aptos"/>
          <w:b w:val="0"/>
          <w:bCs w:val="0"/>
          <w:i w:val="0"/>
          <w:iCs w:val="0"/>
          <w:caps w:val="0"/>
          <w:smallCaps w:val="0"/>
          <w:noProof w:val="0"/>
          <w:color w:val="000000" w:themeColor="text1" w:themeTint="FF" w:themeShade="FF"/>
          <w:sz w:val="36"/>
          <w:szCs w:val="36"/>
          <w:lang w:val="en-US"/>
        </w:rPr>
        <w:t>個人價值之評定</w:t>
      </w:r>
    </w:p>
    <w:p w:rsidR="29ED9004" w:rsidP="29ED9004" w:rsidRDefault="29ED9004" w14:paraId="73FF134B" w14:textId="6741DA98">
      <w:pPr>
        <w:pStyle w:val="Normal"/>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29ED9004" w:rsidR="29ED9004">
        <w:rPr>
          <w:rFonts w:ascii="Aptos" w:hAnsi="Aptos" w:eastAsia="Aptos" w:cs="Aptos"/>
          <w:b w:val="0"/>
          <w:bCs w:val="0"/>
          <w:i w:val="0"/>
          <w:iCs w:val="0"/>
          <w:caps w:val="0"/>
          <w:smallCaps w:val="0"/>
          <w:noProof w:val="0"/>
          <w:color w:val="000000" w:themeColor="text1" w:themeTint="FF" w:themeShade="FF"/>
          <w:sz w:val="32"/>
          <w:szCs w:val="32"/>
          <w:lang w:val="en-US"/>
        </w:rPr>
        <w:t>個人土地及建物價值</w:t>
      </w:r>
    </w:p>
    <w:p w:rsidR="29ED9004" w:rsidP="29ED9004" w:rsidRDefault="29ED9004" w14:paraId="4C7E7808" w14:textId="26CF6FAE">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個人土地及建物價值 = 個人土地價值 + 個人建物價值</w:t>
      </w:r>
    </w:p>
    <w:p w:rsidR="29ED9004" w:rsidP="29ED9004" w:rsidRDefault="29ED9004" w14:paraId="1C430066" w14:textId="032525FE">
      <w:pPr>
        <w:pStyle w:val="Normal"/>
        <w:jc w:val="left"/>
        <w:rPr>
          <w:rFonts w:ascii="Aptos" w:hAnsi="Aptos" w:eastAsia="Aptos" w:cs="Aptos"/>
          <w:b w:val="0"/>
          <w:bCs w:val="0"/>
          <w:i w:val="0"/>
          <w:iCs w:val="0"/>
          <w:caps w:val="0"/>
          <w:smallCaps w:val="0"/>
          <w:noProof w:val="0"/>
          <w:color w:val="000000" w:themeColor="text1" w:themeTint="FF" w:themeShade="FF"/>
          <w:sz w:val="32"/>
          <w:szCs w:val="32"/>
          <w:lang w:val="en-US"/>
        </w:rPr>
      </w:pPr>
      <w:r w:rsidRPr="29ED9004" w:rsidR="29ED9004">
        <w:rPr>
          <w:rFonts w:ascii="Aptos" w:hAnsi="Aptos" w:eastAsia="Aptos" w:cs="Aptos"/>
          <w:b w:val="0"/>
          <w:bCs w:val="0"/>
          <w:i w:val="0"/>
          <w:iCs w:val="0"/>
          <w:caps w:val="0"/>
          <w:smallCaps w:val="0"/>
          <w:noProof w:val="0"/>
          <w:color w:val="000000" w:themeColor="text1" w:themeTint="FF" w:themeShade="FF"/>
          <w:sz w:val="32"/>
          <w:szCs w:val="32"/>
          <w:lang w:val="en-US"/>
        </w:rPr>
        <w:t>個人所佔權利價值比例</w:t>
      </w:r>
    </w:p>
    <w:p w:rsidR="29ED9004" w:rsidP="29ED9004" w:rsidRDefault="29ED9004" w14:paraId="22137BDC" w14:textId="7166E9E5">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全部投入資產總額</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個人土地及建物價值</w:t>
      </w:r>
    </w:p>
    <w:p w:rsidR="29ED9004" w:rsidP="29ED9004" w:rsidRDefault="29ED9004" w14:paraId="1A7262C1" w14:textId="4B5F43A7">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個人所佔權利價值比例</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個人土地及建物價值</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所有資產總額</w:t>
      </w:r>
    </w:p>
    <w:p w:rsidR="29ED9004" w:rsidP="29ED9004" w:rsidRDefault="29ED9004" w14:paraId="588A3B7B" w14:textId="7865C8CC">
      <w:pPr>
        <w:pStyle w:val="Normal"/>
        <w:jc w:val="left"/>
        <w:rPr>
          <w:rFonts w:ascii="Aptos" w:hAnsi="Aptos" w:eastAsia="Aptos" w:cs="Aptos"/>
          <w:b w:val="0"/>
          <w:bCs w:val="0"/>
          <w:i w:val="0"/>
          <w:iCs w:val="0"/>
          <w:caps w:val="0"/>
          <w:smallCaps w:val="0"/>
          <w:noProof w:val="0"/>
          <w:color w:val="000000" w:themeColor="text1" w:themeTint="FF" w:themeShade="FF"/>
          <w:sz w:val="36"/>
          <w:szCs w:val="36"/>
          <w:lang w:val="en-US"/>
        </w:rPr>
      </w:pPr>
      <w:r w:rsidRPr="29ED9004" w:rsidR="29ED9004">
        <w:rPr>
          <w:rFonts w:ascii="Aptos" w:hAnsi="Aptos" w:eastAsia="Aptos" w:cs="Aptos"/>
          <w:b w:val="0"/>
          <w:bCs w:val="0"/>
          <w:i w:val="0"/>
          <w:iCs w:val="0"/>
          <w:caps w:val="0"/>
          <w:smallCaps w:val="0"/>
          <w:noProof w:val="0"/>
          <w:color w:val="000000" w:themeColor="text1" w:themeTint="FF" w:themeShade="FF"/>
          <w:sz w:val="36"/>
          <w:szCs w:val="36"/>
          <w:lang w:val="en-US"/>
        </w:rPr>
        <w:t>各權利人應負擔之相關成本</w:t>
      </w:r>
    </w:p>
    <w:p w:rsidR="29ED9004" w:rsidP="29ED9004" w:rsidRDefault="29ED9004" w14:paraId="75EE4C73" w14:textId="31F1E59C">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房屋營建總成本</w:t>
      </w:r>
    </w:p>
    <w:p w:rsidR="29ED9004" w:rsidP="29ED9004" w:rsidRDefault="29ED9004" w14:paraId="5EFDFD6C" w14:textId="34689650">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公共設施興建成本</w:t>
      </w:r>
    </w:p>
    <w:p w:rsidR="29ED9004" w:rsidP="29ED9004" w:rsidRDefault="29ED9004" w14:paraId="611108C4" w14:textId="33E6EA14">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建物拆除費用</w:t>
      </w:r>
    </w:p>
    <w:p w:rsidR="29ED9004" w:rsidP="29ED9004" w:rsidRDefault="29ED9004" w14:paraId="5174F41C" w14:textId="59D0AFA2">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建物</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拆遷補償費</w:t>
      </w:r>
    </w:p>
    <w:p w:rsidR="29ED9004" w:rsidP="29ED9004" w:rsidRDefault="29ED9004" w14:paraId="430D329E" w14:textId="3E3C33D4">
      <w:pPr>
        <w:pStyle w:val="Normal"/>
        <w:ind w:firstLine="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建物拆遷補償費</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所有</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現存個別建物樓地板面積</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基準單價</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總計</w:t>
      </w:r>
    </w:p>
    <w:p w:rsidR="29ED9004" w:rsidP="29ED9004" w:rsidRDefault="29ED9004" w14:paraId="0830DEF1" w14:textId="115880A2">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房租補助費</w:t>
      </w:r>
    </w:p>
    <w:p w:rsidR="29ED9004" w:rsidP="29ED9004" w:rsidRDefault="29ED9004" w14:paraId="73E94914" w14:textId="5F2B31E1">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搬運補助費</w:t>
      </w:r>
    </w:p>
    <w:p w:rsidR="29ED9004" w:rsidP="29ED9004" w:rsidRDefault="29ED9004" w14:paraId="19ABE005" w14:textId="5E53C091">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停車場之興建成本</w:t>
      </w:r>
    </w:p>
    <w:p w:rsidR="29ED9004" w:rsidP="29ED9004" w:rsidRDefault="29ED9004" w14:paraId="2EF80B5B" w14:textId="46612715">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個人應負擔成本</w:t>
      </w:r>
    </w:p>
    <w:p w:rsidR="29ED9004" w:rsidP="29ED9004" w:rsidRDefault="29ED9004" w14:paraId="3E366572" w14:textId="6FB79E60">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9ED9004" w:rsidP="29ED9004" w:rsidRDefault="29ED9004" w14:paraId="76734933" w14:textId="3DC0D90C">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各權利人應負擔成本  = </w:t>
      </w:r>
    </w:p>
    <w:p w:rsidR="29ED9004" w:rsidP="29ED9004" w:rsidRDefault="29ED9004" w14:paraId="20DF7113" w14:textId="102AC4BE">
      <w:pPr>
        <w:pStyle w:val="Normal"/>
        <w:ind w:firstLine="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房屋營建總成本</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公共設施興建成本</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建物拆除費用</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建物拆遷補助費</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房租補助費</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搬運補助費</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個人所佔權利價值比例</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停車場興建成本</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停車場戶中個人所佔權利價值比例</w:t>
      </w:r>
      <w:r w:rsidRPr="29ED9004" w:rsidR="29ED900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9ED9004" w:rsidP="29ED9004" w:rsidRDefault="29ED9004" w14:paraId="4B1CDD1D" w14:textId="123864F3">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9ED9004" w:rsidP="29ED9004" w:rsidRDefault="29ED9004" w14:paraId="054B4611" w14:textId="6370D485">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9ED9004" w:rsidP="29ED9004" w:rsidRDefault="29ED9004" w14:paraId="29A0AEED" w14:textId="1909E1AF">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9ED9004" w:rsidP="29ED9004" w:rsidRDefault="29ED9004" w14:paraId="7A9977F4" w14:textId="1F906785">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9ED9004" w:rsidP="29ED9004" w:rsidRDefault="29ED9004" w14:paraId="60865497" w14:textId="38396A4B">
      <w:pPr>
        <w:pStyle w:val="Normal"/>
        <w:jc w:val="left"/>
        <w:rPr>
          <w:rFonts w:ascii="Aptos" w:hAnsi="Aptos" w:eastAsia="Aptos" w:cs="Aptos"/>
          <w:b w:val="0"/>
          <w:bCs w:val="0"/>
          <w:i w:val="0"/>
          <w:iCs w:val="0"/>
          <w:caps w:val="0"/>
          <w:smallCaps w:val="0"/>
          <w:noProof w:val="0"/>
          <w:color w:val="000000" w:themeColor="text1" w:themeTint="FF" w:themeShade="FF"/>
          <w:sz w:val="36"/>
          <w:szCs w:val="36"/>
          <w:lang w:val="en-US"/>
        </w:rPr>
      </w:pPr>
    </w:p>
    <w:p w:rsidR="29ED9004" w:rsidP="29ED9004" w:rsidRDefault="29ED9004" w14:paraId="592FC163" w14:textId="63A4A8BA">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74de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9cf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12E085"/>
    <w:rsid w:val="29ED9004"/>
    <w:rsid w:val="4B12E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5E12"/>
  <w15:chartTrackingRefBased/>
  <w15:docId w15:val="{E2ED62BB-1A8F-4424-B111-6BB67785BF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ab718b2641445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2024-04-23T04:04:53.2684234Z</dcterms:created>
  <dcterms:modified xsi:type="dcterms:W3CDTF">2024-04-24T00:47:09.6627304Z</dcterms:modified>
  <dc:creator>奕捷 黃</dc:creator>
  <lastModifiedBy>奕捷 黃</lastModifiedBy>
</coreProperties>
</file>