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EFDEECC" wp14:paraId="035A9615" wp14:textId="4C75D3AD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FDEECC" w:rsidR="1EFDEE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1EFDEECC" w:rsidR="1EFDEE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--農作物改良物</w:t>
      </w:r>
    </w:p>
    <w:p xmlns:wp14="http://schemas.microsoft.com/office/word/2010/wordml" w:rsidP="1EFDEECC" wp14:paraId="58D84566" wp14:textId="64E22D73">
      <w:pPr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1EFDEECC" w:rsidR="1EFDEE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農作物改良物</w:t>
      </w:r>
    </w:p>
    <w:p xmlns:wp14="http://schemas.microsoft.com/office/word/2010/wordml" w:rsidP="1EFDEECC" wp14:paraId="1865BCA1" wp14:textId="52BFFD53">
      <w:pPr>
        <w:pStyle w:val="Normal"/>
        <w:rPr>
          <w:noProof w:val="0"/>
          <w:sz w:val="48"/>
          <w:szCs w:val="48"/>
          <w:lang w:val="en-US"/>
        </w:rPr>
      </w:pPr>
      <w:r w:rsidRPr="1EFDEECC" w:rsidR="1EFDEECC">
        <w:rPr>
          <w:noProof w:val="0"/>
          <w:sz w:val="48"/>
          <w:szCs w:val="48"/>
          <w:lang w:val="en-US"/>
        </w:rPr>
        <w:t>徵收補償</w:t>
      </w:r>
    </w:p>
    <w:p xmlns:wp14="http://schemas.microsoft.com/office/word/2010/wordml" w:rsidP="1EFDEECC" wp14:paraId="3287D98A" wp14:textId="06CD6012">
      <w:pPr>
        <w:pStyle w:val="Normal"/>
        <w:rPr>
          <w:noProof w:val="0"/>
          <w:sz w:val="40"/>
          <w:szCs w:val="40"/>
          <w:lang w:val="en-US"/>
        </w:rPr>
      </w:pPr>
      <w:r w:rsidRPr="1EFDEECC" w:rsidR="1EFDEECC">
        <w:rPr>
          <w:noProof w:val="0"/>
          <w:sz w:val="40"/>
          <w:szCs w:val="40"/>
          <w:lang w:val="en-US"/>
        </w:rPr>
        <w:t>所有條文</w:t>
      </w:r>
    </w:p>
    <w:p xmlns:wp14="http://schemas.microsoft.com/office/word/2010/wordml" w:rsidP="1EFDEECC" wp14:paraId="39C27D61" wp14:textId="4170C8C2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</w:p>
    <w:p xmlns:wp14="http://schemas.microsoft.com/office/word/2010/wordml" w:rsidP="1EFDEECC" wp14:paraId="52F634A7" wp14:textId="5A82E78D">
      <w:pPr>
        <w:pStyle w:val="Normal"/>
        <w:ind w:left="0"/>
        <w:rPr>
          <w:noProof w:val="0"/>
          <w:sz w:val="24"/>
          <w:szCs w:val="24"/>
          <w:lang w:val="en-US"/>
        </w:rPr>
      </w:pPr>
      <w:r w:rsidRPr="1EFDEECC" w:rsidR="1EFDEECC">
        <w:rPr>
          <w:noProof w:val="0"/>
          <w:sz w:val="24"/>
          <w:szCs w:val="24"/>
          <w:lang w:val="en-US"/>
        </w:rPr>
        <w:t>土地徵收條例第30條。</w:t>
      </w:r>
    </w:p>
    <w:p xmlns:wp14="http://schemas.microsoft.com/office/word/2010/wordml" w:rsidP="1EFDEECC" wp14:paraId="7E7F8E71" wp14:textId="25DBB918">
      <w:pPr>
        <w:pStyle w:val="Normal"/>
        <w:ind w:left="0"/>
        <w:rPr>
          <w:noProof w:val="0"/>
          <w:sz w:val="24"/>
          <w:szCs w:val="24"/>
          <w:lang w:val="en-US"/>
        </w:rPr>
      </w:pPr>
      <w:r w:rsidRPr="1EFDEECC" w:rsidR="1EFDEECC">
        <w:rPr>
          <w:noProof w:val="0"/>
          <w:sz w:val="24"/>
          <w:szCs w:val="24"/>
          <w:lang w:val="en-US"/>
        </w:rPr>
        <w:t>法條內容</w:t>
      </w:r>
      <w:r w:rsidRPr="1EFDEECC" w:rsidR="1EFDEECC">
        <w:rPr>
          <w:noProof w:val="0"/>
          <w:sz w:val="24"/>
          <w:szCs w:val="24"/>
          <w:lang w:val="en-US"/>
        </w:rPr>
        <w:t>：</w:t>
      </w:r>
    </w:p>
    <w:p xmlns:wp14="http://schemas.microsoft.com/office/word/2010/wordml" w:rsidP="1EFDEECC" wp14:paraId="0344E748" wp14:textId="1D704C6F">
      <w:pPr>
        <w:pStyle w:val="Normal"/>
        <w:rPr>
          <w:noProof w:val="0"/>
          <w:lang w:val="en-US"/>
        </w:rPr>
      </w:pPr>
      <w:r w:rsidRPr="1EFDEECC" w:rsidR="1EFDEECC">
        <w:rPr>
          <w:noProof w:val="0"/>
          <w:lang w:val="en-US"/>
        </w:rPr>
        <w:t>第30條</w:t>
      </w:r>
    </w:p>
    <w:p xmlns:wp14="http://schemas.microsoft.com/office/word/2010/wordml" w:rsidP="1EFDEECC" wp14:paraId="419550B7" wp14:textId="4D9B9A48">
      <w:pPr>
        <w:pStyle w:val="Normal"/>
        <w:rPr>
          <w:noProof w:val="0"/>
          <w:lang w:val="en-US"/>
        </w:rPr>
      </w:pPr>
      <w:r w:rsidRPr="1EFDEECC" w:rsidR="1EFDEECC">
        <w:rPr>
          <w:noProof w:val="0"/>
          <w:lang w:val="en-US"/>
        </w:rPr>
        <w:t>各直轄市、縣（市）主管機關應經常調查轄區地價動態，每六個月提交地價評議委員會評定被徵收土地市價變動幅度，作為調整徵收補償地價之依據。</w:t>
      </w:r>
    </w:p>
    <w:p xmlns:wp14="http://schemas.microsoft.com/office/word/2010/wordml" w:rsidP="1EFDEECC" wp14:paraId="7D5C3780" wp14:textId="1EFB673D">
      <w:pPr>
        <w:pStyle w:val="Normal"/>
        <w:rPr>
          <w:noProof w:val="0"/>
          <w:lang w:val="en-US"/>
        </w:rPr>
      </w:pPr>
      <w:r w:rsidRPr="1EFDEECC" w:rsidR="1EFDEECC">
        <w:rPr>
          <w:noProof w:val="0"/>
          <w:lang w:val="en-US"/>
        </w:rPr>
        <w:t>前三項查估市價之地價調查估計程序、方法及應遵行事項等辦法，由中央主管機關定之</w:t>
      </w:r>
      <w:r w:rsidRPr="1EFDEECC" w:rsidR="1EFDEECC">
        <w:rPr>
          <w:noProof w:val="0"/>
          <w:lang w:val="en-US"/>
        </w:rPr>
        <w:t>。</w:t>
      </w:r>
    </w:p>
    <w:p xmlns:wp14="http://schemas.microsoft.com/office/word/2010/wordml" w:rsidP="1EFDEECC" wp14:paraId="59607C55" wp14:textId="751532DF">
      <w:pPr>
        <w:pStyle w:val="Normal"/>
        <w:ind w:left="0"/>
        <w:rPr>
          <w:noProof w:val="0"/>
          <w:sz w:val="24"/>
          <w:szCs w:val="24"/>
          <w:lang w:val="en-US"/>
        </w:rPr>
      </w:pPr>
    </w:p>
    <w:p xmlns:wp14="http://schemas.microsoft.com/office/word/2010/wordml" w:rsidP="1EFDEECC" wp14:paraId="2C078E63" wp14:textId="5A0BFD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d10f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dc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172A6"/>
    <w:rsid w:val="1EFDEECC"/>
    <w:rsid w:val="284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72A6"/>
  <w15:chartTrackingRefBased/>
  <w15:docId w15:val="{13E5B80C-F44F-4896-9F9C-E001685C1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f5f3557d6444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2024-04-21T03:37:23.1892579Z</dcterms:created>
  <dcterms:modified xsi:type="dcterms:W3CDTF">2024-04-21T11:33:00.8844414Z</dcterms:modified>
  <dc:creator>奕捷 黃</dc:creator>
  <lastModifiedBy>奕捷 黃</lastModifiedBy>
</coreProperties>
</file>