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4A88A2" wp14:paraId="54D913AF" wp14:textId="169549AC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不動產估價--課後習題--CH12</w:t>
      </w:r>
    </w:p>
    <w:p xmlns:wp14="http://schemas.microsoft.com/office/word/2010/wordml" w:rsidP="4F4A88A2" wp14:paraId="4561B679" wp14:textId="5860BE15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CH12</w:t>
      </w:r>
    </w:p>
    <w:p xmlns:wp14="http://schemas.microsoft.com/office/word/2010/wordml" w:rsidP="4F4A88A2" wp14:paraId="317EC891" wp14:textId="4C35AA6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如果高壓電線路通過私有土地，致使該土地之利用受到限制，如此則該土地之價格應如何評估?</w:t>
      </w:r>
    </w:p>
    <w:p xmlns:wp14="http://schemas.microsoft.com/office/word/2010/wordml" w:rsidP="4F4A88A2" wp14:paraId="2C55E568" wp14:textId="18F9D3C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如果地下鐵路通過私有土地，致使該土地之利用受到限制，如此則該土地之價格應如何評估?</w:t>
      </w:r>
    </w:p>
    <w:p xmlns:wp14="http://schemas.microsoft.com/office/word/2010/wordml" w:rsidP="4F4A88A2" wp14:paraId="427A4243" wp14:textId="3C3A0B7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公共交通建設以設定地上權方式取得私有土地使用權時，試問如何評估該地上權之價格?</w:t>
      </w:r>
    </w:p>
    <w:p xmlns:wp14="http://schemas.microsoft.com/office/word/2010/wordml" w:rsidP="4F4A88A2" wp14:paraId="1109A2FD" wp14:textId="2423B46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政府土地取得如果以設定地上權方式取得私有土地使用權時，試問該地上權之地價如何查估?</w:t>
      </w:r>
    </w:p>
    <w:p xmlns:wp14="http://schemas.microsoft.com/office/word/2010/wordml" w:rsidP="4F4A88A2" wp14:paraId="771FA7F9" wp14:textId="5F3E559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試述地上權估價時可以採取哪些方法</w:t>
      </w: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F4A88A2" wp14:paraId="3B7EEFB2" wp14:textId="2B7C96D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地上權與區分地上權兩者在估價方法</w:t>
      </w:r>
      <w:r w:rsidRPr="4F4A88A2" w:rsidR="4F4A8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有何異同?</w:t>
      </w:r>
    </w:p>
    <w:p xmlns:wp14="http://schemas.microsoft.com/office/word/2010/wordml" w:rsidP="4F4A88A2" wp14:paraId="2C078E63" wp14:textId="049CF2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823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0651A"/>
    <w:rsid w:val="08B0651A"/>
    <w:rsid w:val="4F4A8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B7D2"/>
  <w15:chartTrackingRefBased/>
  <w15:docId w15:val="{225BF1B7-C6DD-4B7F-B79F-9040065A4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bbfec604a44c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2024-04-21T13:17:50.1687067Z</dcterms:created>
  <dcterms:modified xsi:type="dcterms:W3CDTF">2024-04-21T13:24:47.3251428Z</dcterms:modified>
  <dc:creator>奕捷 黃</dc:creator>
  <lastModifiedBy>奕捷 黃</lastModifiedBy>
</coreProperties>
</file>